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272404" w14:textId="060E6829" w:rsidR="00EA0BA9" w:rsidRPr="00D43281" w:rsidRDefault="00690224" w:rsidP="004215D9">
      <w:pPr>
        <w:spacing w:after="0" w:line="240" w:lineRule="auto"/>
        <w:ind w:firstLine="567"/>
        <w:jc w:val="right"/>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b/>
          <w:bCs/>
          <w:sz w:val="24"/>
          <w:szCs w:val="24"/>
          <w:lang w:val="ru-RU" w:eastAsia="ro-MD"/>
        </w:rPr>
        <w:t>ЕС</w:t>
      </w:r>
    </w:p>
    <w:p w14:paraId="21119CF4" w14:textId="77777777" w:rsidR="00690224" w:rsidRPr="00D43281" w:rsidRDefault="00690224" w:rsidP="00690224">
      <w:pPr>
        <w:spacing w:after="0" w:line="240" w:lineRule="auto"/>
        <w:jc w:val="center"/>
        <w:rPr>
          <w:rFonts w:ascii="Times New Roman" w:eastAsia="Times New Roman" w:hAnsi="Times New Roman" w:cs="Times New Roman"/>
          <w:b/>
          <w:bCs/>
          <w:sz w:val="24"/>
          <w:szCs w:val="24"/>
          <w:lang w:eastAsia="ro-MD"/>
        </w:rPr>
      </w:pPr>
      <w:bookmarkStart w:id="0" w:name="_Hlk176521247"/>
      <w:bookmarkStart w:id="1" w:name="_Hlk175317190"/>
    </w:p>
    <w:p w14:paraId="3BBF101D" w14:textId="77777777" w:rsidR="00690224" w:rsidRPr="00D43281" w:rsidRDefault="00690224" w:rsidP="00690224">
      <w:pPr>
        <w:spacing w:after="0" w:line="240" w:lineRule="auto"/>
        <w:jc w:val="center"/>
        <w:rPr>
          <w:rFonts w:ascii="Times New Roman" w:eastAsia="Times New Roman" w:hAnsi="Times New Roman" w:cs="Times New Roman"/>
          <w:b/>
          <w:bCs/>
          <w:sz w:val="24"/>
          <w:szCs w:val="24"/>
          <w:lang w:val="ru-RU" w:eastAsia="ro-MD"/>
        </w:rPr>
      </w:pPr>
      <w:r w:rsidRPr="00D43281">
        <w:rPr>
          <w:rFonts w:ascii="Times New Roman" w:eastAsia="Times New Roman" w:hAnsi="Times New Roman" w:cs="Times New Roman"/>
          <w:b/>
          <w:bCs/>
          <w:sz w:val="24"/>
          <w:szCs w:val="24"/>
          <w:lang w:val="ru-RU" w:eastAsia="ro-MD"/>
        </w:rPr>
        <w:t xml:space="preserve">ИСПОЛНИТЕЛЬНЫЙ КОМИТЕТ </w:t>
      </w:r>
    </w:p>
    <w:p w14:paraId="2BD9E95A" w14:textId="77777777" w:rsidR="00690224" w:rsidRPr="00D43281" w:rsidRDefault="00690224" w:rsidP="00690224">
      <w:pPr>
        <w:spacing w:after="0" w:line="240" w:lineRule="auto"/>
        <w:jc w:val="center"/>
        <w:rPr>
          <w:rFonts w:ascii="Times New Roman" w:eastAsia="Times New Roman" w:hAnsi="Times New Roman" w:cs="Times New Roman"/>
          <w:b/>
          <w:bCs/>
          <w:sz w:val="24"/>
          <w:szCs w:val="24"/>
          <w:lang w:val="ru-RU" w:eastAsia="ro-MD"/>
        </w:rPr>
      </w:pPr>
      <w:r w:rsidRPr="00D43281">
        <w:rPr>
          <w:rFonts w:ascii="Times New Roman" w:eastAsia="Times New Roman" w:hAnsi="Times New Roman" w:cs="Times New Roman"/>
          <w:b/>
          <w:bCs/>
          <w:sz w:val="24"/>
          <w:szCs w:val="24"/>
          <w:lang w:val="ru-RU" w:eastAsia="ro-MD"/>
        </w:rPr>
        <w:t>НАЦИОНАЛЬНОГО БАНКА МОЛДОВЫ</w:t>
      </w:r>
    </w:p>
    <w:p w14:paraId="7D8322C4" w14:textId="4031B4AD" w:rsidR="00690224" w:rsidRPr="00D43281" w:rsidRDefault="00690224" w:rsidP="00690224">
      <w:pPr>
        <w:spacing w:after="0" w:line="240" w:lineRule="auto"/>
        <w:jc w:val="center"/>
        <w:rPr>
          <w:rFonts w:ascii="Times New Roman" w:eastAsia="Times New Roman" w:hAnsi="Times New Roman" w:cs="Times New Roman"/>
          <w:b/>
          <w:bCs/>
          <w:sz w:val="24"/>
          <w:szCs w:val="24"/>
          <w:lang w:val="ru-RU" w:eastAsia="ro-MD"/>
        </w:rPr>
      </w:pPr>
      <w:r w:rsidRPr="00D43281">
        <w:rPr>
          <w:rFonts w:ascii="Times New Roman" w:eastAsia="Times New Roman" w:hAnsi="Times New Roman" w:cs="Times New Roman"/>
          <w:b/>
          <w:bCs/>
          <w:sz w:val="24"/>
          <w:szCs w:val="24"/>
          <w:lang w:val="ru-RU" w:eastAsia="ro-MD"/>
        </w:rPr>
        <w:t xml:space="preserve"> </w:t>
      </w:r>
    </w:p>
    <w:p w14:paraId="2AD9A3C1" w14:textId="77777777" w:rsidR="00690224" w:rsidRPr="00D43281" w:rsidRDefault="00690224" w:rsidP="00690224">
      <w:pPr>
        <w:spacing w:after="0" w:line="240" w:lineRule="auto"/>
        <w:jc w:val="center"/>
        <w:rPr>
          <w:rFonts w:ascii="Times New Roman" w:eastAsia="Times New Roman" w:hAnsi="Times New Roman" w:cs="Times New Roman"/>
          <w:b/>
          <w:bCs/>
          <w:sz w:val="24"/>
          <w:szCs w:val="24"/>
          <w:lang w:val="ru-RU" w:eastAsia="ro-MD"/>
        </w:rPr>
      </w:pPr>
      <w:r w:rsidRPr="00D43281">
        <w:rPr>
          <w:rFonts w:ascii="Times New Roman" w:eastAsia="Times New Roman" w:hAnsi="Times New Roman" w:cs="Times New Roman"/>
          <w:b/>
          <w:bCs/>
          <w:sz w:val="24"/>
          <w:szCs w:val="24"/>
          <w:lang w:val="ru-RU" w:eastAsia="ro-MD"/>
        </w:rPr>
        <w:t xml:space="preserve">ПОСТАНОВЛЕНИЕ  </w:t>
      </w:r>
    </w:p>
    <w:p w14:paraId="3ED87D5A" w14:textId="77777777" w:rsidR="00BC258D" w:rsidRPr="00D43281" w:rsidRDefault="00BC258D" w:rsidP="004215D9">
      <w:pPr>
        <w:spacing w:after="0" w:line="240" w:lineRule="auto"/>
        <w:jc w:val="center"/>
        <w:rPr>
          <w:rFonts w:ascii="Times New Roman" w:eastAsia="Times New Roman" w:hAnsi="Times New Roman" w:cs="Times New Roman"/>
          <w:b/>
          <w:bCs/>
          <w:sz w:val="24"/>
          <w:szCs w:val="24"/>
          <w:lang w:val="ro-RO" w:eastAsia="ro-MD"/>
        </w:rPr>
      </w:pPr>
    </w:p>
    <w:p w14:paraId="6C367421" w14:textId="3E0AD247" w:rsidR="00EA0BA9" w:rsidRPr="00D43281" w:rsidRDefault="00BD0B67" w:rsidP="00E772CF">
      <w:pPr>
        <w:spacing w:after="0" w:line="240" w:lineRule="auto"/>
        <w:jc w:val="center"/>
        <w:rPr>
          <w:rFonts w:ascii="Times New Roman" w:eastAsia="Times New Roman" w:hAnsi="Times New Roman" w:cs="Times New Roman"/>
          <w:b/>
          <w:bCs/>
          <w:sz w:val="24"/>
          <w:szCs w:val="24"/>
          <w:lang w:val="ro-RO" w:eastAsia="ro-MD"/>
        </w:rPr>
      </w:pPr>
      <w:r w:rsidRPr="00D43281">
        <w:rPr>
          <w:rFonts w:ascii="Times New Roman" w:eastAsia="Times New Roman" w:hAnsi="Times New Roman" w:cs="Times New Roman"/>
          <w:b/>
          <w:bCs/>
          <w:sz w:val="24"/>
          <w:szCs w:val="24"/>
          <w:lang w:val="ru-RU" w:eastAsia="ro-MD"/>
        </w:rPr>
        <w:t xml:space="preserve">об </w:t>
      </w:r>
      <w:r w:rsidR="00E772CF" w:rsidRPr="00D43281">
        <w:rPr>
          <w:rFonts w:ascii="Times New Roman" w:eastAsia="Times New Roman" w:hAnsi="Times New Roman" w:cs="Times New Roman"/>
          <w:b/>
          <w:bCs/>
          <w:sz w:val="24"/>
          <w:szCs w:val="24"/>
          <w:lang w:val="ru-RU" w:eastAsia="ro-MD"/>
        </w:rPr>
        <w:t>утверждении Регламента о подходе к кредитному риску</w:t>
      </w:r>
      <w:r w:rsidRPr="00BB1E28">
        <w:rPr>
          <w:rFonts w:ascii="Times New Roman" w:eastAsia="Times New Roman" w:hAnsi="Times New Roman" w:cs="Times New Roman"/>
          <w:b/>
          <w:bCs/>
          <w:sz w:val="24"/>
          <w:szCs w:val="24"/>
          <w:lang w:val="ru-RU" w:eastAsia="ro-MD"/>
        </w:rPr>
        <w:t xml:space="preserve"> </w:t>
      </w:r>
      <w:r w:rsidR="00E772CF" w:rsidRPr="00D43281">
        <w:rPr>
          <w:rFonts w:ascii="Times New Roman" w:eastAsia="Times New Roman" w:hAnsi="Times New Roman" w:cs="Times New Roman"/>
          <w:b/>
          <w:bCs/>
          <w:sz w:val="24"/>
          <w:szCs w:val="24"/>
          <w:lang w:val="ru-RU" w:eastAsia="ro-MD"/>
        </w:rPr>
        <w:t>в соответствии с подходом, основанным на</w:t>
      </w:r>
      <w:r w:rsidRPr="00BB1E28">
        <w:rPr>
          <w:rFonts w:ascii="Times New Roman" w:eastAsia="Times New Roman" w:hAnsi="Times New Roman" w:cs="Times New Roman"/>
          <w:b/>
          <w:bCs/>
          <w:sz w:val="24"/>
          <w:szCs w:val="24"/>
          <w:lang w:val="ru-RU" w:eastAsia="ro-MD"/>
        </w:rPr>
        <w:t xml:space="preserve"> </w:t>
      </w:r>
      <w:r w:rsidR="00E772CF" w:rsidRPr="00D43281">
        <w:rPr>
          <w:rFonts w:ascii="Times New Roman" w:eastAsia="Times New Roman" w:hAnsi="Times New Roman" w:cs="Times New Roman"/>
          <w:b/>
          <w:bCs/>
          <w:sz w:val="24"/>
          <w:szCs w:val="24"/>
          <w:lang w:val="ru-RU" w:eastAsia="ro-MD"/>
        </w:rPr>
        <w:t>внутренних рейтинговых моделях</w:t>
      </w:r>
    </w:p>
    <w:bookmarkEnd w:id="0"/>
    <w:p w14:paraId="279B9BF5" w14:textId="77777777" w:rsidR="00BD0B67" w:rsidRPr="00D43281" w:rsidRDefault="00BD0B67" w:rsidP="00BD0B67">
      <w:pPr>
        <w:spacing w:before="120" w:after="0" w:line="240" w:lineRule="auto"/>
        <w:jc w:val="center"/>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b/>
          <w:sz w:val="24"/>
          <w:szCs w:val="24"/>
          <w:lang w:val="ru-RU" w:eastAsia="ro-MD"/>
        </w:rPr>
        <w:t>№</w:t>
      </w:r>
      <w:r>
        <w:rPr>
          <w:rFonts w:ascii="Times New Roman" w:eastAsia="Times New Roman" w:hAnsi="Times New Roman" w:cs="Times New Roman"/>
          <w:b/>
          <w:sz w:val="24"/>
          <w:szCs w:val="24"/>
          <w:lang w:eastAsia="ro-MD"/>
        </w:rPr>
        <w:t xml:space="preserve"> 162</w:t>
      </w:r>
      <w:r w:rsidRPr="00D43281">
        <w:rPr>
          <w:rFonts w:ascii="Times New Roman" w:eastAsia="Times New Roman" w:hAnsi="Times New Roman" w:cs="Times New Roman"/>
          <w:b/>
          <w:sz w:val="24"/>
          <w:szCs w:val="24"/>
          <w:lang w:eastAsia="ro-MD"/>
        </w:rPr>
        <w:t xml:space="preserve"> </w:t>
      </w:r>
      <w:r w:rsidRPr="00D43281">
        <w:rPr>
          <w:rFonts w:ascii="Times New Roman" w:eastAsia="Times New Roman" w:hAnsi="Times New Roman" w:cs="Times New Roman"/>
          <w:b/>
          <w:sz w:val="24"/>
          <w:szCs w:val="24"/>
          <w:lang w:val="ru-RU" w:eastAsia="ro-MD"/>
        </w:rPr>
        <w:t>от</w:t>
      </w:r>
      <w:r w:rsidRPr="00D43281">
        <w:rPr>
          <w:rFonts w:ascii="Times New Roman" w:eastAsia="Times New Roman" w:hAnsi="Times New Roman" w:cs="Times New Roman"/>
          <w:b/>
          <w:sz w:val="24"/>
          <w:szCs w:val="24"/>
          <w:lang w:eastAsia="ro-MD"/>
        </w:rPr>
        <w:t xml:space="preserve"> </w:t>
      </w:r>
      <w:r>
        <w:rPr>
          <w:rFonts w:ascii="Times New Roman" w:eastAsia="Times New Roman" w:hAnsi="Times New Roman" w:cs="Times New Roman"/>
          <w:b/>
          <w:sz w:val="24"/>
          <w:szCs w:val="24"/>
          <w:lang w:eastAsia="ro-MD"/>
        </w:rPr>
        <w:t>02.07.</w:t>
      </w:r>
      <w:r w:rsidRPr="00D43281">
        <w:rPr>
          <w:rFonts w:ascii="Times New Roman" w:eastAsia="Times New Roman" w:hAnsi="Times New Roman" w:cs="Times New Roman"/>
          <w:b/>
          <w:sz w:val="24"/>
          <w:szCs w:val="24"/>
          <w:lang w:eastAsia="ro-MD"/>
        </w:rPr>
        <w:t>202</w:t>
      </w:r>
      <w:r w:rsidRPr="00D43281">
        <w:rPr>
          <w:rFonts w:ascii="Times New Roman" w:eastAsia="Times New Roman" w:hAnsi="Times New Roman" w:cs="Times New Roman"/>
          <w:b/>
          <w:sz w:val="24"/>
          <w:szCs w:val="24"/>
          <w:lang w:val="ru-RU" w:eastAsia="ro-MD"/>
        </w:rPr>
        <w:t>6</w:t>
      </w:r>
    </w:p>
    <w:p w14:paraId="109ED31A" w14:textId="0C547D5D" w:rsidR="00BD0B67" w:rsidRPr="00BD0B67" w:rsidRDefault="00BD0B67" w:rsidP="00D40E7A">
      <w:pPr>
        <w:spacing w:before="120" w:after="0" w:line="240" w:lineRule="auto"/>
        <w:jc w:val="center"/>
        <w:rPr>
          <w:rFonts w:ascii="Times New Roman" w:eastAsia="Times New Roman" w:hAnsi="Times New Roman" w:cs="Times New Roman"/>
          <w:sz w:val="24"/>
          <w:szCs w:val="24"/>
          <w:lang w:val="ru-RU" w:eastAsia="ro-MD"/>
        </w:rPr>
      </w:pPr>
      <w:r w:rsidRPr="00BD0B67">
        <w:rPr>
          <w:rFonts w:ascii="Times New Roman" w:eastAsia="Times New Roman" w:hAnsi="Times New Roman" w:cs="Times New Roman"/>
          <w:sz w:val="24"/>
          <w:szCs w:val="24"/>
          <w:lang w:val="ru-RU" w:eastAsia="ro-MD"/>
        </w:rPr>
        <w:t>(в силу 01.07.2027, за исключением некоторых положений согласно пкт.2</w:t>
      </w:r>
      <w:r w:rsidRPr="00BB1E28">
        <w:rPr>
          <w:rFonts w:ascii="Times New Roman" w:eastAsia="Times New Roman" w:hAnsi="Times New Roman" w:cs="Times New Roman"/>
          <w:sz w:val="24"/>
          <w:szCs w:val="24"/>
          <w:lang w:val="ru-RU" w:eastAsia="ro-MD"/>
        </w:rPr>
        <w:t xml:space="preserve"> </w:t>
      </w:r>
      <w:r w:rsidRPr="00BD0B67">
        <w:rPr>
          <w:rFonts w:ascii="Times New Roman" w:eastAsia="Times New Roman" w:hAnsi="Times New Roman" w:cs="Times New Roman"/>
          <w:sz w:val="24"/>
          <w:szCs w:val="24"/>
          <w:lang w:val="ru-RU" w:eastAsia="ro-MD"/>
        </w:rPr>
        <w:t>и</w:t>
      </w:r>
      <w:r w:rsidRPr="00BB1E28">
        <w:rPr>
          <w:rFonts w:ascii="Times New Roman" w:eastAsia="Times New Roman" w:hAnsi="Times New Roman" w:cs="Times New Roman"/>
          <w:sz w:val="24"/>
          <w:szCs w:val="24"/>
          <w:lang w:val="ru-RU" w:eastAsia="ro-MD"/>
        </w:rPr>
        <w:t xml:space="preserve"> 3</w:t>
      </w:r>
      <w:r w:rsidRPr="00BD0B67">
        <w:rPr>
          <w:rFonts w:ascii="Times New Roman" w:eastAsia="Times New Roman" w:hAnsi="Times New Roman" w:cs="Times New Roman"/>
          <w:sz w:val="24"/>
          <w:szCs w:val="24"/>
          <w:lang w:val="ru-RU" w:eastAsia="ro-MD"/>
        </w:rPr>
        <w:t xml:space="preserve">) </w:t>
      </w:r>
    </w:p>
    <w:p w14:paraId="00121273" w14:textId="38153967" w:rsidR="00EA0BA9" w:rsidRPr="00BD0B67" w:rsidRDefault="00BD0B67" w:rsidP="00BD0B67">
      <w:pPr>
        <w:spacing w:before="120" w:after="0" w:line="240" w:lineRule="auto"/>
        <w:jc w:val="center"/>
        <w:rPr>
          <w:rFonts w:ascii="Times New Roman" w:eastAsia="Times New Roman" w:hAnsi="Times New Roman" w:cs="Times New Roman"/>
          <w:b/>
          <w:bCs/>
          <w:sz w:val="24"/>
          <w:szCs w:val="24"/>
          <w:lang w:val="ru-RU" w:eastAsia="ro-MD"/>
        </w:rPr>
      </w:pPr>
      <w:r w:rsidRPr="00BD0B67">
        <w:rPr>
          <w:rFonts w:ascii="Times New Roman" w:eastAsia="Times New Roman" w:hAnsi="Times New Roman" w:cs="Times New Roman"/>
          <w:b/>
          <w:bCs/>
          <w:sz w:val="24"/>
          <w:szCs w:val="24"/>
          <w:lang w:val="ru-RU" w:eastAsia="ro-MD"/>
        </w:rPr>
        <w:t xml:space="preserve"> </w:t>
      </w:r>
      <w:proofErr w:type="spellStart"/>
      <w:r w:rsidRPr="00BD0B67">
        <w:rPr>
          <w:rFonts w:ascii="Times New Roman" w:eastAsia="Times New Roman" w:hAnsi="Times New Roman" w:cs="Times New Roman"/>
          <w:b/>
          <w:bCs/>
          <w:sz w:val="24"/>
          <w:szCs w:val="24"/>
          <w:lang w:val="ru-RU" w:eastAsia="ro-MD"/>
        </w:rPr>
        <w:t>Мониторул</w:t>
      </w:r>
      <w:proofErr w:type="spellEnd"/>
      <w:r w:rsidRPr="00BD0B67">
        <w:rPr>
          <w:rFonts w:ascii="Times New Roman" w:eastAsia="Times New Roman" w:hAnsi="Times New Roman" w:cs="Times New Roman"/>
          <w:b/>
          <w:bCs/>
          <w:sz w:val="24"/>
          <w:szCs w:val="24"/>
          <w:lang w:val="ru-RU" w:eastAsia="ro-MD"/>
        </w:rPr>
        <w:t xml:space="preserve"> </w:t>
      </w:r>
      <w:proofErr w:type="spellStart"/>
      <w:r w:rsidRPr="00BD0B67">
        <w:rPr>
          <w:rFonts w:ascii="Times New Roman" w:eastAsia="Times New Roman" w:hAnsi="Times New Roman" w:cs="Times New Roman"/>
          <w:b/>
          <w:bCs/>
          <w:sz w:val="24"/>
          <w:szCs w:val="24"/>
          <w:lang w:val="ru-RU" w:eastAsia="ro-MD"/>
        </w:rPr>
        <w:t>Офичиал</w:t>
      </w:r>
      <w:proofErr w:type="spellEnd"/>
      <w:r w:rsidRPr="00BD0B67">
        <w:rPr>
          <w:rFonts w:ascii="Times New Roman" w:eastAsia="Times New Roman" w:hAnsi="Times New Roman" w:cs="Times New Roman"/>
          <w:b/>
          <w:bCs/>
          <w:sz w:val="24"/>
          <w:szCs w:val="24"/>
          <w:lang w:val="ru-RU" w:eastAsia="ro-MD"/>
        </w:rPr>
        <w:t xml:space="preserve"> ал Р. Молдова № 298-300 ст. 543 от 07.07.2026</w:t>
      </w:r>
    </w:p>
    <w:p w14:paraId="0EEB045A" w14:textId="6B109496" w:rsidR="00BD0B67" w:rsidRPr="00D43281" w:rsidRDefault="00BD0B67" w:rsidP="00D40E7A">
      <w:pPr>
        <w:spacing w:before="120" w:after="0" w:line="240" w:lineRule="auto"/>
        <w:jc w:val="center"/>
        <w:rPr>
          <w:rFonts w:ascii="Times New Roman" w:eastAsia="Times New Roman" w:hAnsi="Times New Roman" w:cs="Times New Roman"/>
          <w:sz w:val="24"/>
          <w:szCs w:val="24"/>
          <w:lang w:val="ro-RO" w:eastAsia="ro-MD"/>
        </w:rPr>
      </w:pPr>
      <w:r>
        <w:rPr>
          <w:rFonts w:ascii="Times New Roman" w:eastAsia="Times New Roman" w:hAnsi="Times New Roman" w:cs="Times New Roman"/>
          <w:sz w:val="24"/>
          <w:szCs w:val="24"/>
          <w:lang w:val="ro-RO" w:eastAsia="ro-MD"/>
        </w:rPr>
        <w:t>***</w:t>
      </w:r>
    </w:p>
    <w:p w14:paraId="0B949F25" w14:textId="6DA96433" w:rsidR="00E03C27" w:rsidRPr="00D43281" w:rsidRDefault="00E03C27" w:rsidP="00E03C27">
      <w:pPr>
        <w:tabs>
          <w:tab w:val="left" w:pos="1134"/>
        </w:tabs>
        <w:ind w:firstLine="567"/>
        <w:jc w:val="both"/>
        <w:rPr>
          <w:rFonts w:ascii="Times New Roman" w:hAnsi="Times New Roman" w:cs="Times New Roman"/>
          <w:sz w:val="24"/>
          <w:szCs w:val="24"/>
          <w:lang w:val="ru-MD" w:eastAsia="ru-RU"/>
        </w:rPr>
      </w:pPr>
      <w:r w:rsidRPr="00D43281">
        <w:rPr>
          <w:rFonts w:ascii="Times New Roman" w:hAnsi="Times New Roman" w:cs="Times New Roman"/>
          <w:sz w:val="24"/>
          <w:szCs w:val="24"/>
          <w:lang w:val="ru-MD" w:eastAsia="ru-RU"/>
        </w:rPr>
        <w:t>На основании ст.</w:t>
      </w:r>
      <w:r w:rsidRPr="00D43281">
        <w:rPr>
          <w:rFonts w:ascii="Times New Roman" w:hAnsi="Times New Roman" w:cs="Times New Roman"/>
          <w:sz w:val="24"/>
          <w:szCs w:val="24"/>
          <w:lang w:val="ru-MD"/>
        </w:rPr>
        <w:t xml:space="preserve"> </w:t>
      </w:r>
      <w:r w:rsidRPr="00D43281">
        <w:rPr>
          <w:rFonts w:ascii="Times New Roman" w:hAnsi="Times New Roman" w:cs="Times New Roman"/>
          <w:sz w:val="24"/>
          <w:szCs w:val="24"/>
          <w:lang w:val="ru-MD" w:eastAsia="ru-RU"/>
        </w:rPr>
        <w:t xml:space="preserve">66 Закона о деятельности банков № 202/2017 (Официальный монитор Республики Молдова, 2017, </w:t>
      </w:r>
      <w:proofErr w:type="gramStart"/>
      <w:r w:rsidRPr="00D43281">
        <w:rPr>
          <w:rFonts w:ascii="Times New Roman" w:hAnsi="Times New Roman" w:cs="Times New Roman"/>
          <w:sz w:val="24"/>
          <w:szCs w:val="24"/>
          <w:lang w:val="ru-MD" w:eastAsia="ru-RU"/>
        </w:rPr>
        <w:t>№ 434-439</w:t>
      </w:r>
      <w:proofErr w:type="gramEnd"/>
      <w:r w:rsidRPr="00D43281">
        <w:rPr>
          <w:rFonts w:ascii="Times New Roman" w:hAnsi="Times New Roman" w:cs="Times New Roman"/>
          <w:sz w:val="24"/>
          <w:szCs w:val="24"/>
          <w:lang w:val="ru-MD" w:eastAsia="ru-RU"/>
        </w:rPr>
        <w:t>, ст.727), с последующими изменениями, Исполнительный комитет Национального банка Молдовы</w:t>
      </w:r>
    </w:p>
    <w:p w14:paraId="1B658006" w14:textId="77777777" w:rsidR="00E03C27" w:rsidRPr="00D43281" w:rsidRDefault="00E03C27" w:rsidP="00AC5C1C">
      <w:pPr>
        <w:tabs>
          <w:tab w:val="left" w:pos="1134"/>
        </w:tabs>
        <w:ind w:firstLine="720"/>
        <w:jc w:val="center"/>
        <w:rPr>
          <w:rFonts w:ascii="Times New Roman" w:hAnsi="Times New Roman" w:cs="Times New Roman"/>
          <w:b/>
          <w:sz w:val="24"/>
          <w:szCs w:val="24"/>
          <w:lang w:val="ru-MD" w:eastAsia="ru-RU"/>
        </w:rPr>
      </w:pPr>
      <w:r w:rsidRPr="00D43281">
        <w:rPr>
          <w:rFonts w:ascii="Times New Roman" w:hAnsi="Times New Roman" w:cs="Times New Roman"/>
          <w:b/>
          <w:sz w:val="24"/>
          <w:szCs w:val="24"/>
          <w:lang w:val="ru-MD" w:eastAsia="ru-RU"/>
        </w:rPr>
        <w:t>ПОСТАНОВЛЯЕТ:</w:t>
      </w:r>
    </w:p>
    <w:p w14:paraId="7C393C8A" w14:textId="77777777" w:rsidR="0070292D" w:rsidRPr="00D43281" w:rsidRDefault="00E03C27" w:rsidP="0070292D">
      <w:pPr>
        <w:tabs>
          <w:tab w:val="left" w:pos="1134"/>
        </w:tabs>
        <w:spacing w:before="80"/>
        <w:jc w:val="both"/>
        <w:rPr>
          <w:rFonts w:ascii="Times New Roman" w:hAnsi="Times New Roman" w:cs="Times New Roman"/>
          <w:bCs/>
          <w:sz w:val="24"/>
          <w:szCs w:val="24"/>
          <w:lang w:val="ru-MD" w:eastAsia="ru-RU"/>
        </w:rPr>
      </w:pPr>
      <w:r w:rsidRPr="00D43281">
        <w:rPr>
          <w:rFonts w:ascii="Times New Roman" w:hAnsi="Times New Roman" w:cs="Times New Roman"/>
          <w:bCs/>
          <w:sz w:val="24"/>
          <w:szCs w:val="24"/>
          <w:lang w:val="ru-MD" w:eastAsia="ru-RU"/>
        </w:rPr>
        <w:t>Настоящее постановление:</w:t>
      </w:r>
    </w:p>
    <w:p w14:paraId="5FDA26DC" w14:textId="71D151ED" w:rsidR="007D292F" w:rsidRPr="00D43281" w:rsidRDefault="00E03C27" w:rsidP="007D292F">
      <w:pPr>
        <w:jc w:val="both"/>
        <w:rPr>
          <w:rFonts w:ascii="Times New Roman" w:hAnsi="Times New Roman" w:cs="Times New Roman"/>
          <w:bCs/>
          <w:sz w:val="24"/>
          <w:szCs w:val="24"/>
          <w:lang w:val="ru-RU" w:eastAsia="ru-RU"/>
        </w:rPr>
      </w:pPr>
      <w:r w:rsidRPr="00D43281">
        <w:rPr>
          <w:rFonts w:ascii="Times New Roman" w:hAnsi="Times New Roman" w:cs="Times New Roman"/>
          <w:bCs/>
          <w:sz w:val="24"/>
          <w:szCs w:val="24"/>
          <w:lang w:val="ru-RU" w:eastAsia="ru-RU"/>
        </w:rPr>
        <w:t xml:space="preserve">- </w:t>
      </w:r>
      <w:r w:rsidRPr="00D43281">
        <w:rPr>
          <w:rFonts w:ascii="Times New Roman" w:hAnsi="Times New Roman" w:cs="Times New Roman"/>
          <w:sz w:val="24"/>
          <w:szCs w:val="24"/>
          <w:lang w:val="ru-RU" w:eastAsia="ro-MD"/>
        </w:rPr>
        <w:t xml:space="preserve">частично перекладывает </w:t>
      </w:r>
      <w:r w:rsidRPr="00D43281">
        <w:rPr>
          <w:rFonts w:ascii="Times New Roman" w:hAnsi="Times New Roman" w:cs="Times New Roman"/>
          <w:bCs/>
          <w:sz w:val="24"/>
          <w:szCs w:val="24"/>
          <w:lang w:val="ru-RU" w:eastAsia="ru-RU"/>
        </w:rPr>
        <w:t>(перекладывает</w:t>
      </w:r>
      <w:r w:rsidR="0070292D" w:rsidRPr="00D43281">
        <w:rPr>
          <w:rFonts w:ascii="Times New Roman" w:hAnsi="Times New Roman" w:cs="Times New Roman"/>
          <w:bCs/>
          <w:sz w:val="24"/>
          <w:szCs w:val="24"/>
          <w:lang w:val="ru-RU" w:eastAsia="ru-RU"/>
        </w:rPr>
        <w:t>:</w:t>
      </w:r>
      <w:r w:rsidRPr="00D43281">
        <w:rPr>
          <w:rFonts w:ascii="Times New Roman" w:hAnsi="Times New Roman" w:cs="Times New Roman"/>
          <w:bCs/>
          <w:sz w:val="24"/>
          <w:szCs w:val="24"/>
          <w:lang w:val="ru-RU" w:eastAsia="ru-RU"/>
        </w:rPr>
        <w:t xml:space="preserve"> </w:t>
      </w:r>
      <w:bookmarkStart w:id="2" w:name="_Hlk204608182"/>
      <w:r w:rsidR="00AC5C1C" w:rsidRPr="00D43281">
        <w:rPr>
          <w:rFonts w:ascii="Times New Roman" w:eastAsia="Times New Roman" w:hAnsi="Times New Roman" w:cs="Times New Roman"/>
          <w:sz w:val="24"/>
          <w:szCs w:val="24"/>
          <w:lang w:val="ru-RU" w:eastAsia="ro-MD"/>
        </w:rPr>
        <w:t>ст.</w:t>
      </w:r>
      <w:r w:rsidR="00AC5C1C" w:rsidRPr="00BB1E28">
        <w:rPr>
          <w:rFonts w:ascii="Times New Roman" w:eastAsia="Times New Roman" w:hAnsi="Times New Roman" w:cs="Times New Roman"/>
          <w:sz w:val="24"/>
          <w:szCs w:val="24"/>
          <w:lang w:val="ru-RU" w:eastAsia="ro-MD"/>
        </w:rPr>
        <w:t>4</w:t>
      </w:r>
      <w:r w:rsidR="00AC5C1C" w:rsidRPr="00D43281">
        <w:rPr>
          <w:rFonts w:ascii="Times New Roman" w:eastAsia="Times New Roman" w:hAnsi="Times New Roman" w:cs="Times New Roman"/>
          <w:sz w:val="24"/>
          <w:szCs w:val="24"/>
          <w:lang w:val="ru-RU" w:eastAsia="ro-MD"/>
        </w:rPr>
        <w:t xml:space="preserve"> п.</w:t>
      </w:r>
      <w:r w:rsidR="00AC5C1C" w:rsidRPr="00BB1E28">
        <w:rPr>
          <w:rFonts w:ascii="Times New Roman" w:eastAsia="Times New Roman" w:hAnsi="Times New Roman" w:cs="Times New Roman"/>
          <w:sz w:val="24"/>
          <w:szCs w:val="24"/>
          <w:lang w:val="ru-RU" w:eastAsia="ro-MD"/>
        </w:rPr>
        <w:t>53</w:t>
      </w:r>
      <w:r w:rsidR="00AC5C1C" w:rsidRPr="00D43281">
        <w:rPr>
          <w:rFonts w:ascii="Times New Roman" w:eastAsia="Times New Roman" w:hAnsi="Times New Roman" w:cs="Times New Roman"/>
          <w:sz w:val="24"/>
          <w:szCs w:val="24"/>
          <w:lang w:val="ru-RU" w:eastAsia="ro-MD"/>
        </w:rPr>
        <w:t>-</w:t>
      </w:r>
      <w:r w:rsidR="00AC5C1C" w:rsidRPr="00BB1E28">
        <w:rPr>
          <w:rFonts w:ascii="Times New Roman" w:eastAsia="Times New Roman" w:hAnsi="Times New Roman" w:cs="Times New Roman"/>
          <w:sz w:val="24"/>
          <w:szCs w:val="24"/>
          <w:lang w:val="ru-RU" w:eastAsia="ro-MD"/>
        </w:rPr>
        <w:t>55, 78</w:t>
      </w:r>
      <w:r w:rsidR="00AC5C1C" w:rsidRPr="00D43281">
        <w:rPr>
          <w:rFonts w:ascii="Times New Roman" w:eastAsia="Times New Roman" w:hAnsi="Times New Roman" w:cs="Times New Roman"/>
          <w:sz w:val="24"/>
          <w:szCs w:val="24"/>
          <w:lang w:val="ru-RU" w:eastAsia="ro-MD"/>
        </w:rPr>
        <w:t xml:space="preserve">; </w:t>
      </w:r>
      <w:r w:rsidR="006666B9" w:rsidRPr="00D43281">
        <w:rPr>
          <w:rFonts w:ascii="Times New Roman" w:eastAsia="Times New Roman" w:hAnsi="Times New Roman" w:cs="Times New Roman"/>
          <w:sz w:val="24"/>
          <w:szCs w:val="24"/>
          <w:lang w:val="ru-RU" w:eastAsia="ro-MD"/>
        </w:rPr>
        <w:t>ст</w:t>
      </w:r>
      <w:r w:rsidR="00E874F9" w:rsidRPr="00D43281">
        <w:rPr>
          <w:rFonts w:ascii="Times New Roman" w:eastAsia="Times New Roman" w:hAnsi="Times New Roman" w:cs="Times New Roman"/>
          <w:sz w:val="24"/>
          <w:szCs w:val="24"/>
          <w:lang w:val="ru-RU" w:eastAsia="ro-MD"/>
        </w:rPr>
        <w:t xml:space="preserve">.5 </w:t>
      </w:r>
      <w:r w:rsidR="006666B9" w:rsidRPr="00D43281">
        <w:rPr>
          <w:rFonts w:ascii="Times New Roman" w:eastAsia="Times New Roman" w:hAnsi="Times New Roman" w:cs="Times New Roman"/>
          <w:sz w:val="24"/>
          <w:szCs w:val="24"/>
          <w:lang w:val="ru-RU" w:eastAsia="ro-MD"/>
        </w:rPr>
        <w:t>п</w:t>
      </w:r>
      <w:r w:rsidR="00E874F9" w:rsidRPr="00D43281">
        <w:rPr>
          <w:rFonts w:ascii="Times New Roman" w:eastAsia="Times New Roman" w:hAnsi="Times New Roman" w:cs="Times New Roman"/>
          <w:sz w:val="24"/>
          <w:szCs w:val="24"/>
          <w:lang w:val="ru-RU" w:eastAsia="ro-MD"/>
        </w:rPr>
        <w:t xml:space="preserve">.1-9; </w:t>
      </w:r>
      <w:r w:rsidR="006666B9" w:rsidRPr="00D43281">
        <w:rPr>
          <w:rFonts w:ascii="Times New Roman" w:eastAsia="Times New Roman" w:hAnsi="Times New Roman" w:cs="Times New Roman"/>
          <w:sz w:val="24"/>
          <w:szCs w:val="24"/>
          <w:lang w:val="ru-RU" w:eastAsia="ro-MD"/>
        </w:rPr>
        <w:t>ст</w:t>
      </w:r>
      <w:r w:rsidR="00E874F9" w:rsidRPr="00D43281">
        <w:rPr>
          <w:rFonts w:ascii="Times New Roman" w:eastAsia="Times New Roman" w:hAnsi="Times New Roman" w:cs="Times New Roman"/>
          <w:sz w:val="24"/>
          <w:szCs w:val="24"/>
          <w:lang w:val="ru-RU" w:eastAsia="ro-MD"/>
        </w:rPr>
        <w:t xml:space="preserve">.142; </w:t>
      </w:r>
      <w:r w:rsidR="006666B9" w:rsidRPr="00D43281">
        <w:rPr>
          <w:rFonts w:ascii="Times New Roman" w:eastAsia="Times New Roman" w:hAnsi="Times New Roman" w:cs="Times New Roman"/>
          <w:sz w:val="24"/>
          <w:szCs w:val="24"/>
          <w:lang w:val="ru-RU" w:eastAsia="ro-MD"/>
        </w:rPr>
        <w:t>ст</w:t>
      </w:r>
      <w:r w:rsidR="00E874F9" w:rsidRPr="00D43281">
        <w:rPr>
          <w:rFonts w:ascii="Times New Roman" w:eastAsia="Times New Roman" w:hAnsi="Times New Roman" w:cs="Times New Roman"/>
          <w:sz w:val="24"/>
          <w:szCs w:val="24"/>
          <w:lang w:val="ru-RU" w:eastAsia="ro-MD"/>
        </w:rPr>
        <w:t xml:space="preserve">.143 (1)-(4); </w:t>
      </w:r>
      <w:r w:rsidR="006666B9" w:rsidRPr="00D43281">
        <w:rPr>
          <w:rFonts w:ascii="Times New Roman" w:eastAsia="Times New Roman" w:hAnsi="Times New Roman" w:cs="Times New Roman"/>
          <w:sz w:val="24"/>
          <w:szCs w:val="24"/>
          <w:lang w:val="ru-RU" w:eastAsia="ro-MD"/>
        </w:rPr>
        <w:t>ст</w:t>
      </w:r>
      <w:r w:rsidR="00E874F9" w:rsidRPr="00D43281">
        <w:rPr>
          <w:rFonts w:ascii="Times New Roman" w:eastAsia="Times New Roman" w:hAnsi="Times New Roman" w:cs="Times New Roman"/>
          <w:sz w:val="24"/>
          <w:szCs w:val="24"/>
          <w:lang w:val="ru-RU" w:eastAsia="ro-MD"/>
        </w:rPr>
        <w:t xml:space="preserve">.144 (1); </w:t>
      </w:r>
      <w:r w:rsidR="006666B9" w:rsidRPr="00D43281">
        <w:rPr>
          <w:rFonts w:ascii="Times New Roman" w:eastAsia="Times New Roman" w:hAnsi="Times New Roman" w:cs="Times New Roman"/>
          <w:sz w:val="24"/>
          <w:szCs w:val="24"/>
          <w:lang w:val="ru-RU" w:eastAsia="ro-MD"/>
        </w:rPr>
        <w:t>ст</w:t>
      </w:r>
      <w:r w:rsidR="00E874F9" w:rsidRPr="00D43281">
        <w:rPr>
          <w:rFonts w:ascii="Times New Roman" w:eastAsia="Times New Roman" w:hAnsi="Times New Roman" w:cs="Times New Roman"/>
          <w:sz w:val="24"/>
          <w:szCs w:val="24"/>
          <w:lang w:val="ru-RU" w:eastAsia="ro-MD"/>
        </w:rPr>
        <w:t xml:space="preserve">.145-147(1)-(10); </w:t>
      </w:r>
      <w:r w:rsidR="006666B9" w:rsidRPr="00D43281">
        <w:rPr>
          <w:rFonts w:ascii="Times New Roman" w:eastAsia="Times New Roman" w:hAnsi="Times New Roman" w:cs="Times New Roman"/>
          <w:sz w:val="24"/>
          <w:szCs w:val="24"/>
          <w:lang w:val="ru-RU" w:eastAsia="ro-MD"/>
        </w:rPr>
        <w:t>ст</w:t>
      </w:r>
      <w:r w:rsidR="00E874F9" w:rsidRPr="00D43281">
        <w:rPr>
          <w:rFonts w:ascii="Times New Roman" w:eastAsia="Times New Roman" w:hAnsi="Times New Roman" w:cs="Times New Roman"/>
          <w:sz w:val="24"/>
          <w:szCs w:val="24"/>
          <w:lang w:val="ru-RU" w:eastAsia="ro-MD"/>
        </w:rPr>
        <w:t xml:space="preserve">.148-150 (1a); </w:t>
      </w:r>
      <w:r w:rsidR="006666B9" w:rsidRPr="00D43281">
        <w:rPr>
          <w:rFonts w:ascii="Times New Roman" w:eastAsia="Times New Roman" w:hAnsi="Times New Roman" w:cs="Times New Roman"/>
          <w:sz w:val="24"/>
          <w:szCs w:val="24"/>
          <w:lang w:val="ru-RU" w:eastAsia="ro-MD"/>
        </w:rPr>
        <w:t>ст</w:t>
      </w:r>
      <w:r w:rsidR="00E874F9" w:rsidRPr="00D43281">
        <w:rPr>
          <w:rFonts w:ascii="Times New Roman" w:eastAsia="Times New Roman" w:hAnsi="Times New Roman" w:cs="Times New Roman"/>
          <w:sz w:val="24"/>
          <w:szCs w:val="24"/>
          <w:lang w:val="ru-RU" w:eastAsia="ro-MD"/>
        </w:rPr>
        <w:t xml:space="preserve">.151-153 (1)-(8); </w:t>
      </w:r>
      <w:r w:rsidR="006666B9" w:rsidRPr="00D43281">
        <w:rPr>
          <w:rFonts w:ascii="Times New Roman" w:eastAsia="Times New Roman" w:hAnsi="Times New Roman" w:cs="Times New Roman"/>
          <w:sz w:val="24"/>
          <w:szCs w:val="24"/>
          <w:lang w:val="ru-RU" w:eastAsia="ro-MD"/>
        </w:rPr>
        <w:t>ст</w:t>
      </w:r>
      <w:r w:rsidR="00E874F9" w:rsidRPr="00D43281">
        <w:rPr>
          <w:rFonts w:ascii="Times New Roman" w:eastAsia="Times New Roman" w:hAnsi="Times New Roman" w:cs="Times New Roman"/>
          <w:sz w:val="24"/>
          <w:szCs w:val="24"/>
          <w:lang w:val="ru-RU" w:eastAsia="ro-MD"/>
        </w:rPr>
        <w:t xml:space="preserve">.154-157 (1)-(5); </w:t>
      </w:r>
      <w:r w:rsidR="006666B9" w:rsidRPr="00D43281">
        <w:rPr>
          <w:rFonts w:ascii="Times New Roman" w:eastAsia="Times New Roman" w:hAnsi="Times New Roman" w:cs="Times New Roman"/>
          <w:sz w:val="24"/>
          <w:szCs w:val="24"/>
          <w:lang w:val="ru-RU" w:eastAsia="ro-MD"/>
        </w:rPr>
        <w:t>ст</w:t>
      </w:r>
      <w:r w:rsidR="00E874F9" w:rsidRPr="00D43281">
        <w:rPr>
          <w:rFonts w:ascii="Times New Roman" w:eastAsia="Times New Roman" w:hAnsi="Times New Roman" w:cs="Times New Roman"/>
          <w:sz w:val="24"/>
          <w:szCs w:val="24"/>
          <w:lang w:val="ru-RU" w:eastAsia="ro-MD"/>
        </w:rPr>
        <w:t xml:space="preserve">.158-164 (1)-(4), (6)-(7) </w:t>
      </w:r>
      <w:r w:rsidR="006666B9" w:rsidRPr="00D43281">
        <w:rPr>
          <w:rFonts w:ascii="Times New Roman" w:eastAsia="Times New Roman" w:hAnsi="Times New Roman" w:cs="Times New Roman"/>
          <w:sz w:val="24"/>
          <w:szCs w:val="24"/>
          <w:lang w:val="ru-RU" w:eastAsia="ro-MD"/>
        </w:rPr>
        <w:t>и</w:t>
      </w:r>
      <w:r w:rsidR="00E874F9" w:rsidRPr="00D43281">
        <w:rPr>
          <w:rFonts w:ascii="Times New Roman" w:eastAsia="Times New Roman" w:hAnsi="Times New Roman" w:cs="Times New Roman"/>
          <w:sz w:val="24"/>
          <w:szCs w:val="24"/>
          <w:lang w:val="ru-RU" w:eastAsia="ro-MD"/>
        </w:rPr>
        <w:t xml:space="preserve"> (10); </w:t>
      </w:r>
      <w:r w:rsidR="006666B9" w:rsidRPr="00D43281">
        <w:rPr>
          <w:rFonts w:ascii="Times New Roman" w:eastAsia="Times New Roman" w:hAnsi="Times New Roman" w:cs="Times New Roman"/>
          <w:sz w:val="24"/>
          <w:szCs w:val="24"/>
          <w:lang w:val="ru-RU" w:eastAsia="ro-MD"/>
        </w:rPr>
        <w:t>ст</w:t>
      </w:r>
      <w:r w:rsidR="00E874F9" w:rsidRPr="00D43281">
        <w:rPr>
          <w:rFonts w:ascii="Times New Roman" w:eastAsia="Times New Roman" w:hAnsi="Times New Roman" w:cs="Times New Roman"/>
          <w:sz w:val="24"/>
          <w:szCs w:val="24"/>
          <w:lang w:val="ru-RU" w:eastAsia="ro-MD"/>
        </w:rPr>
        <w:t xml:space="preserve">.166-173 (1)-(2); </w:t>
      </w:r>
      <w:r w:rsidR="006666B9" w:rsidRPr="00D43281">
        <w:rPr>
          <w:rFonts w:ascii="Times New Roman" w:eastAsia="Times New Roman" w:hAnsi="Times New Roman" w:cs="Times New Roman"/>
          <w:sz w:val="24"/>
          <w:szCs w:val="24"/>
          <w:lang w:val="ru-RU" w:eastAsia="ro-MD"/>
        </w:rPr>
        <w:t>ст</w:t>
      </w:r>
      <w:r w:rsidR="00E874F9" w:rsidRPr="00D43281">
        <w:rPr>
          <w:rFonts w:ascii="Times New Roman" w:eastAsia="Times New Roman" w:hAnsi="Times New Roman" w:cs="Times New Roman"/>
          <w:sz w:val="24"/>
          <w:szCs w:val="24"/>
          <w:lang w:val="ru-RU" w:eastAsia="ro-MD"/>
        </w:rPr>
        <w:t xml:space="preserve">.174-178 (1)-(5); </w:t>
      </w:r>
      <w:r w:rsidR="006666B9" w:rsidRPr="00D43281">
        <w:rPr>
          <w:rFonts w:ascii="Times New Roman" w:eastAsia="Times New Roman" w:hAnsi="Times New Roman" w:cs="Times New Roman"/>
          <w:sz w:val="24"/>
          <w:szCs w:val="24"/>
          <w:lang w:val="ru-RU" w:eastAsia="ro-MD"/>
        </w:rPr>
        <w:t>ст</w:t>
      </w:r>
      <w:r w:rsidR="00E874F9" w:rsidRPr="00D43281">
        <w:rPr>
          <w:rFonts w:ascii="Times New Roman" w:eastAsia="Times New Roman" w:hAnsi="Times New Roman" w:cs="Times New Roman"/>
          <w:sz w:val="24"/>
          <w:szCs w:val="24"/>
          <w:lang w:val="ru-RU" w:eastAsia="ro-MD"/>
        </w:rPr>
        <w:t xml:space="preserve">.179-180 (1)-(2); </w:t>
      </w:r>
      <w:r w:rsidR="006666B9" w:rsidRPr="00D43281">
        <w:rPr>
          <w:rFonts w:ascii="Times New Roman" w:eastAsia="Times New Roman" w:hAnsi="Times New Roman" w:cs="Times New Roman"/>
          <w:sz w:val="24"/>
          <w:szCs w:val="24"/>
          <w:lang w:val="ru-RU" w:eastAsia="ro-MD"/>
        </w:rPr>
        <w:t>ст</w:t>
      </w:r>
      <w:r w:rsidR="00E874F9" w:rsidRPr="00D43281">
        <w:rPr>
          <w:rFonts w:ascii="Times New Roman" w:eastAsia="Times New Roman" w:hAnsi="Times New Roman" w:cs="Times New Roman"/>
          <w:sz w:val="24"/>
          <w:szCs w:val="24"/>
          <w:lang w:val="ru-RU" w:eastAsia="ro-MD"/>
        </w:rPr>
        <w:t xml:space="preserve">.181 (1)-(2); </w:t>
      </w:r>
      <w:r w:rsidR="007D292F" w:rsidRPr="00D43281">
        <w:rPr>
          <w:rFonts w:ascii="Times New Roman" w:eastAsia="Times New Roman" w:hAnsi="Times New Roman" w:cs="Times New Roman"/>
          <w:sz w:val="24"/>
          <w:szCs w:val="24"/>
          <w:lang w:val="ru-RU" w:eastAsia="ro-MD"/>
        </w:rPr>
        <w:t>ст</w:t>
      </w:r>
      <w:r w:rsidR="00E874F9" w:rsidRPr="00D43281">
        <w:rPr>
          <w:rFonts w:ascii="Times New Roman" w:eastAsia="Times New Roman" w:hAnsi="Times New Roman" w:cs="Times New Roman"/>
          <w:sz w:val="24"/>
          <w:szCs w:val="24"/>
          <w:lang w:val="ru-RU" w:eastAsia="ro-MD"/>
        </w:rPr>
        <w:t xml:space="preserve">.182 (1)-(3); </w:t>
      </w:r>
      <w:r w:rsidR="007D292F" w:rsidRPr="00D43281">
        <w:rPr>
          <w:rFonts w:ascii="Times New Roman" w:eastAsia="Times New Roman" w:hAnsi="Times New Roman" w:cs="Times New Roman"/>
          <w:sz w:val="24"/>
          <w:szCs w:val="24"/>
          <w:lang w:val="ru-RU" w:eastAsia="ro-MD"/>
        </w:rPr>
        <w:t>ст</w:t>
      </w:r>
      <w:r w:rsidR="00E874F9" w:rsidRPr="00D43281">
        <w:rPr>
          <w:rFonts w:ascii="Times New Roman" w:eastAsia="Times New Roman" w:hAnsi="Times New Roman" w:cs="Times New Roman"/>
          <w:sz w:val="24"/>
          <w:szCs w:val="24"/>
          <w:lang w:val="ru-RU" w:eastAsia="ro-MD"/>
        </w:rPr>
        <w:t xml:space="preserve">.183-191) </w:t>
      </w:r>
      <w:r w:rsidR="007D292F" w:rsidRPr="00D43281">
        <w:rPr>
          <w:rFonts w:ascii="Times New Roman" w:hAnsi="Times New Roman" w:cs="Times New Roman"/>
          <w:sz w:val="24"/>
          <w:szCs w:val="24"/>
          <w:lang w:val="ru-RU" w:eastAsia="ro-MD"/>
        </w:rPr>
        <w:t>Регламента № 575/2013 Европейского парламента и Совета от 26 июня 2013 года о пруденциальных требованиях к кредитным организациям и инвестиционным обществам и о внесении изменений в Регламент (ЕС) № 648/2012, опубликованного в Официальном журнале Европейского Союза L 176 от 27 июня 2013 года, CELEX: 32013R0575, с последними изменениями, внесенными Регламентом (ЕС) 202</w:t>
      </w:r>
      <w:r w:rsidR="0062006E" w:rsidRPr="00D43281">
        <w:rPr>
          <w:rFonts w:ascii="Times New Roman" w:hAnsi="Times New Roman" w:cs="Times New Roman"/>
          <w:sz w:val="24"/>
          <w:szCs w:val="24"/>
          <w:lang w:val="ru-RU" w:eastAsia="ro-MD"/>
        </w:rPr>
        <w:t>5</w:t>
      </w:r>
      <w:r w:rsidR="007D292F" w:rsidRPr="00D43281">
        <w:rPr>
          <w:rFonts w:ascii="Times New Roman" w:hAnsi="Times New Roman" w:cs="Times New Roman"/>
          <w:sz w:val="24"/>
          <w:szCs w:val="24"/>
          <w:lang w:val="ru-RU" w:eastAsia="ro-MD"/>
        </w:rPr>
        <w:t>/</w:t>
      </w:r>
      <w:r w:rsidR="0062006E" w:rsidRPr="00D43281">
        <w:rPr>
          <w:rFonts w:ascii="Times New Roman" w:hAnsi="Times New Roman" w:cs="Times New Roman"/>
          <w:sz w:val="24"/>
          <w:szCs w:val="24"/>
          <w:lang w:val="ru-RU" w:eastAsia="ro-MD"/>
        </w:rPr>
        <w:t>1215</w:t>
      </w:r>
      <w:r w:rsidR="007D292F" w:rsidRPr="00D43281">
        <w:rPr>
          <w:rFonts w:ascii="Times New Roman" w:hAnsi="Times New Roman" w:cs="Times New Roman"/>
          <w:sz w:val="24"/>
          <w:szCs w:val="24"/>
          <w:lang w:val="ru-RU" w:eastAsia="ro-MD"/>
        </w:rPr>
        <w:t xml:space="preserve"> Европейского парламента и Совета от </w:t>
      </w:r>
      <w:r w:rsidR="0062006E" w:rsidRPr="00D43281">
        <w:rPr>
          <w:rFonts w:ascii="Times New Roman" w:hAnsi="Times New Roman" w:cs="Times New Roman"/>
          <w:sz w:val="24"/>
          <w:szCs w:val="24"/>
          <w:lang w:val="ru-RU" w:eastAsia="ro-MD"/>
        </w:rPr>
        <w:t>17 июня</w:t>
      </w:r>
      <w:r w:rsidR="007D292F" w:rsidRPr="00D43281">
        <w:rPr>
          <w:rFonts w:ascii="Times New Roman" w:hAnsi="Times New Roman" w:cs="Times New Roman"/>
          <w:sz w:val="24"/>
          <w:szCs w:val="24"/>
          <w:lang w:val="ru-RU" w:eastAsia="ro-MD"/>
        </w:rPr>
        <w:t xml:space="preserve"> 202</w:t>
      </w:r>
      <w:r w:rsidR="0062006E" w:rsidRPr="00D43281">
        <w:rPr>
          <w:rFonts w:ascii="Times New Roman" w:hAnsi="Times New Roman" w:cs="Times New Roman"/>
          <w:sz w:val="24"/>
          <w:szCs w:val="24"/>
          <w:lang w:val="ru-RU" w:eastAsia="ro-MD"/>
        </w:rPr>
        <w:t>5</w:t>
      </w:r>
      <w:r w:rsidR="007D292F" w:rsidRPr="00D43281">
        <w:rPr>
          <w:rFonts w:ascii="Times New Roman" w:hAnsi="Times New Roman" w:cs="Times New Roman"/>
          <w:sz w:val="24"/>
          <w:szCs w:val="24"/>
          <w:lang w:val="ru-RU" w:eastAsia="ro-MD"/>
        </w:rPr>
        <w:t xml:space="preserve"> года</w:t>
      </w:r>
      <w:r w:rsidR="007D292F" w:rsidRPr="00D43281">
        <w:rPr>
          <w:rFonts w:ascii="Times New Roman" w:hAnsi="Times New Roman" w:cs="Times New Roman"/>
          <w:bCs/>
          <w:sz w:val="24"/>
          <w:szCs w:val="24"/>
          <w:lang w:val="ru-RU" w:eastAsia="ru-RU"/>
        </w:rPr>
        <w:t xml:space="preserve">; </w:t>
      </w:r>
    </w:p>
    <w:p w14:paraId="089F8D5C" w14:textId="170B5514" w:rsidR="007D292F" w:rsidRPr="00D43281" w:rsidRDefault="00D74C2B" w:rsidP="0070292D">
      <w:pPr>
        <w:tabs>
          <w:tab w:val="left" w:pos="1134"/>
        </w:tabs>
        <w:spacing w:before="80"/>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w:t>
      </w:r>
      <w:bookmarkStart w:id="3" w:name="_Hlk207097062"/>
      <w:r w:rsidRPr="00D43281">
        <w:rPr>
          <w:b/>
          <w:bCs/>
          <w:sz w:val="24"/>
          <w:szCs w:val="24"/>
          <w:lang w:val="ru-RU" w:eastAsia="ro-MD"/>
        </w:rPr>
        <w:t xml:space="preserve"> </w:t>
      </w:r>
      <w:r w:rsidRPr="00D43281">
        <w:rPr>
          <w:rFonts w:ascii="Times New Roman" w:hAnsi="Times New Roman" w:cs="Times New Roman"/>
          <w:sz w:val="24"/>
          <w:szCs w:val="24"/>
          <w:lang w:val="ru-RU" w:eastAsia="ro-MD"/>
        </w:rPr>
        <w:t>перекладывает</w:t>
      </w:r>
      <w:r w:rsidRPr="00D43281">
        <w:rPr>
          <w:rFonts w:ascii="Times New Roman" w:hAnsi="Times New Roman" w:cs="Times New Roman"/>
          <w:sz w:val="24"/>
          <w:szCs w:val="24"/>
          <w:lang w:val="ru-RU" w:eastAsia="ru-RU"/>
        </w:rPr>
        <w:t xml:space="preserve">  Делегированный регламент  (ЕС) № </w:t>
      </w:r>
      <w:r w:rsidR="00B3604D" w:rsidRPr="00D43281">
        <w:rPr>
          <w:rFonts w:ascii="Times New Roman" w:hAnsi="Times New Roman" w:cs="Times New Roman"/>
          <w:sz w:val="24"/>
          <w:szCs w:val="24"/>
          <w:lang w:val="ru-RU" w:eastAsia="ru-RU"/>
        </w:rPr>
        <w:t>2021/598</w:t>
      </w:r>
      <w:r w:rsidRPr="00D43281">
        <w:rPr>
          <w:rFonts w:ascii="Times New Roman" w:hAnsi="Times New Roman" w:cs="Times New Roman"/>
          <w:bCs/>
          <w:sz w:val="24"/>
          <w:szCs w:val="24"/>
          <w:lang w:val="ru-RU" w:eastAsia="ru-RU"/>
        </w:rPr>
        <w:t xml:space="preserve"> Комиссии от 1</w:t>
      </w:r>
      <w:r w:rsidR="00B3604D" w:rsidRPr="00D43281">
        <w:rPr>
          <w:rFonts w:ascii="Times New Roman" w:hAnsi="Times New Roman" w:cs="Times New Roman"/>
          <w:bCs/>
          <w:sz w:val="24"/>
          <w:szCs w:val="24"/>
          <w:lang w:val="ru-RU" w:eastAsia="ru-RU"/>
        </w:rPr>
        <w:t xml:space="preserve">4 декабря </w:t>
      </w:r>
      <w:r w:rsidRPr="00D43281">
        <w:rPr>
          <w:rFonts w:ascii="Times New Roman" w:hAnsi="Times New Roman" w:cs="Times New Roman"/>
          <w:bCs/>
          <w:sz w:val="24"/>
          <w:szCs w:val="24"/>
          <w:lang w:val="ru-RU" w:eastAsia="ru-RU"/>
        </w:rPr>
        <w:t>20</w:t>
      </w:r>
      <w:r w:rsidR="00B3604D" w:rsidRPr="00D43281">
        <w:rPr>
          <w:rFonts w:ascii="Times New Roman" w:hAnsi="Times New Roman" w:cs="Times New Roman"/>
          <w:bCs/>
          <w:sz w:val="24"/>
          <w:szCs w:val="24"/>
          <w:lang w:val="ru-RU" w:eastAsia="ru-RU"/>
        </w:rPr>
        <w:t>20</w:t>
      </w:r>
      <w:r w:rsidRPr="00D43281">
        <w:rPr>
          <w:rFonts w:ascii="Times New Roman" w:hAnsi="Times New Roman" w:cs="Times New Roman"/>
          <w:bCs/>
          <w:sz w:val="24"/>
          <w:szCs w:val="24"/>
          <w:lang w:val="ru-RU" w:eastAsia="ru-RU"/>
        </w:rPr>
        <w:t xml:space="preserve"> года, дополняющий Регламент  (ЕС) №   575/2013 </w:t>
      </w:r>
      <w:r w:rsidRPr="00D43281">
        <w:rPr>
          <w:rFonts w:ascii="Times New Roman" w:hAnsi="Times New Roman" w:cs="Times New Roman"/>
          <w:sz w:val="24"/>
          <w:szCs w:val="24"/>
          <w:lang w:val="ru-RU" w:eastAsia="ro-MD"/>
        </w:rPr>
        <w:t xml:space="preserve">Европейского парламента и Совета </w:t>
      </w:r>
      <w:r w:rsidRPr="00D43281">
        <w:rPr>
          <w:rFonts w:ascii="Times New Roman" w:hAnsi="Times New Roman" w:cs="Times New Roman"/>
          <w:bCs/>
          <w:sz w:val="24"/>
          <w:szCs w:val="24"/>
          <w:lang w:val="ru-RU" w:eastAsia="ru-RU"/>
        </w:rPr>
        <w:t>в отношении технических нормативных стандартов</w:t>
      </w:r>
      <w:r w:rsidR="00EC7AE9" w:rsidRPr="00D43281">
        <w:rPr>
          <w:rFonts w:ascii="Times New Roman" w:hAnsi="Times New Roman" w:cs="Times New Roman"/>
          <w:bCs/>
          <w:sz w:val="24"/>
          <w:szCs w:val="24"/>
          <w:lang w:val="ru-RU" w:eastAsia="ru-RU"/>
        </w:rPr>
        <w:t xml:space="preserve"> </w:t>
      </w:r>
      <w:bookmarkEnd w:id="3"/>
      <w:r w:rsidR="00EC7AE9" w:rsidRPr="00D43281">
        <w:rPr>
          <w:rFonts w:ascii="Times New Roman" w:hAnsi="Times New Roman" w:cs="Times New Roman"/>
          <w:bCs/>
          <w:sz w:val="24"/>
          <w:szCs w:val="24"/>
          <w:lang w:val="ru-RU" w:eastAsia="ru-RU"/>
        </w:rPr>
        <w:t xml:space="preserve">для присвоения весовых коэффициентов риска </w:t>
      </w:r>
      <w:r w:rsidR="000F3979" w:rsidRPr="00D43281">
        <w:rPr>
          <w:rFonts w:ascii="Times New Roman" w:hAnsi="Times New Roman" w:cs="Times New Roman"/>
          <w:bCs/>
          <w:sz w:val="24"/>
          <w:szCs w:val="24"/>
          <w:lang w:val="ru-RU" w:eastAsia="ru-RU"/>
        </w:rPr>
        <w:t xml:space="preserve">для </w:t>
      </w:r>
      <w:r w:rsidR="0083228A" w:rsidRPr="00D43281">
        <w:rPr>
          <w:rFonts w:ascii="Times New Roman" w:hAnsi="Times New Roman" w:cs="Times New Roman"/>
          <w:bCs/>
          <w:sz w:val="24"/>
          <w:szCs w:val="24"/>
          <w:lang w:val="ru-RU" w:eastAsia="ru-RU"/>
        </w:rPr>
        <w:t>подверженностей</w:t>
      </w:r>
      <w:r w:rsidR="00EC7AE9" w:rsidRPr="00D43281">
        <w:rPr>
          <w:rFonts w:ascii="Times New Roman" w:hAnsi="Times New Roman" w:cs="Times New Roman"/>
          <w:bCs/>
          <w:sz w:val="24"/>
          <w:szCs w:val="24"/>
          <w:lang w:val="ru-RU" w:eastAsia="ru-RU"/>
        </w:rPr>
        <w:t xml:space="preserve"> по специализированному финансированию, опубликованный в Официальном журнале Европейского Союза L 127 от 14 апреля 2021 г., CELEX: 32021R0598.</w:t>
      </w:r>
    </w:p>
    <w:bookmarkEnd w:id="1"/>
    <w:bookmarkEnd w:id="2"/>
    <w:p w14:paraId="6A233594" w14:textId="0B4F9BE0" w:rsidR="00EA0BA9" w:rsidRPr="00D43281" w:rsidRDefault="00FB04A1" w:rsidP="00E90A53">
      <w:pPr>
        <w:pStyle w:val="ListParagraph"/>
        <w:numPr>
          <w:ilvl w:val="0"/>
          <w:numId w:val="1"/>
        </w:numPr>
        <w:spacing w:after="0" w:line="240" w:lineRule="auto"/>
        <w:ind w:left="0" w:firstLine="567"/>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xml:space="preserve">Утвердить Регламент о подходе к кредитному риску </w:t>
      </w:r>
      <w:r w:rsidR="00FF5A0B" w:rsidRPr="00D43281">
        <w:rPr>
          <w:rFonts w:ascii="Times New Roman" w:eastAsia="Times New Roman" w:hAnsi="Times New Roman" w:cs="Times New Roman"/>
          <w:sz w:val="24"/>
          <w:szCs w:val="24"/>
          <w:lang w:val="ru-RU" w:eastAsia="ro-MD"/>
        </w:rPr>
        <w:t xml:space="preserve">в соответствии с подходом, основанным на </w:t>
      </w:r>
      <w:r w:rsidR="003B73D7" w:rsidRPr="00D43281">
        <w:rPr>
          <w:rFonts w:ascii="Times New Roman" w:eastAsia="Times New Roman" w:hAnsi="Times New Roman" w:cs="Times New Roman"/>
          <w:sz w:val="24"/>
          <w:szCs w:val="24"/>
          <w:lang w:val="ru-RU" w:eastAsia="ro-MD"/>
        </w:rPr>
        <w:t>внутренних рейтинговых</w:t>
      </w:r>
      <w:r w:rsidR="00B75124" w:rsidRPr="00D43281">
        <w:rPr>
          <w:rFonts w:ascii="Times New Roman" w:eastAsia="Times New Roman" w:hAnsi="Times New Roman" w:cs="Times New Roman"/>
          <w:sz w:val="24"/>
          <w:szCs w:val="24"/>
          <w:lang w:val="ru-RU" w:eastAsia="ro-MD"/>
        </w:rPr>
        <w:t xml:space="preserve"> моделях </w:t>
      </w:r>
      <w:r w:rsidR="00EA0BA9" w:rsidRPr="00D43281">
        <w:rPr>
          <w:rFonts w:ascii="Times New Roman" w:eastAsia="Times New Roman" w:hAnsi="Times New Roman" w:cs="Times New Roman"/>
          <w:sz w:val="24"/>
          <w:szCs w:val="24"/>
          <w:lang w:val="ru-RU" w:eastAsia="ro-MD"/>
        </w:rPr>
        <w:t>(</w:t>
      </w:r>
      <w:r w:rsidR="00B75124" w:rsidRPr="00D43281">
        <w:rPr>
          <w:rFonts w:ascii="Times New Roman" w:eastAsia="Times New Roman" w:hAnsi="Times New Roman" w:cs="Times New Roman"/>
          <w:sz w:val="24"/>
          <w:szCs w:val="24"/>
          <w:lang w:val="ru-RU" w:eastAsia="ro-MD"/>
        </w:rPr>
        <w:t>прилагается</w:t>
      </w:r>
      <w:r w:rsidR="00EA0BA9" w:rsidRPr="00D43281">
        <w:rPr>
          <w:rFonts w:ascii="Times New Roman" w:eastAsia="Times New Roman" w:hAnsi="Times New Roman" w:cs="Times New Roman"/>
          <w:sz w:val="24"/>
          <w:szCs w:val="24"/>
          <w:lang w:val="ru-RU" w:eastAsia="ro-MD"/>
        </w:rPr>
        <w:t>).</w:t>
      </w:r>
    </w:p>
    <w:p w14:paraId="5090AAF9" w14:textId="77777777" w:rsidR="00AC5C1C" w:rsidRPr="00D43281" w:rsidRDefault="003B73D7" w:rsidP="00BB0AFC">
      <w:pPr>
        <w:pStyle w:val="ListParagraph"/>
        <w:numPr>
          <w:ilvl w:val="0"/>
          <w:numId w:val="1"/>
        </w:numPr>
        <w:spacing w:after="0" w:line="240" w:lineRule="auto"/>
        <w:ind w:left="0" w:firstLine="567"/>
        <w:jc w:val="both"/>
        <w:rPr>
          <w:rFonts w:ascii="Times New Roman" w:eastAsia="Times New Roman" w:hAnsi="Times New Roman" w:cs="Times New Roman"/>
          <w:sz w:val="24"/>
          <w:szCs w:val="24"/>
          <w:lang w:val="ro-RO" w:eastAsia="ro-MD"/>
        </w:rPr>
      </w:pPr>
      <w:r w:rsidRPr="00D43281">
        <w:rPr>
          <w:rFonts w:ascii="Times New Roman" w:eastAsia="Times New Roman" w:hAnsi="Times New Roman" w:cs="Times New Roman"/>
          <w:sz w:val="24"/>
          <w:szCs w:val="24"/>
          <w:lang w:val="ru-RU" w:eastAsia="ro-MD"/>
        </w:rPr>
        <w:t>Настоящее постановление вступает в силу 1 июля 2027 года, за исключением пункта 138, касающегося конкретных обязательств по представлению отчетности, который вступает в силу 1 января 2028 года</w:t>
      </w:r>
      <w:r w:rsidR="00AC5C1C" w:rsidRPr="00BB1E28">
        <w:rPr>
          <w:rFonts w:ascii="Times New Roman" w:eastAsia="Times New Roman" w:hAnsi="Times New Roman" w:cs="Times New Roman"/>
          <w:sz w:val="24"/>
          <w:szCs w:val="24"/>
          <w:lang w:val="ru-RU" w:eastAsia="ro-MD"/>
        </w:rPr>
        <w:t>.</w:t>
      </w:r>
    </w:p>
    <w:p w14:paraId="088E6859" w14:textId="77777777" w:rsidR="00E27F00" w:rsidRPr="00D43281" w:rsidRDefault="00E27F00" w:rsidP="00BB0AFC">
      <w:pPr>
        <w:pStyle w:val="ListParagraph"/>
        <w:numPr>
          <w:ilvl w:val="0"/>
          <w:numId w:val="1"/>
        </w:numPr>
        <w:spacing w:after="0" w:line="240" w:lineRule="auto"/>
        <w:ind w:left="0" w:firstLine="567"/>
        <w:jc w:val="both"/>
        <w:rPr>
          <w:rFonts w:ascii="Times New Roman" w:eastAsia="Times New Roman" w:hAnsi="Times New Roman" w:cs="Times New Roman"/>
          <w:sz w:val="24"/>
          <w:szCs w:val="24"/>
          <w:lang w:val="ro-RO" w:eastAsia="ro-MD"/>
        </w:rPr>
      </w:pPr>
      <w:r w:rsidRPr="00D43281">
        <w:rPr>
          <w:rFonts w:ascii="Times New Roman" w:eastAsia="Times New Roman" w:hAnsi="Times New Roman" w:cs="Times New Roman"/>
          <w:sz w:val="24"/>
          <w:szCs w:val="24"/>
          <w:lang w:val="ru-RU" w:eastAsia="ro-MD"/>
        </w:rPr>
        <w:t>До даты вступления в силу Договора о присоединении Республики Молдова к Европейскому Союзу</w:t>
      </w:r>
      <w:r w:rsidRPr="00BB1E28">
        <w:rPr>
          <w:rFonts w:ascii="Times New Roman" w:eastAsia="Times New Roman" w:hAnsi="Times New Roman" w:cs="Times New Roman"/>
          <w:sz w:val="24"/>
          <w:szCs w:val="24"/>
          <w:lang w:val="ru-RU" w:eastAsia="ro-MD"/>
        </w:rPr>
        <w:t>:</w:t>
      </w:r>
    </w:p>
    <w:p w14:paraId="477A0B05" w14:textId="59458C9A" w:rsidR="00132EDB" w:rsidRPr="00D43281" w:rsidRDefault="00E27F00" w:rsidP="004F7C44">
      <w:pPr>
        <w:pStyle w:val="ListParagraph"/>
        <w:numPr>
          <w:ilvl w:val="1"/>
          <w:numId w:val="1"/>
        </w:numPr>
        <w:spacing w:after="0" w:line="240" w:lineRule="auto"/>
        <w:ind w:left="0" w:firstLine="567"/>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для положений, указанных в пункт</w:t>
      </w:r>
      <w:r w:rsidRPr="00D43281">
        <w:rPr>
          <w:rFonts w:ascii="Times New Roman" w:eastAsia="Times New Roman" w:hAnsi="Times New Roman" w:cs="Times New Roman"/>
          <w:sz w:val="24"/>
          <w:szCs w:val="24"/>
          <w:lang w:val="en-US" w:eastAsia="ro-MD"/>
        </w:rPr>
        <w:t>e</w:t>
      </w:r>
      <w:r w:rsidRPr="00D43281">
        <w:rPr>
          <w:rFonts w:ascii="Times New Roman" w:eastAsia="Times New Roman" w:hAnsi="Times New Roman" w:cs="Times New Roman"/>
          <w:sz w:val="24"/>
          <w:szCs w:val="24"/>
          <w:lang w:val="ru-RU" w:eastAsia="ro-MD"/>
        </w:rPr>
        <w:t xml:space="preserve"> </w:t>
      </w:r>
      <w:r w:rsidR="001B4CF8" w:rsidRPr="00BB1E28">
        <w:rPr>
          <w:rFonts w:ascii="Times New Roman" w:eastAsia="Times New Roman" w:hAnsi="Times New Roman" w:cs="Times New Roman"/>
          <w:sz w:val="24"/>
          <w:szCs w:val="24"/>
          <w:lang w:val="ru-RU" w:eastAsia="ro-MD"/>
        </w:rPr>
        <w:t>23.1.2</w:t>
      </w:r>
      <w:r w:rsidRPr="00D43281">
        <w:rPr>
          <w:rFonts w:ascii="Times New Roman" w:eastAsia="Times New Roman" w:hAnsi="Times New Roman" w:cs="Times New Roman"/>
          <w:sz w:val="24"/>
          <w:szCs w:val="24"/>
          <w:lang w:val="ru-RU" w:eastAsia="ro-MD"/>
        </w:rPr>
        <w:t xml:space="preserve">, </w:t>
      </w:r>
      <w:r w:rsidR="001B4CF8" w:rsidRPr="00D43281">
        <w:rPr>
          <w:rFonts w:ascii="Times New Roman" w:eastAsia="Times New Roman" w:hAnsi="Times New Roman" w:cs="Times New Roman"/>
          <w:sz w:val="24"/>
          <w:szCs w:val="24"/>
          <w:lang w:val="ru-RU" w:eastAsia="ro-MD"/>
        </w:rPr>
        <w:t>банки будут применять значение в 5 миллионов MDL</w:t>
      </w:r>
      <w:r w:rsidR="00132EDB" w:rsidRPr="00D43281">
        <w:rPr>
          <w:rFonts w:ascii="Times New Roman" w:eastAsia="Times New Roman" w:hAnsi="Times New Roman" w:cs="Times New Roman"/>
          <w:sz w:val="24"/>
          <w:szCs w:val="24"/>
          <w:lang w:val="ru-RU" w:eastAsia="ro-MD"/>
        </w:rPr>
        <w:t>;</w:t>
      </w:r>
    </w:p>
    <w:p w14:paraId="624A5982" w14:textId="18CB5995" w:rsidR="00132EDB" w:rsidRPr="00D43281" w:rsidRDefault="001B4CF8" w:rsidP="004F7C44">
      <w:pPr>
        <w:pStyle w:val="ListParagraph"/>
        <w:numPr>
          <w:ilvl w:val="1"/>
          <w:numId w:val="1"/>
        </w:numPr>
        <w:spacing w:after="0" w:line="240" w:lineRule="auto"/>
        <w:ind w:left="0" w:firstLine="567"/>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для положений, указанных в пункт</w:t>
      </w:r>
      <w:r w:rsidRPr="00D43281">
        <w:rPr>
          <w:rFonts w:ascii="Times New Roman" w:eastAsia="Times New Roman" w:hAnsi="Times New Roman" w:cs="Times New Roman"/>
          <w:sz w:val="24"/>
          <w:szCs w:val="24"/>
          <w:lang w:val="en-US" w:eastAsia="ro-MD"/>
        </w:rPr>
        <w:t>e</w:t>
      </w:r>
      <w:r w:rsidRPr="00D43281">
        <w:rPr>
          <w:rFonts w:ascii="Times New Roman" w:eastAsia="Times New Roman" w:hAnsi="Times New Roman" w:cs="Times New Roman"/>
          <w:sz w:val="24"/>
          <w:szCs w:val="24"/>
          <w:lang w:val="ru-RU" w:eastAsia="ro-MD"/>
        </w:rPr>
        <w:t xml:space="preserve"> </w:t>
      </w:r>
      <w:r w:rsidRPr="00BB1E28">
        <w:rPr>
          <w:rFonts w:ascii="Times New Roman" w:eastAsia="Times New Roman" w:hAnsi="Times New Roman" w:cs="Times New Roman"/>
          <w:sz w:val="24"/>
          <w:szCs w:val="24"/>
          <w:lang w:val="ru-RU" w:eastAsia="ro-MD"/>
        </w:rPr>
        <w:t>2</w:t>
      </w:r>
      <w:r w:rsidR="001A4571" w:rsidRPr="00BB1E28">
        <w:rPr>
          <w:rFonts w:ascii="Times New Roman" w:eastAsia="Times New Roman" w:hAnsi="Times New Roman" w:cs="Times New Roman"/>
          <w:sz w:val="24"/>
          <w:szCs w:val="24"/>
          <w:lang w:val="ru-RU" w:eastAsia="ro-MD"/>
        </w:rPr>
        <w:t>7</w:t>
      </w:r>
      <w:r w:rsidRPr="00BB1E28">
        <w:rPr>
          <w:rFonts w:ascii="Times New Roman" w:eastAsia="Times New Roman" w:hAnsi="Times New Roman" w:cs="Times New Roman"/>
          <w:sz w:val="24"/>
          <w:szCs w:val="24"/>
          <w:lang w:val="ru-RU" w:eastAsia="ro-MD"/>
        </w:rPr>
        <w:t>.</w:t>
      </w:r>
      <w:r w:rsidR="001A4571" w:rsidRPr="00BB1E28">
        <w:rPr>
          <w:rFonts w:ascii="Times New Roman" w:eastAsia="Times New Roman" w:hAnsi="Times New Roman" w:cs="Times New Roman"/>
          <w:sz w:val="24"/>
          <w:szCs w:val="24"/>
          <w:lang w:val="ru-RU" w:eastAsia="ro-MD"/>
        </w:rPr>
        <w:t>3</w:t>
      </w:r>
      <w:r w:rsidRPr="00D43281">
        <w:rPr>
          <w:rFonts w:ascii="Times New Roman" w:eastAsia="Times New Roman" w:hAnsi="Times New Roman" w:cs="Times New Roman"/>
          <w:sz w:val="24"/>
          <w:szCs w:val="24"/>
          <w:lang w:val="ru-RU" w:eastAsia="ro-MD"/>
        </w:rPr>
        <w:t xml:space="preserve">, </w:t>
      </w:r>
      <w:r w:rsidR="00E27F00" w:rsidRPr="00D43281">
        <w:rPr>
          <w:rFonts w:ascii="Times New Roman" w:eastAsia="Times New Roman" w:hAnsi="Times New Roman" w:cs="Times New Roman"/>
          <w:sz w:val="24"/>
          <w:szCs w:val="24"/>
          <w:lang w:val="ru-RU" w:eastAsia="ro-MD"/>
        </w:rPr>
        <w:t xml:space="preserve">банки будут применять </w:t>
      </w:r>
      <w:r w:rsidR="00132EDB" w:rsidRPr="00D43281">
        <w:rPr>
          <w:rFonts w:ascii="Times New Roman" w:eastAsia="Times New Roman" w:hAnsi="Times New Roman" w:cs="Times New Roman"/>
          <w:sz w:val="24"/>
          <w:szCs w:val="24"/>
          <w:lang w:val="ru-RU" w:eastAsia="ro-MD"/>
        </w:rPr>
        <w:t>максимальное значение риска для физического лица в размере менее или равном 500 000 MDL;</w:t>
      </w:r>
    </w:p>
    <w:p w14:paraId="3AEE2F6D" w14:textId="4BB710C3" w:rsidR="00132EDB" w:rsidRPr="00D43281" w:rsidRDefault="00132EDB" w:rsidP="004F7C44">
      <w:pPr>
        <w:pStyle w:val="ListParagraph"/>
        <w:numPr>
          <w:ilvl w:val="1"/>
          <w:numId w:val="1"/>
        </w:numPr>
        <w:spacing w:after="0" w:line="240" w:lineRule="auto"/>
        <w:ind w:left="0" w:firstLine="567"/>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для положений, указанных в пункте 73, банки будут применять значение, равное эквиваленту MDL в 25 миллионов евро вместо 50 миллионов евро;</w:t>
      </w:r>
    </w:p>
    <w:p w14:paraId="63CB6D3E" w14:textId="157F1F21" w:rsidR="00EA0BA9" w:rsidRPr="00D43281" w:rsidRDefault="00132EDB" w:rsidP="001A4571">
      <w:pPr>
        <w:pStyle w:val="ListParagraph"/>
        <w:numPr>
          <w:ilvl w:val="1"/>
          <w:numId w:val="1"/>
        </w:numPr>
        <w:spacing w:after="0" w:line="240" w:lineRule="auto"/>
        <w:ind w:left="0" w:firstLine="567"/>
        <w:jc w:val="both"/>
        <w:rPr>
          <w:rFonts w:ascii="Times New Roman" w:eastAsia="Times New Roman" w:hAnsi="Times New Roman" w:cs="Times New Roman"/>
          <w:sz w:val="24"/>
          <w:szCs w:val="24"/>
          <w:lang w:val="ro-RO" w:eastAsia="ro-MD"/>
        </w:rPr>
      </w:pPr>
      <w:r w:rsidRPr="00D43281">
        <w:rPr>
          <w:rFonts w:ascii="Times New Roman" w:eastAsia="Times New Roman" w:hAnsi="Times New Roman" w:cs="Times New Roman"/>
          <w:sz w:val="24"/>
          <w:szCs w:val="24"/>
          <w:lang w:val="ru-RU" w:eastAsia="ro-MD"/>
        </w:rPr>
        <w:lastRenderedPageBreak/>
        <w:t>для положений, указанных в пунктах 71.2.2, 71.3, 79, 80.1, 80.2, банки будут применять коэффициент 10 вместо 12,5 и вес 1000% вместо 1250%.</w:t>
      </w:r>
    </w:p>
    <w:p w14:paraId="262DDFEF" w14:textId="77777777" w:rsidR="00BD0B67" w:rsidRDefault="00BD0B67" w:rsidP="004215D9">
      <w:pPr>
        <w:spacing w:line="240" w:lineRule="auto"/>
        <w:rPr>
          <w:rFonts w:ascii="Times New Roman" w:hAnsi="Times New Roman" w:cs="Times New Roman"/>
          <w:color w:val="000000" w:themeColor="text1"/>
          <w:sz w:val="24"/>
          <w:szCs w:val="24"/>
          <w:lang w:val="ro-RO"/>
        </w:rPr>
      </w:pPr>
    </w:p>
    <w:p w14:paraId="6D4CC936" w14:textId="77777777" w:rsidR="00BD0B67" w:rsidRDefault="00BD0B67" w:rsidP="004215D9">
      <w:pPr>
        <w:spacing w:line="240" w:lineRule="auto"/>
        <w:rPr>
          <w:rFonts w:ascii="Times New Roman" w:hAnsi="Times New Roman" w:cs="Times New Roman"/>
          <w:color w:val="000000" w:themeColor="text1"/>
          <w:sz w:val="24"/>
          <w:szCs w:val="24"/>
          <w:lang w:val="ro-RO"/>
        </w:rPr>
      </w:pPr>
    </w:p>
    <w:tbl>
      <w:tblPr>
        <w:tblW w:w="0" w:type="auto"/>
        <w:tblInd w:w="567" w:type="dxa"/>
        <w:tblCellMar>
          <w:top w:w="15" w:type="dxa"/>
          <w:left w:w="15" w:type="dxa"/>
          <w:bottom w:w="15" w:type="dxa"/>
          <w:right w:w="15" w:type="dxa"/>
        </w:tblCellMar>
        <w:tblLook w:val="04A0" w:firstRow="1" w:lastRow="0" w:firstColumn="1" w:lastColumn="0" w:noHBand="0" w:noVBand="1"/>
      </w:tblPr>
      <w:tblGrid>
        <w:gridCol w:w="5872"/>
        <w:gridCol w:w="2164"/>
      </w:tblGrid>
      <w:tr w:rsidR="00BD0B67" w:rsidRPr="00BD0B67" w14:paraId="0D563714" w14:textId="77777777" w:rsidTr="00BD0B67">
        <w:tc>
          <w:tcPr>
            <w:tcW w:w="0" w:type="auto"/>
            <w:tcBorders>
              <w:top w:val="nil"/>
              <w:left w:val="nil"/>
              <w:bottom w:val="nil"/>
              <w:right w:val="nil"/>
            </w:tcBorders>
            <w:tcMar>
              <w:top w:w="24" w:type="dxa"/>
              <w:left w:w="48" w:type="dxa"/>
              <w:bottom w:w="24" w:type="dxa"/>
              <w:right w:w="1680" w:type="dxa"/>
            </w:tcMar>
            <w:hideMark/>
          </w:tcPr>
          <w:p w14:paraId="16C151A5" w14:textId="77777777" w:rsidR="00BD0B67" w:rsidRPr="00BD0B67" w:rsidRDefault="00BD0B67" w:rsidP="00BD0B67">
            <w:pPr>
              <w:spacing w:after="0" w:line="240" w:lineRule="auto"/>
              <w:rPr>
                <w:rFonts w:ascii="Times New Roman" w:hAnsi="Times New Roman" w:cs="Times New Roman"/>
                <w:b/>
                <w:bCs/>
                <w:color w:val="000000" w:themeColor="text1"/>
                <w:sz w:val="24"/>
                <w:szCs w:val="24"/>
              </w:rPr>
            </w:pPr>
            <w:r w:rsidRPr="00BD0B67">
              <w:rPr>
                <w:rFonts w:ascii="Times New Roman" w:hAnsi="Times New Roman" w:cs="Times New Roman"/>
                <w:b/>
                <w:bCs/>
                <w:color w:val="000000" w:themeColor="text1"/>
                <w:sz w:val="24"/>
                <w:szCs w:val="24"/>
              </w:rPr>
              <w:t>ПРЕДСЕДАТЕЛЬ</w:t>
            </w:r>
          </w:p>
        </w:tc>
        <w:tc>
          <w:tcPr>
            <w:tcW w:w="0" w:type="auto"/>
            <w:tcBorders>
              <w:top w:val="nil"/>
              <w:left w:val="nil"/>
              <w:bottom w:val="nil"/>
              <w:right w:val="nil"/>
            </w:tcBorders>
            <w:tcMar>
              <w:top w:w="24" w:type="dxa"/>
              <w:left w:w="48" w:type="dxa"/>
              <w:bottom w:w="24" w:type="dxa"/>
              <w:right w:w="48" w:type="dxa"/>
            </w:tcMar>
            <w:hideMark/>
          </w:tcPr>
          <w:p w14:paraId="1165E6DC" w14:textId="77777777" w:rsidR="00BD0B67" w:rsidRPr="00BD0B67" w:rsidRDefault="00BD0B67" w:rsidP="00BD0B67">
            <w:pPr>
              <w:spacing w:after="0" w:line="240" w:lineRule="auto"/>
              <w:rPr>
                <w:rFonts w:ascii="Times New Roman" w:hAnsi="Times New Roman" w:cs="Times New Roman"/>
                <w:b/>
                <w:bCs/>
                <w:color w:val="000000" w:themeColor="text1"/>
                <w:sz w:val="24"/>
                <w:szCs w:val="24"/>
              </w:rPr>
            </w:pPr>
          </w:p>
        </w:tc>
      </w:tr>
      <w:tr w:rsidR="00BD0B67" w:rsidRPr="00BD0B67" w14:paraId="2688544F" w14:textId="77777777" w:rsidTr="00BD0B67">
        <w:tc>
          <w:tcPr>
            <w:tcW w:w="0" w:type="auto"/>
            <w:tcBorders>
              <w:top w:val="nil"/>
              <w:left w:val="nil"/>
              <w:bottom w:val="nil"/>
              <w:right w:val="nil"/>
            </w:tcBorders>
            <w:tcMar>
              <w:top w:w="24" w:type="dxa"/>
              <w:left w:w="48" w:type="dxa"/>
              <w:bottom w:w="24" w:type="dxa"/>
              <w:right w:w="1680" w:type="dxa"/>
            </w:tcMar>
            <w:hideMark/>
          </w:tcPr>
          <w:p w14:paraId="3F8BB3BC" w14:textId="77777777" w:rsidR="00BD0B67" w:rsidRPr="00BD0B67" w:rsidRDefault="00BD0B67" w:rsidP="00BD0B67">
            <w:pPr>
              <w:spacing w:line="240" w:lineRule="auto"/>
              <w:rPr>
                <w:rFonts w:ascii="Times New Roman" w:hAnsi="Times New Roman" w:cs="Times New Roman"/>
                <w:b/>
                <w:bCs/>
                <w:color w:val="000000" w:themeColor="text1"/>
                <w:sz w:val="24"/>
                <w:szCs w:val="24"/>
              </w:rPr>
            </w:pPr>
            <w:r w:rsidRPr="00BD0B67">
              <w:rPr>
                <w:rFonts w:ascii="Times New Roman" w:hAnsi="Times New Roman" w:cs="Times New Roman"/>
                <w:b/>
                <w:bCs/>
                <w:color w:val="000000" w:themeColor="text1"/>
                <w:sz w:val="24"/>
                <w:szCs w:val="24"/>
              </w:rPr>
              <w:t>ИСПОЛНИТЕЛЬНОГО КОМИТЕТА</w:t>
            </w:r>
          </w:p>
        </w:tc>
        <w:tc>
          <w:tcPr>
            <w:tcW w:w="0" w:type="auto"/>
            <w:tcBorders>
              <w:top w:val="nil"/>
              <w:left w:val="nil"/>
              <w:bottom w:val="nil"/>
              <w:right w:val="nil"/>
            </w:tcBorders>
            <w:tcMar>
              <w:top w:w="24" w:type="dxa"/>
              <w:left w:w="48" w:type="dxa"/>
              <w:bottom w:w="24" w:type="dxa"/>
              <w:right w:w="48" w:type="dxa"/>
            </w:tcMar>
            <w:hideMark/>
          </w:tcPr>
          <w:p w14:paraId="6D7B1959" w14:textId="77777777" w:rsidR="00BD0B67" w:rsidRPr="00BD0B67" w:rsidRDefault="00BD0B67" w:rsidP="00BD0B67">
            <w:pPr>
              <w:spacing w:line="240" w:lineRule="auto"/>
              <w:rPr>
                <w:rFonts w:ascii="Times New Roman" w:hAnsi="Times New Roman" w:cs="Times New Roman"/>
                <w:b/>
                <w:bCs/>
                <w:color w:val="000000" w:themeColor="text1"/>
                <w:sz w:val="24"/>
                <w:szCs w:val="24"/>
              </w:rPr>
            </w:pPr>
            <w:proofErr w:type="spellStart"/>
            <w:r w:rsidRPr="00BD0B67">
              <w:rPr>
                <w:rFonts w:ascii="Times New Roman" w:hAnsi="Times New Roman" w:cs="Times New Roman"/>
                <w:b/>
                <w:bCs/>
                <w:color w:val="000000" w:themeColor="text1"/>
                <w:sz w:val="24"/>
                <w:szCs w:val="24"/>
              </w:rPr>
              <w:t>Анка-Дана</w:t>
            </w:r>
            <w:proofErr w:type="spellEnd"/>
            <w:r w:rsidRPr="00BD0B67">
              <w:rPr>
                <w:rFonts w:ascii="Times New Roman" w:hAnsi="Times New Roman" w:cs="Times New Roman"/>
                <w:b/>
                <w:bCs/>
                <w:color w:val="000000" w:themeColor="text1"/>
                <w:sz w:val="24"/>
                <w:szCs w:val="24"/>
              </w:rPr>
              <w:t xml:space="preserve"> ДРАГУ</w:t>
            </w:r>
          </w:p>
        </w:tc>
      </w:tr>
      <w:tr w:rsidR="00BD0B67" w:rsidRPr="00BD0B67" w14:paraId="2D4AC635" w14:textId="77777777" w:rsidTr="00BD0B67">
        <w:tc>
          <w:tcPr>
            <w:tcW w:w="0" w:type="auto"/>
            <w:gridSpan w:val="2"/>
            <w:tcBorders>
              <w:top w:val="nil"/>
              <w:left w:val="nil"/>
              <w:bottom w:val="nil"/>
              <w:right w:val="nil"/>
            </w:tcBorders>
            <w:tcMar>
              <w:top w:w="120" w:type="dxa"/>
              <w:left w:w="48" w:type="dxa"/>
              <w:bottom w:w="24" w:type="dxa"/>
              <w:right w:w="48" w:type="dxa"/>
            </w:tcMar>
            <w:hideMark/>
          </w:tcPr>
          <w:p w14:paraId="5717209B" w14:textId="77777777" w:rsidR="00BD0B67" w:rsidRPr="00BD0B67" w:rsidRDefault="00BD0B67" w:rsidP="00BD0B67">
            <w:pPr>
              <w:spacing w:line="240" w:lineRule="auto"/>
              <w:rPr>
                <w:rFonts w:ascii="Times New Roman" w:hAnsi="Times New Roman" w:cs="Times New Roman"/>
                <w:b/>
                <w:bCs/>
                <w:color w:val="000000" w:themeColor="text1"/>
                <w:sz w:val="24"/>
                <w:szCs w:val="24"/>
              </w:rPr>
            </w:pPr>
            <w:r w:rsidRPr="00BD0B67">
              <w:rPr>
                <w:rFonts w:ascii="Times New Roman" w:hAnsi="Times New Roman" w:cs="Times New Roman"/>
                <w:b/>
                <w:bCs/>
                <w:color w:val="000000" w:themeColor="text1"/>
                <w:sz w:val="24"/>
                <w:szCs w:val="24"/>
              </w:rPr>
              <w:t xml:space="preserve">№ 162. </w:t>
            </w:r>
            <w:proofErr w:type="spellStart"/>
            <w:r w:rsidRPr="00BD0B67">
              <w:rPr>
                <w:rFonts w:ascii="Times New Roman" w:hAnsi="Times New Roman" w:cs="Times New Roman"/>
                <w:b/>
                <w:bCs/>
                <w:color w:val="000000" w:themeColor="text1"/>
                <w:sz w:val="24"/>
                <w:szCs w:val="24"/>
              </w:rPr>
              <w:t>Кишинэу</w:t>
            </w:r>
            <w:proofErr w:type="spellEnd"/>
            <w:r w:rsidRPr="00BD0B67">
              <w:rPr>
                <w:rFonts w:ascii="Times New Roman" w:hAnsi="Times New Roman" w:cs="Times New Roman"/>
                <w:b/>
                <w:bCs/>
                <w:color w:val="000000" w:themeColor="text1"/>
                <w:sz w:val="24"/>
                <w:szCs w:val="24"/>
              </w:rPr>
              <w:t xml:space="preserve">, 2 </w:t>
            </w:r>
            <w:proofErr w:type="spellStart"/>
            <w:r w:rsidRPr="00BD0B67">
              <w:rPr>
                <w:rFonts w:ascii="Times New Roman" w:hAnsi="Times New Roman" w:cs="Times New Roman"/>
                <w:b/>
                <w:bCs/>
                <w:color w:val="000000" w:themeColor="text1"/>
                <w:sz w:val="24"/>
                <w:szCs w:val="24"/>
              </w:rPr>
              <w:t>июля</w:t>
            </w:r>
            <w:proofErr w:type="spellEnd"/>
            <w:r w:rsidRPr="00BD0B67">
              <w:rPr>
                <w:rFonts w:ascii="Times New Roman" w:hAnsi="Times New Roman" w:cs="Times New Roman"/>
                <w:b/>
                <w:bCs/>
                <w:color w:val="000000" w:themeColor="text1"/>
                <w:sz w:val="24"/>
                <w:szCs w:val="24"/>
              </w:rPr>
              <w:t xml:space="preserve"> 2026 г.</w:t>
            </w:r>
          </w:p>
        </w:tc>
      </w:tr>
    </w:tbl>
    <w:p w14:paraId="0E2AD4BE" w14:textId="255A9FC1" w:rsidR="00EA0BA9" w:rsidRPr="00D43281" w:rsidRDefault="00BD0B67" w:rsidP="004215D9">
      <w:pPr>
        <w:spacing w:line="240" w:lineRule="auto"/>
        <w:rPr>
          <w:rFonts w:ascii="Times New Roman" w:hAnsi="Times New Roman" w:cs="Times New Roman"/>
          <w:color w:val="000000" w:themeColor="text1"/>
          <w:kern w:val="2"/>
          <w:sz w:val="24"/>
          <w:szCs w:val="24"/>
          <w:lang w:val="ro-RO"/>
          <w14:ligatures w14:val="standardContextual"/>
        </w:rPr>
      </w:pPr>
      <w:r w:rsidRPr="00BD0B67">
        <w:rPr>
          <w:rFonts w:ascii="Times New Roman" w:hAnsi="Times New Roman" w:cs="Times New Roman"/>
          <w:color w:val="000000" w:themeColor="text1"/>
          <w:sz w:val="24"/>
          <w:szCs w:val="24"/>
        </w:rPr>
        <w:br/>
      </w:r>
      <w:r w:rsidR="00EA0BA9" w:rsidRPr="00D43281">
        <w:rPr>
          <w:rFonts w:ascii="Times New Roman" w:hAnsi="Times New Roman" w:cs="Times New Roman"/>
          <w:color w:val="000000" w:themeColor="text1"/>
          <w:sz w:val="24"/>
          <w:szCs w:val="24"/>
          <w:lang w:val="ro-RO"/>
        </w:rPr>
        <w:br w:type="page"/>
      </w:r>
    </w:p>
    <w:p w14:paraId="7F03D499" w14:textId="77777777" w:rsidR="00A20C01" w:rsidRPr="00D43281" w:rsidRDefault="00A20C01" w:rsidP="00A20C01">
      <w:pPr>
        <w:spacing w:after="0" w:line="240" w:lineRule="auto"/>
        <w:jc w:val="right"/>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 xml:space="preserve">Утвержден </w:t>
      </w:r>
    </w:p>
    <w:p w14:paraId="50FFDC81" w14:textId="77777777" w:rsidR="00A20C01" w:rsidRPr="00D43281" w:rsidRDefault="00A20C01" w:rsidP="00A20C01">
      <w:pPr>
        <w:spacing w:after="0" w:line="240" w:lineRule="auto"/>
        <w:jc w:val="right"/>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xml:space="preserve">Постановлением Исполнительного комитета </w:t>
      </w:r>
    </w:p>
    <w:p w14:paraId="02BB2280" w14:textId="77777777" w:rsidR="00A20C01" w:rsidRPr="00D43281" w:rsidRDefault="00A20C01" w:rsidP="00A20C01">
      <w:pPr>
        <w:spacing w:after="0" w:line="240" w:lineRule="auto"/>
        <w:jc w:val="right"/>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Национального банка Молдовы</w:t>
      </w:r>
    </w:p>
    <w:p w14:paraId="60272F9C" w14:textId="12C91FEC" w:rsidR="00A20C01" w:rsidRPr="00D43281" w:rsidRDefault="00A20C01" w:rsidP="00A20C01">
      <w:pPr>
        <w:spacing w:after="0" w:line="240" w:lineRule="auto"/>
        <w:jc w:val="right"/>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w:t>
      </w:r>
      <w:r w:rsidR="00BA0155">
        <w:rPr>
          <w:rFonts w:ascii="Times New Roman" w:eastAsia="Times New Roman" w:hAnsi="Times New Roman" w:cs="Times New Roman"/>
          <w:sz w:val="24"/>
          <w:szCs w:val="24"/>
          <w:lang w:val="en-US" w:eastAsia="ro-MD"/>
        </w:rPr>
        <w:t>162</w:t>
      </w:r>
      <w:r w:rsidRPr="00D43281">
        <w:rPr>
          <w:rFonts w:ascii="Times New Roman" w:eastAsia="Times New Roman" w:hAnsi="Times New Roman" w:cs="Times New Roman"/>
          <w:sz w:val="24"/>
          <w:szCs w:val="24"/>
          <w:lang w:eastAsia="ro-MD"/>
        </w:rPr>
        <w:t xml:space="preserve"> </w:t>
      </w:r>
      <w:r w:rsidR="00BA0155" w:rsidRPr="00BA0155">
        <w:rPr>
          <w:rFonts w:ascii="Times New Roman" w:eastAsia="Times New Roman" w:hAnsi="Times New Roman" w:cs="Times New Roman"/>
          <w:sz w:val="24"/>
          <w:szCs w:val="24"/>
          <w:lang w:val="ru-RU" w:eastAsia="ro-MD"/>
        </w:rPr>
        <w:t>от 2 июля 2026 г.</w:t>
      </w:r>
    </w:p>
    <w:p w14:paraId="5A5A6CD5" w14:textId="77777777" w:rsidR="00A20C01" w:rsidRPr="00D43281" w:rsidRDefault="00A20C01" w:rsidP="00A20C01">
      <w:pPr>
        <w:spacing w:after="0" w:line="240" w:lineRule="auto"/>
        <w:ind w:firstLine="567"/>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p w14:paraId="5A0E0D35" w14:textId="77777777" w:rsidR="00A20C01" w:rsidRPr="00D43281" w:rsidRDefault="00A20C01" w:rsidP="00A20C01">
      <w:pPr>
        <w:spacing w:after="0" w:line="240" w:lineRule="auto"/>
        <w:ind w:firstLine="567"/>
        <w:jc w:val="both"/>
        <w:rPr>
          <w:rFonts w:ascii="Times New Roman" w:eastAsia="Times New Roman" w:hAnsi="Times New Roman" w:cs="Times New Roman"/>
          <w:sz w:val="24"/>
          <w:szCs w:val="24"/>
          <w:lang w:val="ro-RO" w:eastAsia="ro-MD"/>
        </w:rPr>
      </w:pPr>
    </w:p>
    <w:p w14:paraId="681D7E52" w14:textId="77777777" w:rsidR="00A20C01" w:rsidRPr="00D43281" w:rsidRDefault="00A20C01" w:rsidP="00A20C01">
      <w:pPr>
        <w:spacing w:after="0" w:line="240" w:lineRule="auto"/>
        <w:jc w:val="center"/>
        <w:rPr>
          <w:rFonts w:ascii="Times New Roman" w:eastAsia="Times New Roman" w:hAnsi="Times New Roman" w:cs="Times New Roman"/>
          <w:b/>
          <w:bCs/>
          <w:sz w:val="24"/>
          <w:szCs w:val="24"/>
          <w:lang w:val="ru-RU" w:eastAsia="ro-MD"/>
        </w:rPr>
      </w:pPr>
      <w:r w:rsidRPr="00D43281">
        <w:rPr>
          <w:rFonts w:ascii="Times New Roman" w:eastAsia="Times New Roman" w:hAnsi="Times New Roman" w:cs="Times New Roman"/>
          <w:b/>
          <w:bCs/>
          <w:sz w:val="24"/>
          <w:szCs w:val="24"/>
          <w:lang w:val="ru-RU" w:eastAsia="ro-MD"/>
        </w:rPr>
        <w:t>РЕГЛАМЕНТ</w:t>
      </w:r>
    </w:p>
    <w:p w14:paraId="570E997D" w14:textId="66B4DDD8" w:rsidR="00A20C01" w:rsidRPr="00D43281" w:rsidRDefault="00D43281" w:rsidP="00A20C01">
      <w:pPr>
        <w:spacing w:after="0" w:line="240" w:lineRule="auto"/>
        <w:jc w:val="center"/>
        <w:rPr>
          <w:rFonts w:ascii="Times New Roman" w:eastAsia="Times New Roman" w:hAnsi="Times New Roman" w:cs="Times New Roman"/>
          <w:b/>
          <w:bCs/>
          <w:sz w:val="24"/>
          <w:szCs w:val="24"/>
          <w:lang w:val="en-US" w:eastAsia="ro-MD"/>
        </w:rPr>
      </w:pPr>
      <w:r w:rsidRPr="00D43281">
        <w:rPr>
          <w:rFonts w:ascii="Times New Roman" w:eastAsia="Times New Roman" w:hAnsi="Times New Roman" w:cs="Times New Roman"/>
          <w:b/>
          <w:bCs/>
          <w:sz w:val="24"/>
          <w:szCs w:val="24"/>
          <w:lang w:val="ru-RU" w:eastAsia="ro-MD"/>
        </w:rPr>
        <w:t>О ПОДХОДЕ К КРЕДИТНОМУ РИСКУ</w:t>
      </w:r>
    </w:p>
    <w:p w14:paraId="66234286" w14:textId="42C37A0C" w:rsidR="00A20C01" w:rsidRPr="00D43281" w:rsidRDefault="00D43281" w:rsidP="00A20C01">
      <w:pPr>
        <w:spacing w:after="0" w:line="240" w:lineRule="auto"/>
        <w:jc w:val="center"/>
        <w:rPr>
          <w:rFonts w:ascii="Times New Roman" w:eastAsia="Times New Roman" w:hAnsi="Times New Roman" w:cs="Times New Roman"/>
          <w:b/>
          <w:bCs/>
          <w:sz w:val="24"/>
          <w:szCs w:val="24"/>
          <w:lang w:val="ru-RU" w:eastAsia="ro-MD"/>
        </w:rPr>
      </w:pPr>
      <w:r w:rsidRPr="00D43281">
        <w:rPr>
          <w:rFonts w:ascii="Times New Roman" w:eastAsia="Times New Roman" w:hAnsi="Times New Roman" w:cs="Times New Roman"/>
          <w:b/>
          <w:bCs/>
          <w:sz w:val="24"/>
          <w:szCs w:val="24"/>
          <w:lang w:val="ru-RU" w:eastAsia="ro-MD"/>
        </w:rPr>
        <w:t>В СООТВЕТСТВИИ С ПОДХОДОМ, ОСНОВАННЫМ НА</w:t>
      </w:r>
    </w:p>
    <w:p w14:paraId="71BC0104" w14:textId="5E9A6E11" w:rsidR="00A20C01" w:rsidRPr="00D43281" w:rsidRDefault="00D43281" w:rsidP="00A20C01">
      <w:pPr>
        <w:spacing w:after="0" w:line="240" w:lineRule="auto"/>
        <w:jc w:val="center"/>
        <w:rPr>
          <w:rFonts w:ascii="Times New Roman" w:eastAsia="Times New Roman" w:hAnsi="Times New Roman" w:cs="Times New Roman"/>
          <w:b/>
          <w:bCs/>
          <w:sz w:val="24"/>
          <w:szCs w:val="24"/>
          <w:lang w:val="ro-RO" w:eastAsia="ro-MD"/>
        </w:rPr>
      </w:pPr>
      <w:r w:rsidRPr="00D43281">
        <w:rPr>
          <w:rFonts w:ascii="Times New Roman" w:eastAsia="Times New Roman" w:hAnsi="Times New Roman" w:cs="Times New Roman"/>
          <w:b/>
          <w:bCs/>
          <w:sz w:val="24"/>
          <w:szCs w:val="24"/>
          <w:lang w:val="ru-RU" w:eastAsia="ro-MD"/>
        </w:rPr>
        <w:t xml:space="preserve">ВНУТРЕННИХ РЕЙТИНГОВЫХ МОДЕЛЯХ </w:t>
      </w:r>
    </w:p>
    <w:p w14:paraId="05978D3D" w14:textId="77777777" w:rsidR="00A20C01" w:rsidRPr="00D43281" w:rsidRDefault="00A20C01" w:rsidP="00A20C01">
      <w:pPr>
        <w:pStyle w:val="ListParagraph"/>
        <w:tabs>
          <w:tab w:val="left" w:pos="1134"/>
        </w:tabs>
        <w:spacing w:after="0" w:line="240" w:lineRule="auto"/>
        <w:ind w:left="786"/>
        <w:jc w:val="center"/>
        <w:rPr>
          <w:rFonts w:ascii="Times New Roman" w:hAnsi="Times New Roman" w:cs="Times New Roman"/>
          <w:color w:val="000000" w:themeColor="text1"/>
          <w:sz w:val="24"/>
          <w:szCs w:val="24"/>
          <w:lang w:val="ro-RO"/>
        </w:rPr>
      </w:pPr>
    </w:p>
    <w:p w14:paraId="24C39316" w14:textId="77777777" w:rsidR="00EA0BA9" w:rsidRPr="00D43281" w:rsidRDefault="00EA0BA9" w:rsidP="00571CE5">
      <w:pPr>
        <w:spacing w:after="0" w:line="240" w:lineRule="auto"/>
        <w:rPr>
          <w:rFonts w:ascii="Times New Roman" w:eastAsia="Times New Roman" w:hAnsi="Times New Roman" w:cs="Times New Roman"/>
          <w:sz w:val="24"/>
          <w:szCs w:val="24"/>
          <w:lang w:val="ro-RO" w:eastAsia="ro-MD"/>
        </w:rPr>
      </w:pPr>
    </w:p>
    <w:p w14:paraId="4158FEAD" w14:textId="034E2FD4" w:rsidR="00EA0BA9" w:rsidRPr="00D43281" w:rsidRDefault="00A20C01" w:rsidP="004215D9">
      <w:pPr>
        <w:shd w:val="clear" w:color="auto" w:fill="FFFFFF"/>
        <w:spacing w:after="0" w:line="240" w:lineRule="auto"/>
        <w:jc w:val="center"/>
        <w:rPr>
          <w:rFonts w:ascii="Times New Roman" w:eastAsia="Times New Roman" w:hAnsi="Times New Roman" w:cs="Times New Roman"/>
          <w:b/>
          <w:bCs/>
          <w:color w:val="000000" w:themeColor="text1"/>
          <w:sz w:val="24"/>
          <w:szCs w:val="24"/>
          <w:lang w:val="ro-RO" w:eastAsia="ro-MD"/>
        </w:rPr>
      </w:pPr>
      <w:r w:rsidRPr="00D43281">
        <w:rPr>
          <w:rFonts w:ascii="Times New Roman" w:eastAsia="Times New Roman" w:hAnsi="Times New Roman" w:cs="Times New Roman"/>
          <w:b/>
          <w:bCs/>
          <w:color w:val="000000" w:themeColor="text1"/>
          <w:sz w:val="24"/>
          <w:szCs w:val="24"/>
          <w:lang w:val="ru-RU" w:eastAsia="ro-MD"/>
        </w:rPr>
        <w:t>Глава</w:t>
      </w:r>
      <w:r w:rsidR="00EA0BA9" w:rsidRPr="00D43281">
        <w:rPr>
          <w:rFonts w:ascii="Times New Roman" w:eastAsia="Times New Roman" w:hAnsi="Times New Roman" w:cs="Times New Roman"/>
          <w:b/>
          <w:bCs/>
          <w:color w:val="000000" w:themeColor="text1"/>
          <w:sz w:val="24"/>
          <w:szCs w:val="24"/>
          <w:lang w:val="ro-RO" w:eastAsia="ro-MD"/>
        </w:rPr>
        <w:t xml:space="preserve"> I</w:t>
      </w:r>
    </w:p>
    <w:p w14:paraId="0E2F0F63" w14:textId="373B3D04" w:rsidR="00EA0BA9" w:rsidRPr="00D43281" w:rsidRDefault="006D277C" w:rsidP="004215D9">
      <w:pPr>
        <w:shd w:val="clear" w:color="auto" w:fill="FFFFFF"/>
        <w:spacing w:after="0" w:line="240" w:lineRule="auto"/>
        <w:jc w:val="center"/>
        <w:rPr>
          <w:rFonts w:ascii="Times New Roman" w:eastAsia="Times New Roman" w:hAnsi="Times New Roman" w:cs="Times New Roman"/>
          <w:b/>
          <w:bCs/>
          <w:color w:val="000000" w:themeColor="text1"/>
          <w:sz w:val="24"/>
          <w:szCs w:val="24"/>
          <w:lang w:val="ro-RO" w:eastAsia="ro-MD"/>
        </w:rPr>
      </w:pPr>
      <w:r w:rsidRPr="00D43281">
        <w:rPr>
          <w:rFonts w:ascii="Times New Roman" w:eastAsia="Times New Roman" w:hAnsi="Times New Roman" w:cs="Times New Roman"/>
          <w:b/>
          <w:bCs/>
          <w:color w:val="000000" w:themeColor="text1"/>
          <w:sz w:val="24"/>
          <w:szCs w:val="24"/>
          <w:lang w:val="ro-RO" w:eastAsia="ro-MD"/>
        </w:rPr>
        <w:t xml:space="preserve"> </w:t>
      </w:r>
      <w:r w:rsidR="00A20C01" w:rsidRPr="00D43281">
        <w:rPr>
          <w:rFonts w:ascii="Times New Roman" w:eastAsia="Times New Roman" w:hAnsi="Times New Roman" w:cs="Times New Roman"/>
          <w:b/>
          <w:bCs/>
          <w:color w:val="000000" w:themeColor="text1"/>
          <w:sz w:val="24"/>
          <w:szCs w:val="24"/>
          <w:lang w:val="ru-RU" w:eastAsia="ro-MD"/>
        </w:rPr>
        <w:t>Общие положения</w:t>
      </w:r>
    </w:p>
    <w:p w14:paraId="27043461" w14:textId="05A5C1B4" w:rsidR="006E4A08" w:rsidRPr="00D43281" w:rsidRDefault="006E4A08" w:rsidP="00E90A53">
      <w:pPr>
        <w:pStyle w:val="ListParagraph"/>
        <w:numPr>
          <w:ilvl w:val="0"/>
          <w:numId w:val="2"/>
        </w:numPr>
        <w:shd w:val="clear" w:color="auto" w:fill="FFFFFF"/>
        <w:tabs>
          <w:tab w:val="left" w:pos="0"/>
          <w:tab w:val="left" w:pos="567"/>
        </w:tabs>
        <w:spacing w:before="60" w:after="0" w:line="240" w:lineRule="auto"/>
        <w:ind w:firstLine="567"/>
        <w:contextualSpacing w:val="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333333"/>
          <w:sz w:val="24"/>
          <w:szCs w:val="24"/>
          <w:shd w:val="clear" w:color="auto" w:fill="FFFFFF"/>
          <w:lang w:val="ru-MD"/>
        </w:rPr>
        <w:t>Настоящий регламент применяется к банкам с местонахождением в Республике Молдова, а также к отделениям банков иностранных государств, которые лицензированы Национальным банком Молдовы (далее – банки).</w:t>
      </w:r>
      <w:r w:rsidR="00806A02" w:rsidRPr="00D43281">
        <w:rPr>
          <w:rFonts w:ascii="Times New Roman" w:hAnsi="Times New Roman" w:cs="Times New Roman"/>
          <w:sz w:val="24"/>
          <w:szCs w:val="24"/>
          <w:lang w:val="ru-MD"/>
        </w:rPr>
        <w:t xml:space="preserve"> </w:t>
      </w:r>
      <w:r w:rsidR="00806A02" w:rsidRPr="00D43281">
        <w:rPr>
          <w:rFonts w:ascii="Times New Roman" w:hAnsi="Times New Roman" w:cs="Times New Roman"/>
          <w:color w:val="333333"/>
          <w:sz w:val="24"/>
          <w:szCs w:val="24"/>
          <w:shd w:val="clear" w:color="auto" w:fill="FFFFFF"/>
          <w:lang w:val="ru-MD"/>
        </w:rPr>
        <w:t>Настоящий регламент применяется как на индивидуальном, так и на консолидированном уровне.</w:t>
      </w:r>
    </w:p>
    <w:p w14:paraId="79256818" w14:textId="66FAD1D0" w:rsidR="00806A02" w:rsidRPr="00D43281" w:rsidRDefault="00806A02"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Настоящий регламент устанавливает методологию и условия, которые банки должны применять на основе подхода, основанного на внутренних рейтинговых моделях (IRB), для определения </w:t>
      </w:r>
      <w:r w:rsidR="00A942F5" w:rsidRPr="00D43281">
        <w:rPr>
          <w:rFonts w:ascii="Times New Roman" w:hAnsi="Times New Roman" w:cs="Times New Roman"/>
          <w:color w:val="000000" w:themeColor="text1"/>
          <w:sz w:val="24"/>
          <w:szCs w:val="24"/>
          <w:shd w:val="clear" w:color="auto" w:fill="FFFFFF"/>
          <w:lang w:val="ru-RU"/>
        </w:rPr>
        <w:t>стоимости подверженности с учетом риска</w:t>
      </w:r>
      <w:r w:rsidR="00A942F5" w:rsidRPr="00D43281">
        <w:rPr>
          <w:rFonts w:ascii="Times New Roman" w:hAnsi="Times New Roman" w:cs="Times New Roman"/>
          <w:color w:val="000000" w:themeColor="text1"/>
          <w:sz w:val="24"/>
          <w:szCs w:val="24"/>
          <w:lang w:val="ru-RU"/>
        </w:rPr>
        <w:t xml:space="preserve"> </w:t>
      </w:r>
      <w:r w:rsidRPr="00D43281">
        <w:rPr>
          <w:rFonts w:ascii="Times New Roman" w:hAnsi="Times New Roman" w:cs="Times New Roman"/>
          <w:color w:val="000000" w:themeColor="text1"/>
          <w:sz w:val="24"/>
          <w:szCs w:val="24"/>
          <w:lang w:val="ru-RU"/>
        </w:rPr>
        <w:t>в целях расчета требований к собственным средствам банков в соответствии с Регламентом о собственных средствах банков и требованиях к капиталу, утвержденного Постановлением Исполнительного комитета Национального банка Молдовы № 109/2018 (далее —</w:t>
      </w:r>
      <w:r w:rsidR="00314E1A" w:rsidRPr="00D43281">
        <w:rPr>
          <w:rFonts w:ascii="Times New Roman" w:hAnsi="Times New Roman" w:cs="Times New Roman"/>
          <w:color w:val="000000" w:themeColor="text1"/>
          <w:sz w:val="24"/>
          <w:szCs w:val="24"/>
          <w:lang w:val="ru-RU"/>
        </w:rPr>
        <w:t>Регламент № 109/2018).</w:t>
      </w:r>
    </w:p>
    <w:p w14:paraId="1BF7A342" w14:textId="6069877D" w:rsidR="00A942F5" w:rsidRPr="00D43281" w:rsidRDefault="00A942F5" w:rsidP="00E90A53">
      <w:pPr>
        <w:pStyle w:val="ListParagraph"/>
        <w:numPr>
          <w:ilvl w:val="0"/>
          <w:numId w:val="2"/>
        </w:numPr>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shd w:val="clear" w:color="auto" w:fill="FFFFFF"/>
          <w:lang w:val="ru-RU"/>
        </w:rPr>
        <w:t>Используемые в регламенте понятия и определения имеют значение, предусмотренное Законом о деятельности банков № 202</w:t>
      </w:r>
      <w:r w:rsidR="00C14338" w:rsidRPr="00D43281">
        <w:rPr>
          <w:rFonts w:ascii="Times New Roman" w:hAnsi="Times New Roman" w:cs="Times New Roman"/>
          <w:color w:val="000000" w:themeColor="text1"/>
          <w:sz w:val="24"/>
          <w:szCs w:val="24"/>
          <w:shd w:val="clear" w:color="auto" w:fill="FFFFFF"/>
          <w:lang w:val="ru-RU"/>
        </w:rPr>
        <w:t>/</w:t>
      </w:r>
      <w:r w:rsidRPr="00D43281">
        <w:rPr>
          <w:rFonts w:ascii="Times New Roman" w:hAnsi="Times New Roman" w:cs="Times New Roman"/>
          <w:color w:val="000000" w:themeColor="text1"/>
          <w:sz w:val="24"/>
          <w:szCs w:val="24"/>
          <w:shd w:val="clear" w:color="auto" w:fill="FFFFFF"/>
          <w:lang w:val="ru-RU"/>
        </w:rPr>
        <w:t xml:space="preserve"> 2017</w:t>
      </w:r>
      <w:r w:rsidR="00C14338" w:rsidRPr="00D43281">
        <w:rPr>
          <w:rFonts w:ascii="Times New Roman" w:hAnsi="Times New Roman" w:cs="Times New Roman"/>
          <w:color w:val="000000" w:themeColor="text1"/>
          <w:sz w:val="24"/>
          <w:szCs w:val="24"/>
          <w:shd w:val="clear" w:color="auto" w:fill="FFFFFF"/>
          <w:lang w:val="ru-RU"/>
        </w:rPr>
        <w:t xml:space="preserve"> (далее – Закон № 202/2017)</w:t>
      </w:r>
      <w:r w:rsidRPr="00D43281">
        <w:rPr>
          <w:rFonts w:ascii="Times New Roman" w:hAnsi="Times New Roman" w:cs="Times New Roman"/>
          <w:color w:val="000000" w:themeColor="text1"/>
          <w:sz w:val="24"/>
          <w:szCs w:val="24"/>
          <w:shd w:val="clear" w:color="auto" w:fill="FFFFFF"/>
          <w:lang w:val="ru-RU"/>
        </w:rPr>
        <w:t xml:space="preserve"> и другими нормативными актами Национального банка Молдовы, изданными для его применения. Также в целях настоящего регламента используются следующие понятия:</w:t>
      </w:r>
    </w:p>
    <w:p w14:paraId="563BFBC2" w14:textId="37EDE4D9" w:rsidR="00EB211B" w:rsidRPr="00D43281" w:rsidDel="00F723F3" w:rsidRDefault="00D8477A" w:rsidP="00F47944">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bookmarkStart w:id="4" w:name="_Ref214982787"/>
      <w:r w:rsidRPr="00D43281">
        <w:rPr>
          <w:rFonts w:ascii="Times New Roman" w:hAnsi="Times New Roman" w:cs="Times New Roman"/>
          <w:b/>
          <w:bCs/>
          <w:color w:val="000000" w:themeColor="text1"/>
          <w:sz w:val="24"/>
          <w:szCs w:val="24"/>
          <w:lang w:val="ru-RU"/>
        </w:rPr>
        <w:t>подход к моделированию корректировки вероятности невыполнения обязательств (PD)</w:t>
      </w:r>
      <w:r w:rsidRPr="00D43281">
        <w:rPr>
          <w:rFonts w:ascii="Times New Roman" w:hAnsi="Times New Roman" w:cs="Times New Roman"/>
          <w:color w:val="000000" w:themeColor="text1"/>
          <w:sz w:val="24"/>
          <w:szCs w:val="24"/>
          <w:lang w:val="ru-RU"/>
        </w:rPr>
        <w:t>/убытка в случае невыполнения обязательств (</w:t>
      </w:r>
      <w:r w:rsidRPr="00D43281">
        <w:rPr>
          <w:rFonts w:ascii="Times New Roman" w:hAnsi="Times New Roman" w:cs="Times New Roman"/>
          <w:b/>
          <w:bCs/>
          <w:color w:val="000000" w:themeColor="text1"/>
          <w:sz w:val="24"/>
          <w:szCs w:val="24"/>
          <w:lang w:val="ru-RU"/>
        </w:rPr>
        <w:t>LGD</w:t>
      </w:r>
      <w:r w:rsidRPr="00D43281">
        <w:rPr>
          <w:rFonts w:ascii="Times New Roman" w:hAnsi="Times New Roman" w:cs="Times New Roman"/>
          <w:color w:val="000000" w:themeColor="text1"/>
          <w:sz w:val="24"/>
          <w:szCs w:val="24"/>
          <w:lang w:val="ru-RU"/>
        </w:rPr>
        <w:t>) — корректировка LGD или моделирование корректировки как PD, так и LGD для базовой подверженности</w:t>
      </w:r>
      <w:r w:rsidR="00EB211B" w:rsidRPr="00D43281" w:rsidDel="00F723F3">
        <w:rPr>
          <w:rFonts w:ascii="Times New Roman" w:hAnsi="Times New Roman" w:cs="Times New Roman"/>
          <w:color w:val="000000" w:themeColor="text1"/>
          <w:sz w:val="24"/>
          <w:szCs w:val="24"/>
          <w:lang w:val="ro-RO"/>
        </w:rPr>
        <w:t>;</w:t>
      </w:r>
    </w:p>
    <w:p w14:paraId="3557C07B" w14:textId="5DAB13D8" w:rsidR="00EB211B" w:rsidRPr="00D43281" w:rsidRDefault="00D6258A" w:rsidP="005C25E9">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b/>
          <w:bCs/>
          <w:color w:val="000000" w:themeColor="text1"/>
          <w:sz w:val="24"/>
          <w:szCs w:val="24"/>
          <w:lang w:val="ru-RU"/>
        </w:rPr>
        <w:t>надлежащая корректировка</w:t>
      </w:r>
      <w:r w:rsidRPr="00D43281">
        <w:rPr>
          <w:rFonts w:ascii="Times New Roman" w:hAnsi="Times New Roman" w:cs="Times New Roman"/>
          <w:color w:val="000000" w:themeColor="text1"/>
          <w:sz w:val="24"/>
          <w:szCs w:val="24"/>
          <w:lang w:val="ru-RU"/>
        </w:rPr>
        <w:t xml:space="preserve"> — влияние на оценки параметров риска, возникающее в результате применения методологий при оценке параметров риска с целью устранения выявленных недостатков в данных и методах оценки, а также с целью учета изменений в стандартах страхования, аппетита к риску и политики взыскания задолженности, а также любых других источников неопределенности, насколько это возможно, с целью предотвращения искажений в оценках параметров риска</w:t>
      </w:r>
      <w:r w:rsidR="00EB211B" w:rsidRPr="00D43281">
        <w:rPr>
          <w:rFonts w:ascii="Times New Roman" w:hAnsi="Times New Roman" w:cs="Times New Roman"/>
          <w:color w:val="000000" w:themeColor="text1"/>
          <w:sz w:val="24"/>
          <w:szCs w:val="24"/>
          <w:lang w:val="ro-RO"/>
        </w:rPr>
        <w:t>;</w:t>
      </w:r>
    </w:p>
    <w:p w14:paraId="43A25583" w14:textId="6E3F9594" w:rsidR="00EB211B" w:rsidRPr="00D43281" w:rsidRDefault="0009776E" w:rsidP="00EB211B">
      <w:pPr>
        <w:pStyle w:val="ListParagraph"/>
        <w:numPr>
          <w:ilvl w:val="1"/>
          <w:numId w:val="2"/>
        </w:numPr>
        <w:tabs>
          <w:tab w:val="left" w:pos="0"/>
        </w:tabs>
        <w:spacing w:before="60" w:after="0" w:line="240" w:lineRule="auto"/>
        <w:ind w:left="0"/>
        <w:jc w:val="both"/>
        <w:rPr>
          <w:rFonts w:ascii="Times New Roman" w:hAnsi="Times New Roman" w:cs="Times New Roman"/>
          <w:color w:val="000000" w:themeColor="text1"/>
          <w:sz w:val="24"/>
          <w:szCs w:val="24"/>
          <w:lang w:val="ru-MD"/>
        </w:rPr>
      </w:pPr>
      <w:bookmarkStart w:id="5" w:name="_Ref214982804"/>
      <w:r w:rsidRPr="00D43281">
        <w:rPr>
          <w:rFonts w:ascii="Times New Roman" w:hAnsi="Times New Roman" w:cs="Times New Roman"/>
          <w:b/>
          <w:bCs/>
          <w:color w:val="000000" w:themeColor="text1"/>
          <w:sz w:val="24"/>
          <w:szCs w:val="24"/>
          <w:lang w:val="ru-MD"/>
        </w:rPr>
        <w:t xml:space="preserve">класс подверженностей — </w:t>
      </w:r>
      <w:r w:rsidRPr="00D43281">
        <w:rPr>
          <w:rFonts w:ascii="Times New Roman" w:hAnsi="Times New Roman" w:cs="Times New Roman"/>
          <w:color w:val="000000" w:themeColor="text1"/>
          <w:sz w:val="24"/>
          <w:szCs w:val="24"/>
          <w:lang w:val="ru-MD"/>
        </w:rPr>
        <w:t>любой из классов подверженностей, указанных в пункте</w:t>
      </w:r>
      <w:r w:rsidR="00EB211B" w:rsidRPr="00D43281">
        <w:rPr>
          <w:rFonts w:ascii="Times New Roman" w:hAnsi="Times New Roman" w:cs="Times New Roman"/>
          <w:color w:val="000000" w:themeColor="text1"/>
          <w:sz w:val="24"/>
          <w:szCs w:val="24"/>
          <w:lang w:val="ru-MD"/>
        </w:rPr>
        <w:fldChar w:fldCharType="begin"/>
      </w:r>
      <w:r w:rsidR="00EB211B" w:rsidRPr="00D43281">
        <w:rPr>
          <w:rFonts w:ascii="Times New Roman" w:hAnsi="Times New Roman" w:cs="Times New Roman"/>
          <w:color w:val="000000" w:themeColor="text1"/>
          <w:sz w:val="24"/>
          <w:szCs w:val="24"/>
          <w:lang w:val="ru-MD"/>
        </w:rPr>
        <w:instrText xml:space="preserve"> REF _Ref214974472 \r \h </w:instrText>
      </w:r>
      <w:r w:rsidR="00690224" w:rsidRPr="00D43281">
        <w:rPr>
          <w:rFonts w:ascii="Times New Roman" w:hAnsi="Times New Roman" w:cs="Times New Roman"/>
          <w:color w:val="000000" w:themeColor="text1"/>
          <w:sz w:val="24"/>
          <w:szCs w:val="24"/>
          <w:lang w:val="ru-MD"/>
        </w:rPr>
        <w:instrText xml:space="preserve"> \* MERGEFORMAT </w:instrText>
      </w:r>
      <w:r w:rsidR="00EB211B" w:rsidRPr="00D43281">
        <w:rPr>
          <w:rFonts w:ascii="Times New Roman" w:hAnsi="Times New Roman" w:cs="Times New Roman"/>
          <w:color w:val="000000" w:themeColor="text1"/>
          <w:sz w:val="24"/>
          <w:szCs w:val="24"/>
          <w:lang w:val="ru-MD"/>
        </w:rPr>
      </w:r>
      <w:r w:rsidR="00EB211B" w:rsidRPr="00D43281">
        <w:rPr>
          <w:rFonts w:ascii="Times New Roman" w:hAnsi="Times New Roman" w:cs="Times New Roman"/>
          <w:color w:val="000000" w:themeColor="text1"/>
          <w:sz w:val="24"/>
          <w:szCs w:val="24"/>
          <w:lang w:val="ru-MD"/>
        </w:rPr>
        <w:fldChar w:fldCharType="separate"/>
      </w:r>
      <w:r w:rsidR="00EB211B" w:rsidRPr="00D43281">
        <w:rPr>
          <w:rFonts w:ascii="Times New Roman" w:hAnsi="Times New Roman" w:cs="Times New Roman"/>
          <w:color w:val="000000" w:themeColor="text1"/>
          <w:sz w:val="24"/>
          <w:szCs w:val="24"/>
          <w:lang w:val="ru-MD"/>
        </w:rPr>
        <w:t>19</w:t>
      </w:r>
      <w:r w:rsidR="00EB211B" w:rsidRPr="00D43281">
        <w:rPr>
          <w:rFonts w:ascii="Times New Roman" w:hAnsi="Times New Roman" w:cs="Times New Roman"/>
          <w:color w:val="000000" w:themeColor="text1"/>
          <w:sz w:val="24"/>
          <w:szCs w:val="24"/>
          <w:lang w:val="ru-MD"/>
        </w:rPr>
        <w:fldChar w:fldCharType="end"/>
      </w:r>
      <w:r w:rsidR="00EB211B" w:rsidRPr="00D43281">
        <w:rPr>
          <w:rFonts w:ascii="Times New Roman" w:hAnsi="Times New Roman" w:cs="Times New Roman"/>
          <w:color w:val="000000" w:themeColor="text1"/>
          <w:sz w:val="24"/>
          <w:szCs w:val="24"/>
          <w:lang w:val="ru-MD"/>
        </w:rPr>
        <w:t>;</w:t>
      </w:r>
      <w:bookmarkEnd w:id="5"/>
    </w:p>
    <w:p w14:paraId="544954D2" w14:textId="452BA24D" w:rsidR="00EB211B" w:rsidRPr="00D43281" w:rsidRDefault="00183389" w:rsidP="00EB211B">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b/>
          <w:bCs/>
          <w:color w:val="000000" w:themeColor="text1"/>
          <w:sz w:val="24"/>
          <w:szCs w:val="24"/>
          <w:lang w:val="ru-MD"/>
        </w:rPr>
        <w:t>рейтингов</w:t>
      </w:r>
      <w:r w:rsidR="001C2AAA" w:rsidRPr="00D43281">
        <w:rPr>
          <w:rFonts w:ascii="Times New Roman" w:hAnsi="Times New Roman" w:cs="Times New Roman"/>
          <w:b/>
          <w:bCs/>
          <w:color w:val="000000" w:themeColor="text1"/>
          <w:sz w:val="24"/>
          <w:szCs w:val="24"/>
          <w:lang w:val="ru-MD"/>
        </w:rPr>
        <w:t>ый класс</w:t>
      </w:r>
      <w:r w:rsidRPr="00D43281">
        <w:rPr>
          <w:rFonts w:ascii="Times New Roman" w:hAnsi="Times New Roman" w:cs="Times New Roman"/>
          <w:b/>
          <w:bCs/>
          <w:color w:val="000000" w:themeColor="text1"/>
          <w:sz w:val="24"/>
          <w:szCs w:val="24"/>
          <w:lang w:val="ru-MD"/>
        </w:rPr>
        <w:t xml:space="preserve"> заемщиков — </w:t>
      </w:r>
      <w:r w:rsidRPr="00D43281">
        <w:rPr>
          <w:rFonts w:ascii="Times New Roman" w:hAnsi="Times New Roman" w:cs="Times New Roman"/>
          <w:color w:val="000000" w:themeColor="text1"/>
          <w:sz w:val="24"/>
          <w:szCs w:val="24"/>
          <w:lang w:val="ru-MD"/>
        </w:rPr>
        <w:t>категория риска в рамках рейтинговой шкалы заемщиков, относящаяся к определенной рейтинговой системе, в которую заемщики распределяются на основе отдельного и четко определенного набора рейтинговых критериев, лежащих в основе оценки PD</w:t>
      </w:r>
      <w:r w:rsidR="00EB211B" w:rsidRPr="00D43281">
        <w:rPr>
          <w:rFonts w:ascii="Times New Roman" w:hAnsi="Times New Roman" w:cs="Times New Roman"/>
          <w:color w:val="000000" w:themeColor="text1"/>
          <w:sz w:val="24"/>
          <w:szCs w:val="24"/>
          <w:lang w:val="ro-RO"/>
        </w:rPr>
        <w:t>;</w:t>
      </w:r>
      <w:r w:rsidR="00EB211B" w:rsidRPr="00D43281">
        <w:rPr>
          <w:rFonts w:ascii="Times New Roman" w:hAnsi="Times New Roman" w:cs="Times New Roman"/>
          <w:color w:val="000000" w:themeColor="text1"/>
          <w:sz w:val="24"/>
          <w:szCs w:val="24"/>
          <w:highlight w:val="lightGray"/>
          <w:lang w:val="ro-RO"/>
        </w:rPr>
        <w:t xml:space="preserve"> </w:t>
      </w:r>
    </w:p>
    <w:p w14:paraId="7D607F83" w14:textId="0F371152" w:rsidR="00BC130F" w:rsidRPr="00D43281" w:rsidRDefault="001C2AAA" w:rsidP="00BC130F">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b/>
          <w:bCs/>
          <w:color w:val="000000" w:themeColor="text1"/>
          <w:sz w:val="24"/>
          <w:szCs w:val="24"/>
          <w:lang w:val="ru-RU"/>
        </w:rPr>
        <w:t xml:space="preserve">класс рейтинга сделок — </w:t>
      </w:r>
      <w:r w:rsidRPr="00D43281">
        <w:rPr>
          <w:rFonts w:ascii="Times New Roman" w:hAnsi="Times New Roman" w:cs="Times New Roman"/>
          <w:color w:val="000000" w:themeColor="text1"/>
          <w:sz w:val="24"/>
          <w:szCs w:val="24"/>
          <w:lang w:val="ru-RU"/>
        </w:rPr>
        <w:t>обозначает категорию риска в рамках шкалы рейтингов сделок, относящуюся к определенной рейтинговой системе, в которую классифицируются подверженности на основе отдельного и четко определенного набора рейтинговых критериев, на основании которых получаются собственные оценки LGD</w:t>
      </w:r>
      <w:r w:rsidR="00BC130F" w:rsidRPr="00D43281">
        <w:rPr>
          <w:rFonts w:ascii="Times New Roman" w:hAnsi="Times New Roman" w:cs="Times New Roman"/>
          <w:color w:val="000000" w:themeColor="text1"/>
          <w:sz w:val="24"/>
          <w:szCs w:val="24"/>
          <w:lang w:val="ru-RU"/>
        </w:rPr>
        <w:t>;</w:t>
      </w:r>
    </w:p>
    <w:p w14:paraId="5C91ABC8" w14:textId="646461EE" w:rsidR="00BC130F" w:rsidRPr="00D43281" w:rsidRDefault="000C000E" w:rsidP="00BC130F">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b/>
          <w:bCs/>
          <w:color w:val="000000" w:themeColor="text1"/>
          <w:sz w:val="24"/>
          <w:szCs w:val="24"/>
          <w:lang w:val="ru-RU"/>
        </w:rPr>
        <w:t xml:space="preserve">крупная регулируемая организация финансового сектора — </w:t>
      </w:r>
      <w:r w:rsidRPr="00D43281">
        <w:rPr>
          <w:rFonts w:ascii="Times New Roman" w:hAnsi="Times New Roman" w:cs="Times New Roman"/>
          <w:color w:val="000000" w:themeColor="text1"/>
          <w:sz w:val="24"/>
          <w:szCs w:val="24"/>
          <w:lang w:val="ru-RU"/>
        </w:rPr>
        <w:t>организация финансового сектора, которая отвечает всем следующим условиям</w:t>
      </w:r>
      <w:r w:rsidR="00BC130F" w:rsidRPr="00D43281">
        <w:rPr>
          <w:rFonts w:ascii="Times New Roman" w:hAnsi="Times New Roman" w:cs="Times New Roman"/>
          <w:color w:val="000000" w:themeColor="text1"/>
          <w:sz w:val="24"/>
          <w:szCs w:val="24"/>
          <w:lang w:val="ru-RU"/>
        </w:rPr>
        <w:t>:</w:t>
      </w:r>
    </w:p>
    <w:p w14:paraId="5B77F5EA" w14:textId="50D30F5A" w:rsidR="00BC130F" w:rsidRPr="00D43281" w:rsidRDefault="0068586A" w:rsidP="00BC130F">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общая сумма активов организации или общая сумма активов материнского общества, если у организации есть материнское общество, рассчитанная на </w:t>
      </w:r>
      <w:r w:rsidRPr="00D43281">
        <w:rPr>
          <w:rFonts w:ascii="Times New Roman" w:hAnsi="Times New Roman" w:cs="Times New Roman"/>
          <w:color w:val="000000" w:themeColor="text1"/>
          <w:sz w:val="24"/>
          <w:szCs w:val="24"/>
          <w:lang w:val="ru-RU"/>
        </w:rPr>
        <w:lastRenderedPageBreak/>
        <w:t>индивидуальной или консолидированной основе, превышает или равна эквиваленту в молдавских леях (MDL) 70 миллиардов евро, с использованием последней аудированной финансовой отчетности или консолидированной финансовой отчетности для определения размера активов</w:t>
      </w:r>
      <w:r w:rsidR="00BC130F" w:rsidRPr="00D43281">
        <w:rPr>
          <w:rFonts w:ascii="Times New Roman" w:hAnsi="Times New Roman" w:cs="Times New Roman"/>
          <w:color w:val="000000" w:themeColor="text1"/>
          <w:sz w:val="24"/>
          <w:szCs w:val="24"/>
          <w:lang w:val="ru-RU"/>
        </w:rPr>
        <w:t>;</w:t>
      </w:r>
    </w:p>
    <w:p w14:paraId="2421FF2E" w14:textId="64160250" w:rsidR="00BC130F" w:rsidRPr="00D43281" w:rsidRDefault="00C533B7" w:rsidP="00BC130F">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организация подпадает под действие пруденциальных требований, непосредственно на индивидуальной или консолидированной основе либо опосредованно на основе пруденциальной консолидации материнского общества, в соответствии с Регламентом о  надзоре за банками на консолидированной основе, утвержденным Постановлением Исполнительного комитета Национального банка Молдовы № 101/2020 (далее — Регламент № 101/2020), нормативных актов, касающихся пруденциальных требований к инвестиционным компаниям, и нормативных актов, касающихся доступа к деятельности и осуществления деятельности по страхованию и перестрахованию, либо пруденциальных требований законодательства третьей страны, которые являются по крайней мере эквивалентными соответствующим нормативным актам Республики Молдова</w:t>
      </w:r>
      <w:r w:rsidR="00BC130F" w:rsidRPr="00D43281">
        <w:rPr>
          <w:rFonts w:ascii="Times New Roman" w:hAnsi="Times New Roman" w:cs="Times New Roman"/>
          <w:color w:val="000000" w:themeColor="text1"/>
          <w:sz w:val="24"/>
          <w:szCs w:val="24"/>
          <w:lang w:val="ru-RU"/>
        </w:rPr>
        <w:t>;</w:t>
      </w:r>
    </w:p>
    <w:p w14:paraId="3591212B" w14:textId="1A503CCD" w:rsidR="00D62C83" w:rsidRPr="00D43281" w:rsidRDefault="00C54C1E" w:rsidP="00D62C83">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b/>
          <w:bCs/>
          <w:color w:val="000000" w:themeColor="text1"/>
          <w:sz w:val="24"/>
          <w:szCs w:val="24"/>
          <w:lang w:val="ru-RU"/>
        </w:rPr>
        <w:t xml:space="preserve">нерегулируемая организация финансового сектора — </w:t>
      </w:r>
      <w:r w:rsidRPr="00D43281">
        <w:rPr>
          <w:rFonts w:ascii="Times New Roman" w:hAnsi="Times New Roman" w:cs="Times New Roman"/>
          <w:color w:val="000000" w:themeColor="text1"/>
          <w:sz w:val="24"/>
          <w:szCs w:val="24"/>
          <w:lang w:val="ru-RU"/>
        </w:rPr>
        <w:t xml:space="preserve">организация финансового сектора, не отвечающая условию, предусмотренному в </w:t>
      </w:r>
      <w:bookmarkStart w:id="6" w:name="_Hlk233025910"/>
      <w:r w:rsidRPr="00D43281">
        <w:rPr>
          <w:rFonts w:ascii="Times New Roman" w:hAnsi="Times New Roman" w:cs="Times New Roman"/>
          <w:color w:val="000000" w:themeColor="text1"/>
          <w:sz w:val="24"/>
          <w:szCs w:val="24"/>
          <w:lang w:val="ru-RU"/>
        </w:rPr>
        <w:t>под</w:t>
      </w:r>
      <w:bookmarkEnd w:id="6"/>
      <w:r w:rsidRPr="00D43281">
        <w:rPr>
          <w:rFonts w:ascii="Times New Roman" w:hAnsi="Times New Roman" w:cs="Times New Roman"/>
          <w:color w:val="000000" w:themeColor="text1"/>
          <w:sz w:val="24"/>
          <w:szCs w:val="24"/>
          <w:lang w:val="ru-RU"/>
        </w:rPr>
        <w:t>пункте</w:t>
      </w:r>
      <w:r w:rsidRPr="00D43281">
        <w:rPr>
          <w:rFonts w:ascii="Times New Roman" w:hAnsi="Times New Roman" w:cs="Times New Roman"/>
          <w:b/>
          <w:bCs/>
          <w:color w:val="000000" w:themeColor="text1"/>
          <w:sz w:val="24"/>
          <w:szCs w:val="24"/>
          <w:lang w:val="ru-RU"/>
        </w:rPr>
        <w:t xml:space="preserve"> </w:t>
      </w:r>
      <w:r w:rsidR="00D62C83" w:rsidRPr="00D43281">
        <w:rPr>
          <w:rFonts w:ascii="Times New Roman" w:hAnsi="Times New Roman" w:cs="Times New Roman"/>
          <w:color w:val="000000" w:themeColor="text1"/>
          <w:sz w:val="24"/>
          <w:szCs w:val="24"/>
          <w:lang w:val="ru-RU"/>
        </w:rPr>
        <w:t>3.</w:t>
      </w:r>
      <w:r w:rsidR="00D43281" w:rsidRPr="00BB1E28">
        <w:rPr>
          <w:rFonts w:ascii="Times New Roman" w:hAnsi="Times New Roman" w:cs="Times New Roman"/>
          <w:color w:val="000000" w:themeColor="text1"/>
          <w:sz w:val="24"/>
          <w:szCs w:val="24"/>
          <w:lang w:val="ru-RU"/>
        </w:rPr>
        <w:t>6</w:t>
      </w:r>
      <w:r w:rsidR="00D62C83" w:rsidRPr="00D43281">
        <w:rPr>
          <w:rFonts w:ascii="Times New Roman" w:hAnsi="Times New Roman" w:cs="Times New Roman"/>
          <w:color w:val="000000" w:themeColor="text1"/>
          <w:sz w:val="24"/>
          <w:szCs w:val="24"/>
          <w:lang w:val="ru-RU"/>
        </w:rPr>
        <w:t>.2.;</w:t>
      </w:r>
    </w:p>
    <w:p w14:paraId="19B67226" w14:textId="24FB86A1" w:rsidR="00226D5F" w:rsidRPr="00D43281" w:rsidRDefault="00985866" w:rsidP="00226D5F">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b/>
          <w:bCs/>
          <w:color w:val="000000" w:themeColor="text1"/>
          <w:sz w:val="24"/>
          <w:szCs w:val="24"/>
          <w:lang w:val="ru-RU"/>
        </w:rPr>
        <w:t>розничная подверженность</w:t>
      </w:r>
      <w:r w:rsidRPr="00D43281">
        <w:rPr>
          <w:rFonts w:ascii="Times New Roman" w:hAnsi="Times New Roman" w:cs="Times New Roman"/>
          <w:color w:val="000000" w:themeColor="text1"/>
          <w:sz w:val="24"/>
          <w:szCs w:val="24"/>
          <w:lang w:val="ru-RU"/>
        </w:rPr>
        <w:t xml:space="preserve"> — подверженность, относящаяся к любому из классов подверженностей, указанных в подпункте </w:t>
      </w:r>
      <w:r w:rsidR="00226D5F" w:rsidRPr="00D43281">
        <w:rPr>
          <w:rFonts w:ascii="Times New Roman" w:hAnsi="Times New Roman" w:cs="Times New Roman"/>
          <w:color w:val="000000" w:themeColor="text1"/>
          <w:sz w:val="24"/>
          <w:szCs w:val="24"/>
          <w:lang w:val="ru-RU"/>
        </w:rPr>
        <w:fldChar w:fldCharType="begin"/>
      </w:r>
      <w:r w:rsidR="00226D5F" w:rsidRPr="00D43281">
        <w:rPr>
          <w:rFonts w:ascii="Times New Roman" w:hAnsi="Times New Roman" w:cs="Times New Roman"/>
          <w:color w:val="000000" w:themeColor="text1"/>
          <w:sz w:val="24"/>
          <w:szCs w:val="24"/>
          <w:lang w:val="ru-RU"/>
        </w:rPr>
        <w:instrText xml:space="preserve"> REF _Ref214975112 \r \h </w:instrText>
      </w:r>
      <w:r w:rsidR="00690224" w:rsidRPr="00D43281">
        <w:rPr>
          <w:rFonts w:ascii="Times New Roman" w:hAnsi="Times New Roman" w:cs="Times New Roman"/>
          <w:color w:val="000000" w:themeColor="text1"/>
          <w:sz w:val="24"/>
          <w:szCs w:val="24"/>
          <w:lang w:val="ru-RU"/>
        </w:rPr>
        <w:instrText xml:space="preserve"> \* MERGEFORMAT </w:instrText>
      </w:r>
      <w:r w:rsidR="00226D5F" w:rsidRPr="00D43281">
        <w:rPr>
          <w:rFonts w:ascii="Times New Roman" w:hAnsi="Times New Roman" w:cs="Times New Roman"/>
          <w:color w:val="000000" w:themeColor="text1"/>
          <w:sz w:val="24"/>
          <w:szCs w:val="24"/>
          <w:lang w:val="ru-RU"/>
        </w:rPr>
      </w:r>
      <w:r w:rsidR="00226D5F" w:rsidRPr="00D43281">
        <w:rPr>
          <w:rFonts w:ascii="Times New Roman" w:hAnsi="Times New Roman" w:cs="Times New Roman"/>
          <w:color w:val="000000" w:themeColor="text1"/>
          <w:sz w:val="24"/>
          <w:szCs w:val="24"/>
          <w:lang w:val="ru-RU"/>
        </w:rPr>
        <w:fldChar w:fldCharType="separate"/>
      </w:r>
      <w:r w:rsidR="00226D5F" w:rsidRPr="00D43281">
        <w:rPr>
          <w:rFonts w:ascii="Times New Roman" w:hAnsi="Times New Roman" w:cs="Times New Roman"/>
          <w:color w:val="000000" w:themeColor="text1"/>
          <w:sz w:val="24"/>
          <w:szCs w:val="24"/>
          <w:lang w:val="ru-RU"/>
        </w:rPr>
        <w:t>19.5</w:t>
      </w:r>
      <w:r w:rsidR="00226D5F" w:rsidRPr="00D43281">
        <w:rPr>
          <w:rFonts w:ascii="Times New Roman" w:hAnsi="Times New Roman" w:cs="Times New Roman"/>
          <w:color w:val="000000" w:themeColor="text1"/>
          <w:sz w:val="24"/>
          <w:szCs w:val="24"/>
          <w:lang w:val="ru-RU"/>
        </w:rPr>
        <w:fldChar w:fldCharType="end"/>
      </w:r>
      <w:r w:rsidRPr="00D43281">
        <w:rPr>
          <w:rFonts w:ascii="Times New Roman" w:hAnsi="Times New Roman" w:cs="Times New Roman"/>
          <w:color w:val="000000" w:themeColor="text1"/>
          <w:sz w:val="24"/>
          <w:szCs w:val="24"/>
          <w:lang w:val="ru-RU"/>
        </w:rPr>
        <w:t xml:space="preserve"> пункта 19</w:t>
      </w:r>
      <w:r w:rsidR="00226D5F" w:rsidRPr="00D43281">
        <w:rPr>
          <w:rFonts w:ascii="Times New Roman" w:hAnsi="Times New Roman" w:cs="Times New Roman"/>
          <w:color w:val="000000" w:themeColor="text1"/>
          <w:sz w:val="24"/>
          <w:szCs w:val="24"/>
          <w:lang w:val="ru-RU"/>
        </w:rPr>
        <w:t>;</w:t>
      </w:r>
    </w:p>
    <w:p w14:paraId="34C9BE55" w14:textId="7C47B0D2" w:rsidR="00226D5F" w:rsidRPr="00D43281" w:rsidRDefault="00344091" w:rsidP="003E3CF4">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b/>
          <w:bCs/>
          <w:color w:val="000000" w:themeColor="text1"/>
          <w:sz w:val="24"/>
          <w:szCs w:val="24"/>
          <w:lang w:val="ru-RU"/>
        </w:rPr>
        <w:t>подверженность из кредитов</w:t>
      </w:r>
      <w:r w:rsidRPr="00D43281">
        <w:rPr>
          <w:rFonts w:ascii="Times New Roman" w:hAnsi="Times New Roman" w:cs="Times New Roman"/>
          <w:color w:val="000000" w:themeColor="text1"/>
          <w:sz w:val="24"/>
          <w:szCs w:val="24"/>
          <w:lang w:val="ru-RU"/>
        </w:rPr>
        <w:t xml:space="preserve"> — любой балансовый или внебалансовый элемент, который влечет за собой или может повлечь за собой кредитные обязательства</w:t>
      </w:r>
      <w:r w:rsidR="00226D5F" w:rsidRPr="00D43281">
        <w:rPr>
          <w:rFonts w:ascii="Times New Roman" w:hAnsi="Times New Roman" w:cs="Times New Roman"/>
          <w:color w:val="000000" w:themeColor="text1"/>
          <w:sz w:val="24"/>
          <w:szCs w:val="24"/>
          <w:lang w:val="ro-RO"/>
        </w:rPr>
        <w:t>;</w:t>
      </w:r>
    </w:p>
    <w:p w14:paraId="7E5C5E8D" w14:textId="1E79A4D7" w:rsidR="001F417B" w:rsidRPr="00D43281" w:rsidRDefault="00C252C5" w:rsidP="00C33897">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D43281">
        <w:rPr>
          <w:rFonts w:ascii="Times New Roman" w:eastAsia="Times New Roman" w:hAnsi="Times New Roman"/>
          <w:b/>
          <w:bCs/>
          <w:sz w:val="24"/>
          <w:szCs w:val="24"/>
          <w:lang w:val="ru-RU" w:eastAsia="ro-MD"/>
        </w:rPr>
        <w:t>подверженность перед региональными администрациями, местными органами и субъектами публичного сектора</w:t>
      </w:r>
      <w:r w:rsidR="00BC6007" w:rsidRPr="00D43281">
        <w:rPr>
          <w:rFonts w:ascii="Times New Roman" w:eastAsia="Times New Roman" w:hAnsi="Times New Roman"/>
          <w:sz w:val="24"/>
          <w:szCs w:val="24"/>
          <w:lang w:val="ru-RU" w:eastAsia="ro-MD"/>
        </w:rPr>
        <w:t xml:space="preserve"> - </w:t>
      </w:r>
      <w:r w:rsidR="00BC6007" w:rsidRPr="00D43281">
        <w:rPr>
          <w:rFonts w:ascii="Times New Roman" w:hAnsi="Times New Roman" w:cs="Times New Roman"/>
          <w:color w:val="000000" w:themeColor="text1"/>
          <w:sz w:val="24"/>
          <w:szCs w:val="24"/>
          <w:lang w:val="ru-RU"/>
        </w:rPr>
        <w:t xml:space="preserve">подверженность, относящаяся к любому из классов подверженностей, указанных в подпункте </w:t>
      </w:r>
      <w:r w:rsidR="00BC6007" w:rsidRPr="00D43281">
        <w:rPr>
          <w:rFonts w:ascii="Times New Roman" w:hAnsi="Times New Roman" w:cs="Times New Roman"/>
          <w:color w:val="000000" w:themeColor="text1"/>
          <w:sz w:val="24"/>
          <w:szCs w:val="24"/>
          <w:lang w:val="ru-RU"/>
        </w:rPr>
        <w:fldChar w:fldCharType="begin"/>
      </w:r>
      <w:r w:rsidR="00BC6007" w:rsidRPr="00D43281">
        <w:rPr>
          <w:rFonts w:ascii="Times New Roman" w:hAnsi="Times New Roman" w:cs="Times New Roman"/>
          <w:color w:val="000000" w:themeColor="text1"/>
          <w:sz w:val="24"/>
          <w:szCs w:val="24"/>
          <w:lang w:val="ru-RU"/>
        </w:rPr>
        <w:instrText xml:space="preserve"> REF _Ref214975112 \r \h  \* MERGEFORMAT </w:instrText>
      </w:r>
      <w:r w:rsidR="00BC6007" w:rsidRPr="00D43281">
        <w:rPr>
          <w:rFonts w:ascii="Times New Roman" w:hAnsi="Times New Roman" w:cs="Times New Roman"/>
          <w:color w:val="000000" w:themeColor="text1"/>
          <w:sz w:val="24"/>
          <w:szCs w:val="24"/>
          <w:lang w:val="ru-RU"/>
        </w:rPr>
      </w:r>
      <w:r w:rsidR="00BC6007" w:rsidRPr="00D43281">
        <w:rPr>
          <w:rFonts w:ascii="Times New Roman" w:hAnsi="Times New Roman" w:cs="Times New Roman"/>
          <w:color w:val="000000" w:themeColor="text1"/>
          <w:sz w:val="24"/>
          <w:szCs w:val="24"/>
          <w:lang w:val="ru-RU"/>
        </w:rPr>
        <w:fldChar w:fldCharType="separate"/>
      </w:r>
      <w:r w:rsidR="00BC6007" w:rsidRPr="00D43281">
        <w:rPr>
          <w:rFonts w:ascii="Times New Roman" w:hAnsi="Times New Roman" w:cs="Times New Roman"/>
          <w:color w:val="000000" w:themeColor="text1"/>
          <w:sz w:val="24"/>
          <w:szCs w:val="24"/>
          <w:lang w:val="ru-RU"/>
        </w:rPr>
        <w:t>19.2</w:t>
      </w:r>
      <w:r w:rsidR="00BC6007" w:rsidRPr="00D43281">
        <w:rPr>
          <w:rFonts w:ascii="Times New Roman" w:hAnsi="Times New Roman" w:cs="Times New Roman"/>
          <w:color w:val="000000" w:themeColor="text1"/>
          <w:sz w:val="24"/>
          <w:szCs w:val="24"/>
          <w:lang w:val="ru-RU"/>
        </w:rPr>
        <w:fldChar w:fldCharType="end"/>
      </w:r>
      <w:r w:rsidR="00BC6007" w:rsidRPr="00D43281">
        <w:rPr>
          <w:rFonts w:ascii="Times New Roman" w:hAnsi="Times New Roman" w:cs="Times New Roman"/>
          <w:color w:val="000000" w:themeColor="text1"/>
          <w:sz w:val="24"/>
          <w:szCs w:val="24"/>
          <w:lang w:val="ru-RU"/>
        </w:rPr>
        <w:t xml:space="preserve"> пункта 19;</w:t>
      </w:r>
    </w:p>
    <w:p w14:paraId="0D791A7C" w14:textId="7A2C9B89" w:rsidR="003E6713" w:rsidRPr="00D43281" w:rsidRDefault="00EE176A" w:rsidP="003E6713">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eastAsia="Times New Roman" w:hAnsi="Times New Roman"/>
          <w:b/>
          <w:bCs/>
          <w:sz w:val="24"/>
          <w:szCs w:val="24"/>
          <w:lang w:val="ru-RU" w:eastAsia="ro-MD"/>
        </w:rPr>
        <w:t>подверженность перед обществами</w:t>
      </w:r>
      <w:r w:rsidR="003E6713" w:rsidRPr="00D43281">
        <w:rPr>
          <w:rFonts w:ascii="Times New Roman" w:hAnsi="Times New Roman" w:cs="Times New Roman"/>
          <w:color w:val="000000" w:themeColor="text1"/>
          <w:sz w:val="24"/>
          <w:szCs w:val="24"/>
          <w:lang w:val="ro-RO"/>
        </w:rPr>
        <w:t xml:space="preserve"> </w:t>
      </w:r>
      <w:r w:rsidR="003E6713" w:rsidRPr="00D43281">
        <w:rPr>
          <w:rFonts w:ascii="Times New Roman" w:hAnsi="Times New Roman" w:cs="Times New Roman"/>
          <w:b/>
          <w:bCs/>
          <w:color w:val="000000" w:themeColor="text1"/>
          <w:sz w:val="24"/>
          <w:szCs w:val="24"/>
          <w:lang w:val="ro-RO"/>
        </w:rPr>
        <w:t>-</w:t>
      </w:r>
      <w:r w:rsidR="003E6713" w:rsidRPr="00D43281">
        <w:rPr>
          <w:rFonts w:ascii="Times New Roman" w:hAnsi="Times New Roman" w:cs="Times New Roman"/>
          <w:color w:val="000000" w:themeColor="text1"/>
          <w:sz w:val="24"/>
          <w:szCs w:val="24"/>
          <w:lang w:val="ro-RO"/>
        </w:rPr>
        <w:t xml:space="preserve"> </w:t>
      </w:r>
      <w:r w:rsidRPr="00D43281">
        <w:rPr>
          <w:rFonts w:ascii="Times New Roman" w:hAnsi="Times New Roman" w:cs="Times New Roman"/>
          <w:color w:val="000000" w:themeColor="text1"/>
          <w:sz w:val="24"/>
          <w:szCs w:val="24"/>
          <w:lang w:val="ru-RU"/>
        </w:rPr>
        <w:t xml:space="preserve">подверженность, относящаяся к любому из классов подверженностей, указанных в подпункте </w:t>
      </w:r>
      <w:r w:rsidRPr="00D43281">
        <w:rPr>
          <w:rFonts w:ascii="Times New Roman" w:hAnsi="Times New Roman" w:cs="Times New Roman"/>
          <w:color w:val="000000" w:themeColor="text1"/>
          <w:sz w:val="24"/>
          <w:szCs w:val="24"/>
          <w:lang w:val="ru-RU"/>
        </w:rPr>
        <w:fldChar w:fldCharType="begin"/>
      </w:r>
      <w:r w:rsidRPr="00D43281">
        <w:rPr>
          <w:rFonts w:ascii="Times New Roman" w:hAnsi="Times New Roman" w:cs="Times New Roman"/>
          <w:color w:val="000000" w:themeColor="text1"/>
          <w:sz w:val="24"/>
          <w:szCs w:val="24"/>
          <w:lang w:val="ru-RU"/>
        </w:rPr>
        <w:instrText xml:space="preserve"> REF _Ref214975112 \r \h  \* MERGEFORMAT </w:instrText>
      </w:r>
      <w:r w:rsidRPr="00D43281">
        <w:rPr>
          <w:rFonts w:ascii="Times New Roman" w:hAnsi="Times New Roman" w:cs="Times New Roman"/>
          <w:color w:val="000000" w:themeColor="text1"/>
          <w:sz w:val="24"/>
          <w:szCs w:val="24"/>
          <w:lang w:val="ru-RU"/>
        </w:rPr>
      </w:r>
      <w:r w:rsidRPr="00D43281">
        <w:rPr>
          <w:rFonts w:ascii="Times New Roman" w:hAnsi="Times New Roman" w:cs="Times New Roman"/>
          <w:color w:val="000000" w:themeColor="text1"/>
          <w:sz w:val="24"/>
          <w:szCs w:val="24"/>
          <w:lang w:val="ru-RU"/>
        </w:rPr>
        <w:fldChar w:fldCharType="separate"/>
      </w:r>
      <w:r w:rsidRPr="00D43281">
        <w:rPr>
          <w:rFonts w:ascii="Times New Roman" w:hAnsi="Times New Roman" w:cs="Times New Roman"/>
          <w:color w:val="000000" w:themeColor="text1"/>
          <w:sz w:val="24"/>
          <w:szCs w:val="24"/>
          <w:lang w:val="ru-RU"/>
        </w:rPr>
        <w:t>19.4</w:t>
      </w:r>
      <w:r w:rsidRPr="00D43281">
        <w:rPr>
          <w:rFonts w:ascii="Times New Roman" w:hAnsi="Times New Roman" w:cs="Times New Roman"/>
          <w:color w:val="000000" w:themeColor="text1"/>
          <w:sz w:val="24"/>
          <w:szCs w:val="24"/>
          <w:lang w:val="ru-RU"/>
        </w:rPr>
        <w:fldChar w:fldCharType="end"/>
      </w:r>
      <w:r w:rsidRPr="00D43281">
        <w:rPr>
          <w:rFonts w:ascii="Times New Roman" w:hAnsi="Times New Roman" w:cs="Times New Roman"/>
          <w:color w:val="000000" w:themeColor="text1"/>
          <w:sz w:val="24"/>
          <w:szCs w:val="24"/>
          <w:lang w:val="ru-RU"/>
        </w:rPr>
        <w:t xml:space="preserve"> пункта 19;</w:t>
      </w:r>
    </w:p>
    <w:p w14:paraId="1F943973" w14:textId="4E7D6FCA" w:rsidR="003E6713" w:rsidRPr="00D43281" w:rsidRDefault="006E07A0" w:rsidP="000B4593">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b/>
          <w:bCs/>
          <w:color w:val="000000" w:themeColor="text1"/>
          <w:sz w:val="24"/>
          <w:szCs w:val="24"/>
          <w:lang w:val="ru-RU"/>
        </w:rPr>
        <w:t>коэффициент конверсии кредита на основе стандартизированного подхода (CCF на основе С</w:t>
      </w:r>
      <w:r w:rsidR="005924C4" w:rsidRPr="00D43281">
        <w:rPr>
          <w:rFonts w:ascii="Times New Roman" w:hAnsi="Times New Roman" w:cs="Times New Roman"/>
          <w:b/>
          <w:bCs/>
          <w:color w:val="000000" w:themeColor="text1"/>
          <w:sz w:val="24"/>
          <w:szCs w:val="24"/>
          <w:lang w:val="ru-RU"/>
        </w:rPr>
        <w:t>А</w:t>
      </w:r>
      <w:r w:rsidRPr="00D43281">
        <w:rPr>
          <w:rFonts w:ascii="Times New Roman" w:hAnsi="Times New Roman" w:cs="Times New Roman"/>
          <w:b/>
          <w:bCs/>
          <w:color w:val="000000" w:themeColor="text1"/>
          <w:sz w:val="24"/>
          <w:szCs w:val="24"/>
          <w:lang w:val="ru-RU"/>
        </w:rPr>
        <w:t xml:space="preserve">) </w:t>
      </w:r>
      <w:r w:rsidRPr="00D43281">
        <w:rPr>
          <w:rFonts w:ascii="Times New Roman" w:hAnsi="Times New Roman" w:cs="Times New Roman"/>
          <w:color w:val="000000" w:themeColor="text1"/>
          <w:sz w:val="24"/>
          <w:szCs w:val="24"/>
          <w:lang w:val="ru-RU"/>
        </w:rPr>
        <w:t xml:space="preserve">— процентная ставка, применяемая в соответствии с </w:t>
      </w:r>
      <w:r w:rsidR="005924C4" w:rsidRPr="00D43281">
        <w:rPr>
          <w:rFonts w:ascii="Times New Roman" w:hAnsi="Times New Roman" w:cs="Times New Roman"/>
          <w:color w:val="000000" w:themeColor="text1"/>
          <w:sz w:val="24"/>
          <w:szCs w:val="24"/>
          <w:lang w:val="ru-RU"/>
        </w:rPr>
        <w:t>Регламентом</w:t>
      </w:r>
      <w:r w:rsidRPr="00D43281">
        <w:rPr>
          <w:rFonts w:ascii="Times New Roman" w:hAnsi="Times New Roman" w:cs="Times New Roman"/>
          <w:color w:val="000000" w:themeColor="text1"/>
          <w:sz w:val="24"/>
          <w:szCs w:val="24"/>
          <w:lang w:val="ru-RU"/>
        </w:rPr>
        <w:t xml:space="preserve"> </w:t>
      </w:r>
      <w:r w:rsidR="00DD1DE3" w:rsidRPr="00D43281">
        <w:rPr>
          <w:rFonts w:ascii="Times New Roman" w:eastAsia="Times New Roman" w:hAnsi="Times New Roman" w:cs="Times New Roman"/>
          <w:sz w:val="24"/>
          <w:szCs w:val="24"/>
          <w:lang w:val="ru-RU" w:eastAsia="ro-MD"/>
        </w:rPr>
        <w:t>о подходе к кредитному риску согласно</w:t>
      </w:r>
      <w:r w:rsidRPr="00D43281">
        <w:rPr>
          <w:rFonts w:ascii="Times New Roman" w:hAnsi="Times New Roman" w:cs="Times New Roman"/>
          <w:color w:val="000000" w:themeColor="text1"/>
          <w:sz w:val="24"/>
          <w:szCs w:val="24"/>
          <w:lang w:val="ru-RU"/>
        </w:rPr>
        <w:t xml:space="preserve"> стандартизированному подходу, утвержденным Постановлением Исполнительного комитета Национального банка Молдовы № 111/2018 (далее — Регламент № 111/2018)</w:t>
      </w:r>
      <w:r w:rsidR="003E6713" w:rsidRPr="00D43281">
        <w:rPr>
          <w:rFonts w:ascii="Times New Roman" w:hAnsi="Times New Roman" w:cs="Times New Roman"/>
          <w:color w:val="000000" w:themeColor="text1"/>
          <w:sz w:val="24"/>
          <w:szCs w:val="24"/>
          <w:lang w:val="ro-RO"/>
        </w:rPr>
        <w:t>;</w:t>
      </w:r>
    </w:p>
    <w:p w14:paraId="0700BF14" w14:textId="2D82ECD7" w:rsidR="00285168" w:rsidRPr="00D43281" w:rsidRDefault="00D26F19" w:rsidP="00285168">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b/>
          <w:bCs/>
          <w:color w:val="000000" w:themeColor="text1"/>
          <w:sz w:val="24"/>
          <w:szCs w:val="24"/>
          <w:lang w:val="ru-RU"/>
        </w:rPr>
        <w:t xml:space="preserve">коэффициент конверсии кредита на основе IRB (CCF на основе IRB) — </w:t>
      </w:r>
      <w:r w:rsidRPr="00D43281">
        <w:rPr>
          <w:rFonts w:ascii="Times New Roman" w:hAnsi="Times New Roman" w:cs="Times New Roman"/>
          <w:color w:val="000000" w:themeColor="text1"/>
          <w:sz w:val="24"/>
          <w:szCs w:val="24"/>
          <w:lang w:val="ru-RU"/>
        </w:rPr>
        <w:t>собственные оценки коэффициента конверсии кредита</w:t>
      </w:r>
      <w:r w:rsidR="00285168" w:rsidRPr="00D43281">
        <w:rPr>
          <w:rFonts w:ascii="Times New Roman" w:hAnsi="Times New Roman" w:cs="Times New Roman"/>
          <w:color w:val="000000" w:themeColor="text1"/>
          <w:sz w:val="24"/>
          <w:szCs w:val="24"/>
          <w:lang w:val="ru-RU"/>
        </w:rPr>
        <w:t>;</w:t>
      </w:r>
    </w:p>
    <w:p w14:paraId="0D478312" w14:textId="128340BB" w:rsidR="00BB69CE" w:rsidRPr="00D43281" w:rsidRDefault="0081510D" w:rsidP="00BB69CE">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b/>
          <w:bCs/>
          <w:color w:val="000000" w:themeColor="text1"/>
          <w:sz w:val="24"/>
          <w:szCs w:val="24"/>
          <w:lang w:val="ru-RU"/>
        </w:rPr>
        <w:t>преимущество или кредитное преимущество</w:t>
      </w:r>
      <w:r w:rsidR="00BB69CE" w:rsidRPr="00D43281">
        <w:rPr>
          <w:rFonts w:ascii="Times New Roman" w:hAnsi="Times New Roman" w:cs="Times New Roman"/>
          <w:color w:val="000000" w:themeColor="text1"/>
          <w:sz w:val="24"/>
          <w:szCs w:val="24"/>
          <w:lang w:val="ru-RU"/>
        </w:rPr>
        <w:t xml:space="preserve"> </w:t>
      </w:r>
      <w:r w:rsidR="00BB69CE" w:rsidRPr="00D43281">
        <w:rPr>
          <w:rFonts w:ascii="Times New Roman" w:hAnsi="Times New Roman" w:cs="Times New Roman"/>
          <w:b/>
          <w:bCs/>
          <w:color w:val="000000" w:themeColor="text1"/>
          <w:sz w:val="24"/>
          <w:szCs w:val="24"/>
          <w:lang w:val="ru-RU"/>
        </w:rPr>
        <w:t>-</w:t>
      </w:r>
      <w:r w:rsidR="00BB69CE" w:rsidRPr="00D43281">
        <w:rPr>
          <w:rFonts w:ascii="Times New Roman" w:hAnsi="Times New Roman" w:cs="Times New Roman"/>
          <w:color w:val="000000" w:themeColor="text1"/>
          <w:sz w:val="24"/>
          <w:szCs w:val="24"/>
          <w:lang w:val="ru-RU"/>
        </w:rPr>
        <w:t xml:space="preserve"> </w:t>
      </w:r>
      <w:r w:rsidR="00C76820" w:rsidRPr="00D43281">
        <w:rPr>
          <w:rFonts w:ascii="Times New Roman" w:hAnsi="Times New Roman" w:cs="Times New Roman"/>
          <w:color w:val="000000" w:themeColor="text1"/>
          <w:sz w:val="24"/>
          <w:szCs w:val="24"/>
          <w:lang w:val="ru-RU"/>
        </w:rPr>
        <w:t>кредитная подверженность, вытекающая из договора или ряда договоров, заключенных между заемщиком и учреждением</w:t>
      </w:r>
      <w:r w:rsidR="00BB69CE" w:rsidRPr="00D43281">
        <w:rPr>
          <w:rFonts w:ascii="Times New Roman" w:hAnsi="Times New Roman" w:cs="Times New Roman"/>
          <w:color w:val="000000" w:themeColor="text1"/>
          <w:sz w:val="24"/>
          <w:szCs w:val="24"/>
          <w:lang w:val="ru-RU"/>
        </w:rPr>
        <w:t>;</w:t>
      </w:r>
    </w:p>
    <w:p w14:paraId="47812183" w14:textId="4B8B3BFA" w:rsidR="00BB69CE" w:rsidRPr="00D43281" w:rsidRDefault="003648C6" w:rsidP="00BB69CE">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b/>
          <w:bCs/>
          <w:color w:val="000000" w:themeColor="text1"/>
          <w:sz w:val="24"/>
          <w:szCs w:val="24"/>
          <w:lang w:val="ru-RU"/>
        </w:rPr>
        <w:t xml:space="preserve">степень консерватизма — </w:t>
      </w:r>
      <w:r w:rsidRPr="00D43281">
        <w:rPr>
          <w:rFonts w:ascii="Times New Roman" w:hAnsi="Times New Roman" w:cs="Times New Roman"/>
          <w:color w:val="000000" w:themeColor="text1"/>
          <w:sz w:val="24"/>
          <w:szCs w:val="24"/>
          <w:lang w:val="ru-RU"/>
        </w:rPr>
        <w:t>надбавка, включённая в оценки параметров риска с целью учёта предполагаемого диапазона ошибок оценки, которые могут возникнуть вследствие выявленных недостатков в отношении данных, методов, моделей, изменений стандартов андеррайтинга, склонности к риску и политики взыскания задолженности, а также из любого другого источника дополнительной неопределенности, а также из общей ошибки оценки</w:t>
      </w:r>
      <w:r w:rsidR="00BB69CE" w:rsidRPr="00D43281">
        <w:rPr>
          <w:rFonts w:ascii="Times New Roman" w:hAnsi="Times New Roman" w:cs="Times New Roman"/>
          <w:color w:val="000000" w:themeColor="text1"/>
          <w:sz w:val="24"/>
          <w:szCs w:val="24"/>
          <w:lang w:val="ru-RU"/>
        </w:rPr>
        <w:t>;</w:t>
      </w:r>
    </w:p>
    <w:p w14:paraId="26A2B022" w14:textId="1D7928B0" w:rsidR="00BB69CE" w:rsidRPr="00F72F93" w:rsidRDefault="003648C6" w:rsidP="00BB69CE">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b/>
          <w:bCs/>
          <w:color w:val="000000" w:themeColor="text1"/>
          <w:sz w:val="24"/>
          <w:szCs w:val="24"/>
          <w:lang w:val="ru-MD"/>
        </w:rPr>
        <w:t xml:space="preserve">обязательство по кредиту — </w:t>
      </w:r>
      <w:r w:rsidRPr="00D43281">
        <w:rPr>
          <w:rFonts w:ascii="Times New Roman" w:hAnsi="Times New Roman" w:cs="Times New Roman"/>
          <w:color w:val="000000" w:themeColor="text1"/>
          <w:sz w:val="24"/>
          <w:szCs w:val="24"/>
          <w:lang w:val="ru-MD"/>
        </w:rPr>
        <w:t>любое обязательство, вытекающее из кредитного договора, включая основную сумму, начисленные проценты и комиссионные, подлежащие уплате заемщиком</w:t>
      </w:r>
      <w:r w:rsidR="00BB69CE" w:rsidRPr="00D43281">
        <w:rPr>
          <w:rFonts w:ascii="Times New Roman" w:hAnsi="Times New Roman" w:cs="Times New Roman"/>
          <w:color w:val="000000" w:themeColor="text1"/>
          <w:sz w:val="24"/>
          <w:szCs w:val="24"/>
          <w:lang w:val="ru-MD"/>
        </w:rPr>
        <w:t>;</w:t>
      </w:r>
    </w:p>
    <w:p w14:paraId="71D64499" w14:textId="0E4FD263" w:rsidR="00F72F93" w:rsidRPr="00F72F93" w:rsidRDefault="00F72F93" w:rsidP="00BB69CE">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u-MD"/>
        </w:rPr>
      </w:pPr>
      <w:r w:rsidRPr="00F72F93">
        <w:rPr>
          <w:rFonts w:ascii="Times New Roman" w:hAnsi="Times New Roman" w:cs="Times New Roman"/>
          <w:b/>
          <w:bCs/>
          <w:color w:val="000000" w:themeColor="text1"/>
          <w:sz w:val="24"/>
          <w:szCs w:val="24"/>
          <w:lang w:val="ru-MD"/>
        </w:rPr>
        <w:t>убыток в случае неисполнения обязательств или LGD</w:t>
      </w:r>
      <w:r w:rsidRPr="00F72F93">
        <w:rPr>
          <w:rFonts w:ascii="Times New Roman" w:hAnsi="Times New Roman" w:cs="Times New Roman"/>
          <w:color w:val="000000" w:themeColor="text1"/>
          <w:sz w:val="24"/>
          <w:szCs w:val="24"/>
          <w:lang w:val="ru-MD"/>
        </w:rPr>
        <w:t xml:space="preserve"> (</w:t>
      </w:r>
      <w:r w:rsidRPr="00F72F93">
        <w:rPr>
          <w:rFonts w:ascii="Times New Roman" w:hAnsi="Times New Roman" w:cs="Times New Roman"/>
          <w:color w:val="000000" w:themeColor="text1"/>
          <w:sz w:val="24"/>
          <w:szCs w:val="24"/>
          <w:lang w:val="en-GB"/>
        </w:rPr>
        <w:t>loss</w:t>
      </w:r>
      <w:r w:rsidRPr="00BB1E28">
        <w:rPr>
          <w:rFonts w:ascii="Times New Roman" w:hAnsi="Times New Roman" w:cs="Times New Roman"/>
          <w:color w:val="000000" w:themeColor="text1"/>
          <w:sz w:val="24"/>
          <w:szCs w:val="24"/>
          <w:lang w:val="ru-RU"/>
        </w:rPr>
        <w:t xml:space="preserve"> </w:t>
      </w:r>
      <w:r w:rsidRPr="00F72F93">
        <w:rPr>
          <w:rFonts w:ascii="Times New Roman" w:hAnsi="Times New Roman" w:cs="Times New Roman"/>
          <w:color w:val="000000" w:themeColor="text1"/>
          <w:sz w:val="24"/>
          <w:szCs w:val="24"/>
          <w:lang w:val="en-GB"/>
        </w:rPr>
        <w:t>given</w:t>
      </w:r>
      <w:r w:rsidRPr="00BB1E28">
        <w:rPr>
          <w:rFonts w:ascii="Times New Roman" w:hAnsi="Times New Roman" w:cs="Times New Roman"/>
          <w:color w:val="000000" w:themeColor="text1"/>
          <w:sz w:val="24"/>
          <w:szCs w:val="24"/>
          <w:lang w:val="ru-RU"/>
        </w:rPr>
        <w:t xml:space="preserve"> </w:t>
      </w:r>
      <w:r w:rsidRPr="00F72F93">
        <w:rPr>
          <w:rFonts w:ascii="Times New Roman" w:hAnsi="Times New Roman" w:cs="Times New Roman"/>
          <w:color w:val="000000" w:themeColor="text1"/>
          <w:sz w:val="24"/>
          <w:szCs w:val="24"/>
          <w:lang w:val="en-GB"/>
        </w:rPr>
        <w:t>default</w:t>
      </w:r>
      <w:r w:rsidRPr="00F72F93">
        <w:rPr>
          <w:rFonts w:ascii="Times New Roman" w:hAnsi="Times New Roman" w:cs="Times New Roman"/>
          <w:color w:val="000000" w:themeColor="text1"/>
          <w:sz w:val="24"/>
          <w:szCs w:val="24"/>
          <w:lang w:val="ru-MD"/>
        </w:rPr>
        <w:t xml:space="preserve">) — это отношение между, с одной стороны, убытком, связанным с риском по отдельному кредитному инструменту в случае неисполнения обязательств должником или, в соответствующих случаях, кредитным инструментом, и, с другой стороны, суммой, подверженной риску на момент неисполнения обязательств или на конкретную дату после даты неисполнения обязательств, а также, в контексте риска снижения стоимости дебиторской задолженности, убытком в случае снижения стоимости дебиторской </w:t>
      </w:r>
      <w:r w:rsidRPr="00F72F93">
        <w:rPr>
          <w:rFonts w:ascii="Times New Roman" w:hAnsi="Times New Roman" w:cs="Times New Roman"/>
          <w:color w:val="000000" w:themeColor="text1"/>
          <w:sz w:val="24"/>
          <w:szCs w:val="24"/>
          <w:lang w:val="ru-MD"/>
        </w:rPr>
        <w:lastRenderedPageBreak/>
        <w:t>задолженности, что означает отношение между, с одной стороны, убытком, связанным с риском по приобретенной дебиторской задолженности в случае снижения ее стоимости, и, с другой стороны, суммой, подверженной риску по приобретенной дебиторской задолженности;</w:t>
      </w:r>
    </w:p>
    <w:p w14:paraId="004BC3AB" w14:textId="4CA4554E" w:rsidR="00F72F93" w:rsidRPr="00F72F93" w:rsidRDefault="00F72F93" w:rsidP="00BB69CE">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u-MD"/>
        </w:rPr>
      </w:pPr>
      <w:r w:rsidRPr="00F72F93">
        <w:rPr>
          <w:rFonts w:ascii="Times New Roman" w:hAnsi="Times New Roman" w:cs="Times New Roman"/>
          <w:b/>
          <w:bCs/>
          <w:color w:val="000000" w:themeColor="text1"/>
          <w:sz w:val="24"/>
          <w:szCs w:val="24"/>
          <w:lang w:val="ru-MD"/>
        </w:rPr>
        <w:t xml:space="preserve">вероятность дефолта или </w:t>
      </w:r>
      <w:r w:rsidRPr="00F72F93">
        <w:rPr>
          <w:rFonts w:ascii="Times New Roman" w:hAnsi="Times New Roman" w:cs="Times New Roman"/>
          <w:b/>
          <w:bCs/>
          <w:color w:val="000000" w:themeColor="text1"/>
          <w:sz w:val="24"/>
          <w:szCs w:val="24"/>
          <w:lang w:val="en-US"/>
        </w:rPr>
        <w:t>PD</w:t>
      </w:r>
      <w:r w:rsidRPr="00F72F93">
        <w:rPr>
          <w:rFonts w:ascii="Times New Roman" w:hAnsi="Times New Roman" w:cs="Times New Roman"/>
          <w:color w:val="000000" w:themeColor="text1"/>
          <w:sz w:val="24"/>
          <w:szCs w:val="24"/>
          <w:lang w:val="ru-MD"/>
        </w:rPr>
        <w:t xml:space="preserve"> (</w:t>
      </w:r>
      <w:r w:rsidRPr="00F72F93">
        <w:rPr>
          <w:rFonts w:ascii="Times New Roman" w:hAnsi="Times New Roman" w:cs="Times New Roman"/>
          <w:color w:val="000000" w:themeColor="text1"/>
          <w:sz w:val="24"/>
          <w:szCs w:val="24"/>
          <w:lang w:val="en-GB"/>
        </w:rPr>
        <w:t>probability</w:t>
      </w:r>
      <w:r w:rsidRPr="00BB1E28">
        <w:rPr>
          <w:rFonts w:ascii="Times New Roman" w:hAnsi="Times New Roman" w:cs="Times New Roman"/>
          <w:color w:val="000000" w:themeColor="text1"/>
          <w:sz w:val="24"/>
          <w:szCs w:val="24"/>
          <w:lang w:val="ru-RU"/>
        </w:rPr>
        <w:t xml:space="preserve"> </w:t>
      </w:r>
      <w:r w:rsidRPr="00F72F93">
        <w:rPr>
          <w:rFonts w:ascii="Times New Roman" w:hAnsi="Times New Roman" w:cs="Times New Roman"/>
          <w:color w:val="000000" w:themeColor="text1"/>
          <w:sz w:val="24"/>
          <w:szCs w:val="24"/>
          <w:lang w:val="en-GB"/>
        </w:rPr>
        <w:t>of</w:t>
      </w:r>
      <w:r w:rsidRPr="00BB1E28">
        <w:rPr>
          <w:rFonts w:ascii="Times New Roman" w:hAnsi="Times New Roman" w:cs="Times New Roman"/>
          <w:color w:val="000000" w:themeColor="text1"/>
          <w:sz w:val="24"/>
          <w:szCs w:val="24"/>
          <w:lang w:val="ru-RU"/>
        </w:rPr>
        <w:t xml:space="preserve"> </w:t>
      </w:r>
      <w:r w:rsidRPr="00F72F93">
        <w:rPr>
          <w:rFonts w:ascii="Times New Roman" w:hAnsi="Times New Roman" w:cs="Times New Roman"/>
          <w:color w:val="000000" w:themeColor="text1"/>
          <w:sz w:val="24"/>
          <w:szCs w:val="24"/>
          <w:lang w:val="en-GB"/>
        </w:rPr>
        <w:t>default</w:t>
      </w:r>
      <w:r w:rsidRPr="00F72F93">
        <w:rPr>
          <w:rFonts w:ascii="Times New Roman" w:hAnsi="Times New Roman" w:cs="Times New Roman"/>
          <w:color w:val="000000" w:themeColor="text1"/>
          <w:sz w:val="24"/>
          <w:szCs w:val="24"/>
          <w:lang w:val="ru-MD"/>
        </w:rPr>
        <w:t>) — вероятность того, что должник или, в зависимости от обстоятельств, кредитор допустит дефолт в течение одного года, а в контексте риска снижения стоимости дебиторской задолженности — вероятность снижения стоимости дебиторской задолженности в течение одного года;</w:t>
      </w:r>
    </w:p>
    <w:p w14:paraId="1EF42D93" w14:textId="21979547" w:rsidR="00F72F93" w:rsidRPr="00F72F93" w:rsidRDefault="00F72F93" w:rsidP="00BB69CE">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u-MD"/>
        </w:rPr>
      </w:pPr>
      <w:r w:rsidRPr="00F72F93">
        <w:rPr>
          <w:rFonts w:ascii="Times New Roman" w:hAnsi="Times New Roman" w:cs="Times New Roman"/>
          <w:b/>
          <w:bCs/>
          <w:color w:val="000000" w:themeColor="text1"/>
          <w:sz w:val="24"/>
          <w:szCs w:val="24"/>
          <w:lang w:val="ru-MD"/>
        </w:rPr>
        <w:t>годовой показатель неплатежеспособности</w:t>
      </w:r>
      <w:r w:rsidRPr="00F72F93">
        <w:rPr>
          <w:rFonts w:ascii="Times New Roman" w:hAnsi="Times New Roman" w:cs="Times New Roman"/>
          <w:color w:val="000000" w:themeColor="text1"/>
          <w:sz w:val="24"/>
          <w:szCs w:val="24"/>
          <w:lang w:val="ru-MD"/>
        </w:rPr>
        <w:t xml:space="preserve"> — отношение числа заемщиков или, если определение неплатежеспособности применяется на уровне кредитной линии в соответствии с пунктом 24 Регламента № 111/2018, числа кредитных линий, по которым считается, что произошла неплатежная ситуация в течение периода, начинающегося за один год до даты наблюдения T, к общему числу заемщиков или, если определение неплатежеспособности применяется на уровне кредитной линии, к кредитным линиям, классифицированным в данном рейтинговом классе или пуле рисков за один год до этой даты наблюдения T;</w:t>
      </w:r>
    </w:p>
    <w:p w14:paraId="2F4FCEF2" w14:textId="6894AE0F" w:rsidR="00F72F93" w:rsidRPr="00D43281" w:rsidRDefault="00F72F93" w:rsidP="00BB69CE">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u-MD"/>
        </w:rPr>
      </w:pPr>
      <w:r w:rsidRPr="00F72F93">
        <w:rPr>
          <w:rFonts w:ascii="Times New Roman" w:hAnsi="Times New Roman" w:cs="Times New Roman"/>
          <w:b/>
          <w:bCs/>
          <w:color w:val="000000" w:themeColor="text1"/>
          <w:sz w:val="24"/>
          <w:szCs w:val="24"/>
          <w:lang w:val="ru-MD"/>
        </w:rPr>
        <w:t xml:space="preserve">риск </w:t>
      </w:r>
      <w:r w:rsidR="008B2ED7">
        <w:rPr>
          <w:rFonts w:ascii="Times New Roman" w:hAnsi="Times New Roman" w:cs="Times New Roman"/>
          <w:b/>
          <w:bCs/>
          <w:color w:val="000000" w:themeColor="text1"/>
          <w:sz w:val="24"/>
          <w:szCs w:val="24"/>
          <w:lang w:val="ru-MD"/>
        </w:rPr>
        <w:t>сниже</w:t>
      </w:r>
      <w:r w:rsidRPr="00F72F93">
        <w:rPr>
          <w:rFonts w:ascii="Times New Roman" w:hAnsi="Times New Roman" w:cs="Times New Roman"/>
          <w:b/>
          <w:bCs/>
          <w:color w:val="000000" w:themeColor="text1"/>
          <w:sz w:val="24"/>
          <w:szCs w:val="24"/>
          <w:lang w:val="ru-MD"/>
        </w:rPr>
        <w:t>ния стоимости дебиторской задолженности</w:t>
      </w:r>
      <w:r w:rsidRPr="00F72F93">
        <w:rPr>
          <w:rFonts w:ascii="Times New Roman" w:hAnsi="Times New Roman" w:cs="Times New Roman"/>
          <w:color w:val="000000" w:themeColor="text1"/>
          <w:sz w:val="24"/>
          <w:szCs w:val="24"/>
          <w:lang w:val="ru-MD"/>
        </w:rPr>
        <w:t xml:space="preserve"> — риск того, что </w:t>
      </w:r>
      <w:r w:rsidR="002A0BB7" w:rsidRPr="002A0BB7">
        <w:rPr>
          <w:rFonts w:ascii="Times New Roman" w:hAnsi="Times New Roman" w:cs="Times New Roman"/>
          <w:color w:val="000000" w:themeColor="text1"/>
          <w:sz w:val="24"/>
          <w:szCs w:val="24"/>
          <w:lang w:val="ru-MD"/>
        </w:rPr>
        <w:t>стоимость дебиторской задолженности будет снижена в результате предоставления должнику кредитов в денежной или иной форме</w:t>
      </w:r>
      <w:r w:rsidRPr="00F72F93">
        <w:rPr>
          <w:rFonts w:ascii="Times New Roman" w:hAnsi="Times New Roman" w:cs="Times New Roman"/>
          <w:color w:val="000000" w:themeColor="text1"/>
          <w:sz w:val="24"/>
          <w:szCs w:val="24"/>
          <w:lang w:val="ru-MD"/>
        </w:rPr>
        <w:t>;</w:t>
      </w:r>
    </w:p>
    <w:p w14:paraId="0B8FE82F" w14:textId="371B7E8C" w:rsidR="00394BBD" w:rsidRPr="00D43281" w:rsidRDefault="001B2671" w:rsidP="00107C02">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b/>
          <w:bCs/>
          <w:color w:val="000000" w:themeColor="text1"/>
          <w:sz w:val="24"/>
          <w:szCs w:val="24"/>
          <w:lang w:val="ru-RU"/>
        </w:rPr>
        <w:t xml:space="preserve">убыток — </w:t>
      </w:r>
      <w:r w:rsidRPr="00D43281">
        <w:rPr>
          <w:rFonts w:ascii="Times New Roman" w:hAnsi="Times New Roman" w:cs="Times New Roman"/>
          <w:color w:val="000000" w:themeColor="text1"/>
          <w:sz w:val="24"/>
          <w:szCs w:val="24"/>
          <w:lang w:val="ru-RU"/>
        </w:rPr>
        <w:t>экономический убыток, включая последствия существенных переоценок и значительные прямые и косвенные затраты, связанные с взысканием сумм, подлежащих получению по финансовому инструменту</w:t>
      </w:r>
      <w:r w:rsidR="00394BBD" w:rsidRPr="00D43281">
        <w:rPr>
          <w:rFonts w:ascii="Times New Roman" w:hAnsi="Times New Roman" w:cs="Times New Roman"/>
          <w:color w:val="000000" w:themeColor="text1"/>
          <w:sz w:val="24"/>
          <w:szCs w:val="24"/>
          <w:lang w:val="ru-RU"/>
        </w:rPr>
        <w:t>;</w:t>
      </w:r>
    </w:p>
    <w:p w14:paraId="7113A86E" w14:textId="150B78A1" w:rsidR="00394BBD" w:rsidRPr="00D43281" w:rsidRDefault="001B2671" w:rsidP="00107C02">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b/>
          <w:bCs/>
          <w:color w:val="000000" w:themeColor="text1"/>
          <w:sz w:val="24"/>
          <w:szCs w:val="24"/>
          <w:lang w:val="ru-RU"/>
        </w:rPr>
        <w:t xml:space="preserve">ожидаемый убыток или «EL» — </w:t>
      </w:r>
      <w:r w:rsidRPr="00D43281">
        <w:rPr>
          <w:rFonts w:ascii="Times New Roman" w:hAnsi="Times New Roman" w:cs="Times New Roman"/>
          <w:color w:val="000000" w:themeColor="text1"/>
          <w:sz w:val="24"/>
          <w:szCs w:val="24"/>
          <w:lang w:val="ru-RU"/>
        </w:rPr>
        <w:t>показатель, относящийся к отдельной кредитной линии, представляющий собой отношение, с одной стороны, суммы ожидаемого убытка по подверженности, обусловленной любым из следующих факторов</w:t>
      </w:r>
      <w:r w:rsidR="00394BBD" w:rsidRPr="00D43281">
        <w:rPr>
          <w:rFonts w:ascii="Times New Roman" w:hAnsi="Times New Roman" w:cs="Times New Roman"/>
          <w:color w:val="000000" w:themeColor="text1"/>
          <w:sz w:val="24"/>
          <w:szCs w:val="24"/>
          <w:lang w:val="ru-RU"/>
        </w:rPr>
        <w:t>:</w:t>
      </w:r>
    </w:p>
    <w:p w14:paraId="7710EDFD" w14:textId="20883BE1" w:rsidR="00394BBD" w:rsidRPr="00D43281" w:rsidRDefault="00B35DE5" w:rsidP="00107C02">
      <w:pPr>
        <w:pStyle w:val="ListParagraph"/>
        <w:numPr>
          <w:ilvl w:val="2"/>
          <w:numId w:val="2"/>
        </w:numPr>
        <w:tabs>
          <w:tab w:val="left" w:pos="0"/>
        </w:tabs>
        <w:spacing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потенциального перехода заемщика в состояние </w:t>
      </w:r>
      <w:r w:rsidR="001F70E3" w:rsidRPr="00D43281">
        <w:rPr>
          <w:rFonts w:ascii="Times New Roman" w:hAnsi="Times New Roman" w:cs="Times New Roman"/>
          <w:color w:val="000000" w:themeColor="text1"/>
          <w:sz w:val="24"/>
          <w:szCs w:val="24"/>
          <w:lang w:val="ru-RU"/>
        </w:rPr>
        <w:t>невыполнения</w:t>
      </w:r>
      <w:r w:rsidRPr="00D43281">
        <w:rPr>
          <w:rFonts w:ascii="Times New Roman" w:hAnsi="Times New Roman" w:cs="Times New Roman"/>
          <w:color w:val="000000" w:themeColor="text1"/>
          <w:sz w:val="24"/>
          <w:szCs w:val="24"/>
          <w:lang w:val="ru-RU"/>
        </w:rPr>
        <w:t xml:space="preserve"> обязательств в течение года и, с другой стороны, суммы, подверженной риску на момент перехода в состояние </w:t>
      </w:r>
      <w:r w:rsidR="001F70E3" w:rsidRPr="00D43281">
        <w:rPr>
          <w:rFonts w:ascii="Times New Roman" w:hAnsi="Times New Roman" w:cs="Times New Roman"/>
          <w:color w:val="000000" w:themeColor="text1"/>
          <w:sz w:val="24"/>
          <w:szCs w:val="24"/>
          <w:lang w:val="ru-RU"/>
        </w:rPr>
        <w:t>невыполнения</w:t>
      </w:r>
      <w:r w:rsidRPr="00D43281">
        <w:rPr>
          <w:rFonts w:ascii="Times New Roman" w:hAnsi="Times New Roman" w:cs="Times New Roman"/>
          <w:color w:val="000000" w:themeColor="text1"/>
          <w:sz w:val="24"/>
          <w:szCs w:val="24"/>
          <w:lang w:val="ru-RU"/>
        </w:rPr>
        <w:t xml:space="preserve"> обязательств</w:t>
      </w:r>
      <w:r w:rsidR="00394BBD" w:rsidRPr="00D43281">
        <w:rPr>
          <w:rFonts w:ascii="Times New Roman" w:hAnsi="Times New Roman" w:cs="Times New Roman"/>
          <w:color w:val="000000" w:themeColor="text1"/>
          <w:sz w:val="24"/>
          <w:szCs w:val="24"/>
          <w:lang w:val="ru-RU"/>
        </w:rPr>
        <w:t>;</w:t>
      </w:r>
    </w:p>
    <w:p w14:paraId="0FF4FCA9" w14:textId="3597C5D9" w:rsidR="00394BBD" w:rsidRPr="00D43281" w:rsidRDefault="00394BBD" w:rsidP="00107C02">
      <w:pPr>
        <w:pStyle w:val="ListParagraph"/>
        <w:numPr>
          <w:ilvl w:val="2"/>
          <w:numId w:val="2"/>
        </w:numPr>
        <w:tabs>
          <w:tab w:val="left" w:pos="0"/>
        </w:tabs>
        <w:spacing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 </w:t>
      </w:r>
      <w:r w:rsidR="001F70E3" w:rsidRPr="00D43281">
        <w:rPr>
          <w:rFonts w:ascii="Times New Roman" w:hAnsi="Times New Roman" w:cs="Times New Roman"/>
          <w:color w:val="000000" w:themeColor="text1"/>
          <w:sz w:val="24"/>
          <w:szCs w:val="24"/>
          <w:lang w:val="ru-RU"/>
        </w:rPr>
        <w:t>потенциальное событие снижения стоимости требования в течение года и, с другой стороны, сумма, подверженная риску на дату наступления события снижения стоимости требования</w:t>
      </w:r>
      <w:r w:rsidRPr="00D43281">
        <w:rPr>
          <w:rFonts w:ascii="Times New Roman" w:hAnsi="Times New Roman" w:cs="Times New Roman"/>
          <w:color w:val="000000" w:themeColor="text1"/>
          <w:sz w:val="24"/>
          <w:szCs w:val="24"/>
          <w:lang w:val="ru-RU"/>
        </w:rPr>
        <w:t>;</w:t>
      </w:r>
    </w:p>
    <w:p w14:paraId="00B8D2E5" w14:textId="6A698307" w:rsidR="00BB69CE" w:rsidRPr="00D43281" w:rsidRDefault="00F257AE" w:rsidP="00BB69CE">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b/>
          <w:bCs/>
          <w:color w:val="000000" w:themeColor="text1"/>
          <w:sz w:val="24"/>
          <w:szCs w:val="24"/>
          <w:lang w:val="ru-MD"/>
        </w:rPr>
        <w:t xml:space="preserve">порог взвешенного риска для поставщика защиты — </w:t>
      </w:r>
      <w:r w:rsidRPr="00D43281">
        <w:rPr>
          <w:rFonts w:ascii="Times New Roman" w:hAnsi="Times New Roman" w:cs="Times New Roman"/>
          <w:color w:val="000000" w:themeColor="text1"/>
          <w:sz w:val="24"/>
          <w:szCs w:val="24"/>
          <w:lang w:val="ru-MD"/>
        </w:rPr>
        <w:t>коэффициент риска, применимый к сопоставимой прямой подверженности в отношении поставщика защиты</w:t>
      </w:r>
      <w:r w:rsidR="00BB69CE" w:rsidRPr="00D43281">
        <w:rPr>
          <w:rFonts w:ascii="Times New Roman" w:hAnsi="Times New Roman" w:cs="Times New Roman"/>
          <w:color w:val="000000" w:themeColor="text1"/>
          <w:sz w:val="24"/>
          <w:szCs w:val="24"/>
          <w:lang w:val="ru-MD"/>
        </w:rPr>
        <w:t>;</w:t>
      </w:r>
    </w:p>
    <w:p w14:paraId="4D7F4620" w14:textId="1C24DF6E" w:rsidR="00BB69CE" w:rsidRPr="00D43281" w:rsidRDefault="003257F8" w:rsidP="00BB69CE">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bookmarkStart w:id="7" w:name="_Ref215506589"/>
      <w:r w:rsidRPr="00D43281">
        <w:rPr>
          <w:rFonts w:ascii="Times New Roman" w:hAnsi="Times New Roman" w:cs="Times New Roman"/>
          <w:b/>
          <w:bCs/>
          <w:color w:val="000000" w:themeColor="text1"/>
          <w:sz w:val="24"/>
          <w:szCs w:val="24"/>
          <w:lang w:val="ru-RU"/>
        </w:rPr>
        <w:t xml:space="preserve">«признанная» нефинансовая защита кредита </w:t>
      </w:r>
      <w:r w:rsidRPr="00D43281">
        <w:rPr>
          <w:rFonts w:ascii="Times New Roman" w:hAnsi="Times New Roman" w:cs="Times New Roman"/>
          <w:color w:val="000000" w:themeColor="text1"/>
          <w:sz w:val="24"/>
          <w:szCs w:val="24"/>
          <w:lang w:val="ru-RU"/>
        </w:rPr>
        <w:t>в случае подверженности, к которой банк применяет подход IRB с использованием собственных оценок LGD в соответствии с пунктами 4–7, - нефинансовая защита кредита, влияние которой на расчет взвешенных по риску сумм подверженностей или сумм ожидаемых убытков, связанных с базовой подверженностью, учитывается с помощью одного из следующих методов, в соответствии с Регламентом  о техниках снижения кредитного риска, используемых банками, утвержденным Постановлением Исполнительного комитета Национального банка Молдовы № 112/2018 (далее — Регламент № 112/2018</w:t>
      </w:r>
      <w:r w:rsidR="00BB69CE" w:rsidRPr="00D43281">
        <w:rPr>
          <w:rFonts w:ascii="Times New Roman" w:hAnsi="Times New Roman" w:cs="Times New Roman"/>
          <w:color w:val="000000" w:themeColor="text1"/>
          <w:sz w:val="24"/>
          <w:szCs w:val="24"/>
          <w:lang w:val="ru-RU"/>
        </w:rPr>
        <w:t>):</w:t>
      </w:r>
      <w:bookmarkEnd w:id="7"/>
    </w:p>
    <w:p w14:paraId="26B2168A" w14:textId="31AB3537" w:rsidR="00BB69CE" w:rsidRPr="00D43281" w:rsidRDefault="00D30213" w:rsidP="00BB69CE">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подход, основанный на моделировании корректировки PD/LGD</w:t>
      </w:r>
      <w:r w:rsidR="00BB69CE" w:rsidRPr="00D43281">
        <w:rPr>
          <w:rFonts w:ascii="Times New Roman" w:hAnsi="Times New Roman" w:cs="Times New Roman"/>
          <w:color w:val="000000" w:themeColor="text1"/>
          <w:sz w:val="24"/>
          <w:szCs w:val="24"/>
          <w:lang w:val="ru-RU"/>
        </w:rPr>
        <w:t>;</w:t>
      </w:r>
    </w:p>
    <w:p w14:paraId="19177411" w14:textId="680483C7" w:rsidR="00BB69CE" w:rsidRPr="00D43281" w:rsidRDefault="00D30213" w:rsidP="00BB69CE">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подход, заключающийся в замене параметров риска на основе A-IRB, как это определено в Регламенте № 112/2018</w:t>
      </w:r>
      <w:r w:rsidR="00BB69CE" w:rsidRPr="00D43281">
        <w:rPr>
          <w:rFonts w:ascii="Times New Roman" w:hAnsi="Times New Roman" w:cs="Times New Roman"/>
          <w:color w:val="000000" w:themeColor="text1"/>
          <w:sz w:val="24"/>
          <w:szCs w:val="24"/>
          <w:lang w:val="ru-RU"/>
        </w:rPr>
        <w:t>;</w:t>
      </w:r>
    </w:p>
    <w:p w14:paraId="1C1CB57A" w14:textId="44EE259D" w:rsidR="00BB69CE" w:rsidRPr="00D43281" w:rsidRDefault="00557D54" w:rsidP="00BB69CE">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b/>
          <w:bCs/>
          <w:color w:val="000000" w:themeColor="text1"/>
          <w:sz w:val="24"/>
          <w:szCs w:val="24"/>
          <w:lang w:val="ru-RU"/>
        </w:rPr>
        <w:t xml:space="preserve">крупное общество — </w:t>
      </w:r>
      <w:r w:rsidRPr="00D43281">
        <w:rPr>
          <w:rFonts w:ascii="Times New Roman" w:hAnsi="Times New Roman" w:cs="Times New Roman"/>
          <w:color w:val="000000" w:themeColor="text1"/>
          <w:sz w:val="24"/>
          <w:szCs w:val="24"/>
          <w:lang w:val="ru-RU"/>
        </w:rPr>
        <w:t>любое предприятие, годовой консолидированный оборот которого превышает эквивалент в леях 500 млн евро, либо принадлежащее к группе, если совокупный годовой оборот консолидированной группы превышает эквивалент в леях 500 млн евро</w:t>
      </w:r>
      <w:r w:rsidR="00BB69CE" w:rsidRPr="00D43281">
        <w:rPr>
          <w:rFonts w:ascii="Times New Roman" w:hAnsi="Times New Roman" w:cs="Times New Roman"/>
          <w:color w:val="000000" w:themeColor="text1"/>
          <w:sz w:val="24"/>
          <w:szCs w:val="24"/>
          <w:lang w:val="ru-RU"/>
        </w:rPr>
        <w:t>.</w:t>
      </w:r>
    </w:p>
    <w:p w14:paraId="146ABB00" w14:textId="4BCFED8D" w:rsidR="00BB69CE" w:rsidRPr="00D43281" w:rsidRDefault="00EF2179" w:rsidP="00BB69CE">
      <w:pPr>
        <w:shd w:val="clear" w:color="auto" w:fill="FFFFFF"/>
        <w:tabs>
          <w:tab w:val="left" w:pos="0"/>
        </w:tabs>
        <w:spacing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При оценке порога оборота суммы указываются в том виде, в каком они отражены в аудированных финансовых отчетах обществ или, в случае обществ, входящих в консолидированные группы, их консолидированных групп, в соответствии со стандартом бухгалтерского учета, применимым к материнскому обществу самого высокого уровня в </w:t>
      </w:r>
      <w:r w:rsidRPr="00D43281">
        <w:rPr>
          <w:rFonts w:ascii="Times New Roman" w:hAnsi="Times New Roman" w:cs="Times New Roman"/>
          <w:color w:val="000000" w:themeColor="text1"/>
          <w:sz w:val="24"/>
          <w:szCs w:val="24"/>
          <w:lang w:val="ru-RU"/>
        </w:rPr>
        <w:lastRenderedPageBreak/>
        <w:t>консолидированной группе. Цифры основаны на средних суммах, рассчитанных за последние три года, или на самых последних суммах, обновляемых банком раз в три года</w:t>
      </w:r>
      <w:r w:rsidR="00BB69CE" w:rsidRPr="00D43281">
        <w:rPr>
          <w:rFonts w:ascii="Times New Roman" w:hAnsi="Times New Roman" w:cs="Times New Roman"/>
          <w:color w:val="000000" w:themeColor="text1"/>
          <w:sz w:val="24"/>
          <w:szCs w:val="24"/>
          <w:lang w:val="ru-RU"/>
        </w:rPr>
        <w:t>;</w:t>
      </w:r>
    </w:p>
    <w:p w14:paraId="0B0D1E4F" w14:textId="7F25BEEA" w:rsidR="000819D3" w:rsidRPr="00D43281" w:rsidRDefault="00AD19E4" w:rsidP="00E90A53">
      <w:pPr>
        <w:pStyle w:val="ListParagraph"/>
        <w:numPr>
          <w:ilvl w:val="1"/>
          <w:numId w:val="2"/>
        </w:numPr>
        <w:tabs>
          <w:tab w:val="left" w:pos="0"/>
        </w:tabs>
        <w:spacing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b/>
          <w:bCs/>
          <w:color w:val="000000" w:themeColor="text1"/>
          <w:sz w:val="24"/>
          <w:szCs w:val="24"/>
          <w:lang w:val="ru-RU"/>
        </w:rPr>
        <w:t xml:space="preserve">система рейтинговой оценки — </w:t>
      </w:r>
      <w:r w:rsidRPr="00D43281">
        <w:rPr>
          <w:rFonts w:ascii="Times New Roman" w:hAnsi="Times New Roman" w:cs="Times New Roman"/>
          <w:color w:val="000000" w:themeColor="text1"/>
          <w:sz w:val="24"/>
          <w:szCs w:val="24"/>
          <w:lang w:val="ru-RU"/>
        </w:rPr>
        <w:t>совокупность всех методов, процессов, систем контроля, систем сбора данных и информационных систем, позволяющих оценивать кредитный риск, классифицировать подверженности по рейтинговым классам или группам риска и количественно определять оценки состояний невыполнения обязательств и убытков, разработанных для определенного вида подверженностей</w:t>
      </w:r>
      <w:r w:rsidR="00EC531B" w:rsidRPr="00D43281">
        <w:rPr>
          <w:rFonts w:ascii="Times New Roman" w:hAnsi="Times New Roman" w:cs="Times New Roman"/>
          <w:color w:val="000000" w:themeColor="text1"/>
          <w:sz w:val="24"/>
          <w:szCs w:val="24"/>
          <w:lang w:val="ru-RU"/>
        </w:rPr>
        <w:t>;</w:t>
      </w:r>
      <w:bookmarkEnd w:id="4"/>
    </w:p>
    <w:p w14:paraId="3119D6FE" w14:textId="6E02D714" w:rsidR="000819D3" w:rsidRPr="00D43281" w:rsidRDefault="00026B57" w:rsidP="00E90A53">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bookmarkStart w:id="8" w:name="_Ref215506677"/>
      <w:r w:rsidRPr="00D43281">
        <w:rPr>
          <w:rFonts w:ascii="Times New Roman" w:hAnsi="Times New Roman" w:cs="Times New Roman"/>
          <w:b/>
          <w:bCs/>
          <w:color w:val="000000" w:themeColor="text1"/>
          <w:sz w:val="24"/>
          <w:szCs w:val="24"/>
          <w:lang w:val="ru-RU"/>
        </w:rPr>
        <w:t xml:space="preserve">тип подверженностей — </w:t>
      </w:r>
      <w:r w:rsidRPr="00D43281">
        <w:rPr>
          <w:rFonts w:ascii="Times New Roman" w:hAnsi="Times New Roman" w:cs="Times New Roman"/>
          <w:color w:val="000000" w:themeColor="text1"/>
          <w:sz w:val="24"/>
          <w:szCs w:val="24"/>
          <w:lang w:val="ru-RU"/>
        </w:rPr>
        <w:t>группа подверженностей, управляемая единообразно, которая может ограничиваться одной организацией или подгруппой организаций в рамках группы при условии, что тот же тип подверженностей управляется иначе в других организациях группы</w:t>
      </w:r>
      <w:r w:rsidR="000819D3" w:rsidRPr="00D43281">
        <w:rPr>
          <w:rFonts w:ascii="Times New Roman" w:hAnsi="Times New Roman" w:cs="Times New Roman"/>
          <w:color w:val="000000" w:themeColor="text1"/>
          <w:sz w:val="24"/>
          <w:szCs w:val="24"/>
          <w:lang w:val="ru-RU"/>
        </w:rPr>
        <w:t>;</w:t>
      </w:r>
      <w:bookmarkEnd w:id="8"/>
    </w:p>
    <w:p w14:paraId="30923F24" w14:textId="661A10C4" w:rsidR="000819D3" w:rsidRPr="00D43281" w:rsidRDefault="00026B57" w:rsidP="00E90A53">
      <w:pPr>
        <w:pStyle w:val="ListParagraph"/>
        <w:numPr>
          <w:ilvl w:val="1"/>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b/>
          <w:bCs/>
          <w:sz w:val="24"/>
          <w:szCs w:val="24"/>
          <w:lang w:val="ru-RU"/>
        </w:rPr>
        <w:t xml:space="preserve">операционная единица — </w:t>
      </w:r>
      <w:r w:rsidRPr="00D43281">
        <w:rPr>
          <w:rFonts w:ascii="Times New Roman" w:hAnsi="Times New Roman" w:cs="Times New Roman"/>
          <w:sz w:val="24"/>
          <w:szCs w:val="24"/>
          <w:lang w:val="ru-RU"/>
        </w:rPr>
        <w:t>любая организационно или юридически обособленная структура, направление деятельности или географическое местоположение</w:t>
      </w:r>
      <w:r w:rsidR="00BB69CE" w:rsidRPr="00D43281">
        <w:rPr>
          <w:rFonts w:ascii="Times New Roman" w:hAnsi="Times New Roman" w:cs="Times New Roman"/>
          <w:color w:val="000000" w:themeColor="text1"/>
          <w:sz w:val="24"/>
          <w:szCs w:val="24"/>
          <w:lang w:val="ru-RU"/>
        </w:rPr>
        <w:t>.</w:t>
      </w:r>
    </w:p>
    <w:p w14:paraId="2575FC08" w14:textId="77777777" w:rsidR="00EC531B" w:rsidRPr="00D43281" w:rsidRDefault="00EC531B" w:rsidP="004215D9">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p>
    <w:p w14:paraId="584AE09F" w14:textId="1B87C13F" w:rsidR="000C2973" w:rsidRPr="00D43281" w:rsidRDefault="00026B57" w:rsidP="004215D9">
      <w:pPr>
        <w:pStyle w:val="ListParagraph"/>
        <w:shd w:val="clear" w:color="auto" w:fill="FFFFFF"/>
        <w:tabs>
          <w:tab w:val="left" w:pos="0"/>
          <w:tab w:val="left" w:pos="567"/>
        </w:tabs>
        <w:spacing w:before="60" w:after="0" w:line="240" w:lineRule="auto"/>
        <w:ind w:left="360"/>
        <w:jc w:val="center"/>
        <w:rPr>
          <w:rFonts w:ascii="Times New Roman" w:hAnsi="Times New Roman" w:cs="Times New Roman"/>
          <w:b/>
          <w:bCs/>
          <w:color w:val="000000" w:themeColor="text1"/>
          <w:sz w:val="24"/>
          <w:szCs w:val="24"/>
          <w:lang w:val="ru-RU"/>
        </w:rPr>
      </w:pPr>
      <w:r w:rsidRPr="00D43281">
        <w:rPr>
          <w:rFonts w:ascii="Times New Roman" w:hAnsi="Times New Roman" w:cs="Times New Roman"/>
          <w:b/>
          <w:bCs/>
          <w:color w:val="000000" w:themeColor="text1"/>
          <w:sz w:val="24"/>
          <w:szCs w:val="24"/>
          <w:lang w:val="ru-RU"/>
        </w:rPr>
        <w:t>Глава</w:t>
      </w:r>
      <w:r w:rsidR="000C2973" w:rsidRPr="00D43281">
        <w:rPr>
          <w:rFonts w:ascii="Times New Roman" w:hAnsi="Times New Roman" w:cs="Times New Roman"/>
          <w:b/>
          <w:bCs/>
          <w:color w:val="000000" w:themeColor="text1"/>
          <w:sz w:val="24"/>
          <w:szCs w:val="24"/>
          <w:lang w:val="ru-RU"/>
        </w:rPr>
        <w:t xml:space="preserve"> II</w:t>
      </w:r>
    </w:p>
    <w:p w14:paraId="21DA8A0D" w14:textId="77777777" w:rsidR="00026B57" w:rsidRPr="00D43281" w:rsidRDefault="00026B57" w:rsidP="004215D9">
      <w:pPr>
        <w:pStyle w:val="ListParagraph"/>
        <w:shd w:val="clear" w:color="auto" w:fill="FFFFFF"/>
        <w:tabs>
          <w:tab w:val="left" w:pos="0"/>
          <w:tab w:val="left" w:pos="567"/>
        </w:tabs>
        <w:spacing w:before="60" w:after="0" w:line="240" w:lineRule="auto"/>
        <w:ind w:left="0" w:firstLine="567"/>
        <w:jc w:val="center"/>
        <w:rPr>
          <w:rFonts w:ascii="Times New Roman" w:hAnsi="Times New Roman" w:cs="Times New Roman"/>
          <w:b/>
          <w:bCs/>
          <w:color w:val="000000" w:themeColor="text1"/>
          <w:sz w:val="24"/>
          <w:szCs w:val="24"/>
          <w:lang w:val="ru-RU"/>
        </w:rPr>
      </w:pPr>
      <w:r w:rsidRPr="00D43281">
        <w:rPr>
          <w:rFonts w:ascii="Times New Roman" w:hAnsi="Times New Roman" w:cs="Times New Roman"/>
          <w:b/>
          <w:bCs/>
          <w:color w:val="000000" w:themeColor="text1"/>
          <w:sz w:val="24"/>
          <w:szCs w:val="24"/>
          <w:lang w:val="ru-RU"/>
        </w:rPr>
        <w:t>Разрешение Национального банка Молдовы на использование подхода, основанного на внутренних рейтинговых моделях</w:t>
      </w:r>
    </w:p>
    <w:p w14:paraId="1CD63511" w14:textId="12C81743" w:rsidR="00AF0BD5" w:rsidRPr="00D43281" w:rsidRDefault="00026B57" w:rsidP="004215D9">
      <w:pPr>
        <w:pStyle w:val="ListParagraph"/>
        <w:shd w:val="clear" w:color="auto" w:fill="FFFFFF"/>
        <w:tabs>
          <w:tab w:val="left" w:pos="0"/>
          <w:tab w:val="left" w:pos="567"/>
        </w:tabs>
        <w:spacing w:before="60" w:after="0" w:line="240" w:lineRule="auto"/>
        <w:ind w:left="0" w:firstLine="567"/>
        <w:jc w:val="center"/>
        <w:rPr>
          <w:i/>
          <w:iCs/>
          <w:sz w:val="24"/>
          <w:szCs w:val="24"/>
        </w:rPr>
      </w:pPr>
      <w:r w:rsidRPr="00D43281">
        <w:rPr>
          <w:rFonts w:ascii="Times New Roman" w:hAnsi="Times New Roman" w:cs="Times New Roman"/>
          <w:b/>
          <w:bCs/>
          <w:i/>
          <w:iCs/>
          <w:color w:val="000000" w:themeColor="text1"/>
          <w:sz w:val="24"/>
          <w:szCs w:val="24"/>
          <w:lang w:val="ru-RU"/>
        </w:rPr>
        <w:t>Часть</w:t>
      </w:r>
      <w:r w:rsidR="00AF0BD5" w:rsidRPr="00D43281">
        <w:rPr>
          <w:rFonts w:ascii="Times New Roman" w:hAnsi="Times New Roman" w:cs="Times New Roman"/>
          <w:b/>
          <w:bCs/>
          <w:i/>
          <w:iCs/>
          <w:color w:val="000000" w:themeColor="text1"/>
          <w:sz w:val="24"/>
          <w:szCs w:val="24"/>
          <w:lang w:val="ro-RO"/>
        </w:rPr>
        <w:t xml:space="preserve"> 1</w:t>
      </w:r>
      <w:r w:rsidR="00AF0BD5" w:rsidRPr="00D43281">
        <w:rPr>
          <w:i/>
          <w:iCs/>
          <w:sz w:val="24"/>
          <w:szCs w:val="24"/>
        </w:rPr>
        <w:t xml:space="preserve"> </w:t>
      </w:r>
    </w:p>
    <w:p w14:paraId="2334996F" w14:textId="6953E768" w:rsidR="000C2973" w:rsidRPr="00D43281" w:rsidRDefault="003073BE" w:rsidP="004215D9">
      <w:pPr>
        <w:pStyle w:val="ListParagraph"/>
        <w:shd w:val="clear" w:color="auto" w:fill="FFFFFF"/>
        <w:tabs>
          <w:tab w:val="left" w:pos="0"/>
          <w:tab w:val="left" w:pos="567"/>
        </w:tabs>
        <w:spacing w:before="60" w:after="0" w:line="240" w:lineRule="auto"/>
        <w:ind w:left="0" w:firstLine="567"/>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 xml:space="preserve">Разрешение на использование подхода </w:t>
      </w:r>
      <w:r w:rsidRPr="00D43281">
        <w:rPr>
          <w:rFonts w:ascii="Times New Roman" w:hAnsi="Times New Roman" w:cs="Times New Roman"/>
          <w:b/>
          <w:bCs/>
          <w:i/>
          <w:iCs/>
          <w:color w:val="000000" w:themeColor="text1"/>
          <w:sz w:val="24"/>
          <w:szCs w:val="24"/>
          <w:lang w:val="ro-RO"/>
        </w:rPr>
        <w:t>IRB</w:t>
      </w:r>
    </w:p>
    <w:p w14:paraId="08F55C26" w14:textId="11020F7D" w:rsidR="000C2973" w:rsidRPr="00D43281" w:rsidRDefault="003073BE" w:rsidP="00E90A53">
      <w:pPr>
        <w:pStyle w:val="ListParagraph"/>
        <w:numPr>
          <w:ilvl w:val="0"/>
          <w:numId w:val="2"/>
        </w:numPr>
        <w:spacing w:line="240" w:lineRule="auto"/>
        <w:ind w:firstLine="567"/>
        <w:jc w:val="both"/>
        <w:rPr>
          <w:rFonts w:ascii="Times New Roman" w:hAnsi="Times New Roman" w:cs="Times New Roman"/>
          <w:color w:val="000000" w:themeColor="text1"/>
          <w:sz w:val="24"/>
          <w:szCs w:val="24"/>
          <w:lang w:val="ru-RU"/>
        </w:rPr>
      </w:pPr>
      <w:bookmarkStart w:id="9" w:name="_Ref215069496"/>
      <w:r w:rsidRPr="00D43281">
        <w:rPr>
          <w:rFonts w:ascii="Times New Roman" w:hAnsi="Times New Roman" w:cs="Times New Roman"/>
          <w:color w:val="000000" w:themeColor="text1"/>
          <w:sz w:val="24"/>
          <w:szCs w:val="24"/>
          <w:lang w:val="ru-RU"/>
        </w:rPr>
        <w:t>При соблюдении условий, предусмотренных настоящим регламентом, Национальный банк Молдовы разрешает банкам рассчитывать взвешенные по риску суммы подверженностей с использованием подхода, основанного на внутренних рейтинговых моделях (далее — «подход IRB»</w:t>
      </w:r>
      <w:r w:rsidR="000C2973" w:rsidRPr="00D43281">
        <w:rPr>
          <w:rFonts w:ascii="Times New Roman" w:hAnsi="Times New Roman" w:cs="Times New Roman"/>
          <w:color w:val="000000" w:themeColor="text1"/>
          <w:sz w:val="24"/>
          <w:szCs w:val="24"/>
          <w:lang w:val="ru-RU"/>
        </w:rPr>
        <w:t>).</w:t>
      </w:r>
      <w:bookmarkEnd w:id="9"/>
    </w:p>
    <w:p w14:paraId="3814B823" w14:textId="1718F18C" w:rsidR="00EC531B" w:rsidRPr="00D43281" w:rsidRDefault="0062798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Предварительное разрешение на использование подхода IRB, включая собственные оценки LGD и CCF на основе IRB, требуется для каждого класса подверженностей, для каждой рейтинговой системы и для каждого подхода, используемого для оценки LGD и коэффициентов конверсии кредита (CCF</w:t>
      </w:r>
      <w:r w:rsidR="007E4987" w:rsidRPr="00D43281">
        <w:rPr>
          <w:rFonts w:ascii="Times New Roman" w:hAnsi="Times New Roman" w:cs="Times New Roman"/>
          <w:color w:val="000000" w:themeColor="text1"/>
          <w:sz w:val="24"/>
          <w:szCs w:val="24"/>
          <w:lang w:val="ru-MD"/>
        </w:rPr>
        <w:t>)</w:t>
      </w:r>
      <w:r w:rsidR="00A16608" w:rsidRPr="00D43281">
        <w:rPr>
          <w:rFonts w:ascii="Times New Roman" w:hAnsi="Times New Roman" w:cs="Times New Roman"/>
          <w:color w:val="000000" w:themeColor="text1"/>
          <w:sz w:val="24"/>
          <w:szCs w:val="24"/>
          <w:lang w:val="ru-MD"/>
        </w:rPr>
        <w:t>.</w:t>
      </w:r>
    </w:p>
    <w:p w14:paraId="19EDC781" w14:textId="1C9CB384" w:rsidR="005D1BFF" w:rsidRPr="00E96AA2" w:rsidRDefault="00F72F93" w:rsidP="00E96AA2">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F72F93">
        <w:rPr>
          <w:rFonts w:ascii="Times New Roman" w:hAnsi="Times New Roman" w:cs="Times New Roman"/>
          <w:color w:val="000000" w:themeColor="text1"/>
          <w:sz w:val="24"/>
          <w:szCs w:val="24"/>
          <w:lang w:val="ru-RU"/>
        </w:rPr>
        <w:t xml:space="preserve">В случае изменения рейтинговых систем банки обязаны получить предварительное </w:t>
      </w:r>
      <w:r w:rsidR="000A4698" w:rsidRPr="00E96AA2">
        <w:rPr>
          <w:rFonts w:ascii="Times New Roman" w:hAnsi="Times New Roman" w:cs="Times New Roman"/>
          <w:color w:val="000000" w:themeColor="text1"/>
          <w:sz w:val="24"/>
          <w:szCs w:val="24"/>
          <w:lang w:val="ru-RU"/>
        </w:rPr>
        <w:t>разрешение Национального банка Молдовы в следующих случаях</w:t>
      </w:r>
      <w:r w:rsidR="005D1BFF" w:rsidRPr="00E96AA2">
        <w:rPr>
          <w:rFonts w:ascii="Times New Roman" w:hAnsi="Times New Roman" w:cs="Times New Roman"/>
          <w:color w:val="000000" w:themeColor="text1"/>
          <w:sz w:val="24"/>
          <w:szCs w:val="24"/>
          <w:lang w:val="ru-RU"/>
        </w:rPr>
        <w:t>:</w:t>
      </w:r>
    </w:p>
    <w:p w14:paraId="4946A6A5" w14:textId="32F7581C" w:rsidR="005D1BFF" w:rsidRPr="00D43281" w:rsidRDefault="000A469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внесения существенных изменений в сферу применения рейтинговой системы, на использование которой банк получил разрешение</w:t>
      </w:r>
      <w:r w:rsidR="005D1BFF" w:rsidRPr="00D43281">
        <w:rPr>
          <w:rFonts w:ascii="Times New Roman" w:hAnsi="Times New Roman" w:cs="Times New Roman"/>
          <w:color w:val="000000" w:themeColor="text1"/>
          <w:sz w:val="24"/>
          <w:szCs w:val="24"/>
          <w:lang w:val="ru-RU"/>
        </w:rPr>
        <w:t>;</w:t>
      </w:r>
    </w:p>
    <w:p w14:paraId="6B6CF484" w14:textId="55FBF240" w:rsidR="005D1BFF" w:rsidRPr="00D43281" w:rsidRDefault="000A469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внесения существенных изменений в рейтинговую систему, на использование которой банк получил разрешение</w:t>
      </w:r>
      <w:r w:rsidR="005D1BFF" w:rsidRPr="00D43281">
        <w:rPr>
          <w:rFonts w:ascii="Times New Roman" w:hAnsi="Times New Roman" w:cs="Times New Roman"/>
          <w:color w:val="000000" w:themeColor="text1"/>
          <w:sz w:val="24"/>
          <w:szCs w:val="24"/>
          <w:lang w:val="ru-RU"/>
        </w:rPr>
        <w:t>.</w:t>
      </w:r>
    </w:p>
    <w:p w14:paraId="2D3D4C0A" w14:textId="3D89776A" w:rsidR="001E1CEF" w:rsidRPr="00D43281" w:rsidRDefault="001E1CEF" w:rsidP="001E1CEF">
      <w:pPr>
        <w:shd w:val="clear" w:color="auto" w:fill="FFFFFF"/>
        <w:tabs>
          <w:tab w:val="left" w:pos="0"/>
          <w:tab w:val="left" w:pos="567"/>
        </w:tabs>
        <w:spacing w:after="0" w:line="240" w:lineRule="auto"/>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внесения существенных изменений в рейтинговую систему, на использование которой банк получил разрешение.</w:t>
      </w:r>
    </w:p>
    <w:p w14:paraId="4DA0894D" w14:textId="239AE97C" w:rsidR="00EC531B" w:rsidRPr="00D43281" w:rsidRDefault="001E1CEF" w:rsidP="001E1CEF">
      <w:pPr>
        <w:shd w:val="clear" w:color="auto" w:fill="FFFFFF"/>
        <w:tabs>
          <w:tab w:val="left" w:pos="0"/>
          <w:tab w:val="left" w:pos="567"/>
        </w:tabs>
        <w:spacing w:after="0" w:line="240" w:lineRule="auto"/>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Сфера применения рейтинговой системы охватывает все подверженности соответствующего типа, для которых была разработана данная рейтинговая система</w:t>
      </w:r>
      <w:r w:rsidR="005D1BFF" w:rsidRPr="00D43281">
        <w:rPr>
          <w:rFonts w:ascii="Times New Roman" w:hAnsi="Times New Roman" w:cs="Times New Roman"/>
          <w:color w:val="000000" w:themeColor="text1"/>
          <w:sz w:val="24"/>
          <w:szCs w:val="24"/>
          <w:lang w:val="ru-RU"/>
        </w:rPr>
        <w:t>.</w:t>
      </w:r>
    </w:p>
    <w:p w14:paraId="60FF8B5A" w14:textId="5DB6E224" w:rsidR="0096431B" w:rsidRPr="00D43281" w:rsidRDefault="001E1CEF" w:rsidP="00E90A53">
      <w:pPr>
        <w:pStyle w:val="ListParagraph"/>
        <w:numPr>
          <w:ilvl w:val="0"/>
          <w:numId w:val="2"/>
        </w:numPr>
        <w:shd w:val="clear" w:color="auto" w:fill="FFFFFF"/>
        <w:tabs>
          <w:tab w:val="left" w:pos="0"/>
          <w:tab w:val="left" w:pos="567"/>
        </w:tabs>
        <w:spacing w:after="0" w:line="240" w:lineRule="auto"/>
        <w:ind w:firstLine="567"/>
        <w:jc w:val="both"/>
        <w:rPr>
          <w:rFonts w:ascii="Times New Roman" w:hAnsi="Times New Roman" w:cs="Times New Roman"/>
          <w:color w:val="000000" w:themeColor="text1"/>
          <w:sz w:val="24"/>
          <w:szCs w:val="24"/>
          <w:lang w:val="ru-RU"/>
        </w:rPr>
      </w:pPr>
      <w:bookmarkStart w:id="10" w:name="_Ref215069507"/>
      <w:r w:rsidRPr="00D43281">
        <w:rPr>
          <w:rFonts w:ascii="Times New Roman" w:hAnsi="Times New Roman" w:cs="Times New Roman"/>
          <w:color w:val="000000" w:themeColor="text1"/>
          <w:sz w:val="24"/>
          <w:szCs w:val="24"/>
          <w:lang w:val="ru-RU"/>
        </w:rPr>
        <w:t xml:space="preserve">Банки </w:t>
      </w:r>
      <w:r w:rsidR="00E96AA2" w:rsidRPr="00E96AA2">
        <w:rPr>
          <w:rFonts w:ascii="Times New Roman" w:hAnsi="Times New Roman" w:cs="Times New Roman"/>
          <w:color w:val="000000" w:themeColor="text1"/>
          <w:sz w:val="24"/>
          <w:szCs w:val="24"/>
          <w:lang w:val="ru-RU"/>
        </w:rPr>
        <w:t xml:space="preserve">без опоздания </w:t>
      </w:r>
      <w:r w:rsidRPr="00D43281">
        <w:rPr>
          <w:rFonts w:ascii="Times New Roman" w:hAnsi="Times New Roman" w:cs="Times New Roman"/>
          <w:color w:val="000000" w:themeColor="text1"/>
          <w:sz w:val="24"/>
          <w:szCs w:val="24"/>
          <w:lang w:val="ru-RU"/>
        </w:rPr>
        <w:t>уведомляют в письменной форме Национальный банк Молдовы обо всех изменениях, внесенных в рейтинговые системы</w:t>
      </w:r>
      <w:r w:rsidR="0096431B" w:rsidRPr="00D43281">
        <w:rPr>
          <w:rFonts w:ascii="Times New Roman" w:hAnsi="Times New Roman" w:cs="Times New Roman"/>
          <w:color w:val="000000" w:themeColor="text1"/>
          <w:sz w:val="24"/>
          <w:szCs w:val="24"/>
          <w:lang w:val="ru-RU"/>
        </w:rPr>
        <w:t>.</w:t>
      </w:r>
      <w:bookmarkEnd w:id="10"/>
    </w:p>
    <w:p w14:paraId="45C17372" w14:textId="6965AC54" w:rsidR="00AF0BD5" w:rsidRPr="00D43281" w:rsidRDefault="001E1CEF" w:rsidP="004215D9">
      <w:pPr>
        <w:shd w:val="clear" w:color="auto" w:fill="FFFFFF"/>
        <w:tabs>
          <w:tab w:val="left" w:pos="0"/>
          <w:tab w:val="left" w:pos="567"/>
        </w:tabs>
        <w:spacing w:before="120" w:after="0" w:line="240" w:lineRule="auto"/>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 xml:space="preserve">Часть </w:t>
      </w:r>
      <w:r w:rsidR="00AF0BD5" w:rsidRPr="00D43281">
        <w:rPr>
          <w:rFonts w:ascii="Times New Roman" w:hAnsi="Times New Roman" w:cs="Times New Roman"/>
          <w:b/>
          <w:bCs/>
          <w:i/>
          <w:iCs/>
          <w:color w:val="000000" w:themeColor="text1"/>
          <w:sz w:val="24"/>
          <w:szCs w:val="24"/>
          <w:lang w:val="ro-RO"/>
        </w:rPr>
        <w:t>2</w:t>
      </w:r>
    </w:p>
    <w:p w14:paraId="081EC346" w14:textId="26D1442E" w:rsidR="00AF0BD5" w:rsidRPr="00D43281" w:rsidRDefault="00093CCC" w:rsidP="004215D9">
      <w:pPr>
        <w:shd w:val="clear" w:color="auto" w:fill="FFFFFF"/>
        <w:tabs>
          <w:tab w:val="left" w:pos="0"/>
          <w:tab w:val="left" w:pos="567"/>
        </w:tabs>
        <w:spacing w:after="0" w:line="240" w:lineRule="auto"/>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Рассмотрение Национальным банком Молдовы заявления на применение подхода IRB</w:t>
      </w:r>
    </w:p>
    <w:p w14:paraId="63AD67D1" w14:textId="6C2FF5F5" w:rsidR="0050706C" w:rsidRPr="00D43281" w:rsidRDefault="00093CCC"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Национальный банк Молдовы предоставляет банку разрешение на использование подхода IRB, включая использование собственных оценок LGD и собственных коэффициентов конверсии, предусмотренных в части 1, только в том случае, если Национальный банк Молдовы убедится в том, что выполнены требования, предусмотренные в настоящем регламенте, в частности, те, которые предусмотрены в главе VI, и что системы банка по управлению и рейтингу подверженности кредитным рискам являются надежными и внедряются добросовестно, и, в частности, что банк продемонстрировал, к удовлетворению Национального банка Молдовы, что соблюдаются следующие стандарты</w:t>
      </w:r>
      <w:r w:rsidR="0050706C" w:rsidRPr="00D43281">
        <w:rPr>
          <w:rFonts w:ascii="Times New Roman" w:hAnsi="Times New Roman" w:cs="Times New Roman"/>
          <w:color w:val="000000" w:themeColor="text1"/>
          <w:sz w:val="24"/>
          <w:szCs w:val="24"/>
          <w:lang w:val="ru-RU"/>
        </w:rPr>
        <w:t>:</w:t>
      </w:r>
    </w:p>
    <w:p w14:paraId="68FB1AF5" w14:textId="4C0E679A" w:rsidR="00BF5D29" w:rsidRPr="00D43281" w:rsidRDefault="00776D1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lastRenderedPageBreak/>
        <w:t>Рейтинговые системы банка обеспечивают адекватную оценку характеристик заемщика и сделки, значимую дифференциацию риска, а также точную и последовательную количественную оценку риска</w:t>
      </w:r>
      <w:r w:rsidR="0050706C" w:rsidRPr="00D43281">
        <w:rPr>
          <w:rFonts w:ascii="Times New Roman" w:hAnsi="Times New Roman" w:cs="Times New Roman"/>
          <w:color w:val="000000" w:themeColor="text1"/>
          <w:sz w:val="24"/>
          <w:szCs w:val="24"/>
          <w:lang w:val="ru-MD"/>
        </w:rPr>
        <w:t>;</w:t>
      </w:r>
    </w:p>
    <w:p w14:paraId="04B12D56" w14:textId="5FA967B2" w:rsidR="00BF5D29" w:rsidRPr="00D43281" w:rsidRDefault="00776D1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Внутренние рейтинги и оценки состояния невыполнения обязательств и убытков, используемые для определения требований к собственным средствам, а также связанные с ними системы и процессы играют важную роль в процессе управления рисками и принятия решений, а также в функциях утверждения кредитов, внутреннего распределения капитала и корпоративного управления банка</w:t>
      </w:r>
      <w:r w:rsidR="0050706C" w:rsidRPr="00D43281">
        <w:rPr>
          <w:rFonts w:ascii="Times New Roman" w:hAnsi="Times New Roman" w:cs="Times New Roman"/>
          <w:color w:val="000000" w:themeColor="text1"/>
          <w:sz w:val="24"/>
          <w:szCs w:val="24"/>
          <w:lang w:val="ru-MD"/>
        </w:rPr>
        <w:t>;</w:t>
      </w:r>
    </w:p>
    <w:p w14:paraId="643F884B" w14:textId="00FBEEF6" w:rsidR="00BF5D29" w:rsidRPr="00D43281" w:rsidRDefault="00D160A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В банке имеется подразделение по контролю кредитного риска, ответственное за его рейтинговые системы, которое обладает надлежащей независимостью и не подвергается какому-либо влиянию, способному поставить под угрозу его независимость</w:t>
      </w:r>
      <w:r w:rsidR="0050706C" w:rsidRPr="00D43281">
        <w:rPr>
          <w:rFonts w:ascii="Times New Roman" w:hAnsi="Times New Roman" w:cs="Times New Roman"/>
          <w:color w:val="000000" w:themeColor="text1"/>
          <w:sz w:val="24"/>
          <w:szCs w:val="24"/>
          <w:lang w:val="ru-MD"/>
        </w:rPr>
        <w:t>;</w:t>
      </w:r>
    </w:p>
    <w:p w14:paraId="2985CAA8" w14:textId="3F868FEE" w:rsidR="00BF5D29" w:rsidRPr="00D43281" w:rsidRDefault="00D160A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 собирает и хранит все данные, имеющие отношение к эффективному обеспечению процесса оценки и управления кредитным риском</w:t>
      </w:r>
      <w:r w:rsidR="0050706C" w:rsidRPr="00D43281">
        <w:rPr>
          <w:rFonts w:ascii="Times New Roman" w:hAnsi="Times New Roman" w:cs="Times New Roman"/>
          <w:color w:val="000000" w:themeColor="text1"/>
          <w:sz w:val="24"/>
          <w:szCs w:val="24"/>
          <w:lang w:val="ru-MD"/>
        </w:rPr>
        <w:t>;</w:t>
      </w:r>
    </w:p>
    <w:p w14:paraId="6A82065E" w14:textId="2B465EED" w:rsidR="00BF5D29" w:rsidRPr="00D43281" w:rsidRDefault="00D160A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 документирует свои рейтинговые системы и обоснование их разработки, а также проводит валидацию указанных систем</w:t>
      </w:r>
      <w:r w:rsidR="0050706C" w:rsidRPr="00D43281">
        <w:rPr>
          <w:rFonts w:ascii="Times New Roman" w:hAnsi="Times New Roman" w:cs="Times New Roman"/>
          <w:color w:val="000000" w:themeColor="text1"/>
          <w:sz w:val="24"/>
          <w:szCs w:val="24"/>
          <w:lang w:val="ru-MD"/>
        </w:rPr>
        <w:t>;</w:t>
      </w:r>
    </w:p>
    <w:p w14:paraId="643DDDC8" w14:textId="5C0AF7EE" w:rsidR="00BF5D29" w:rsidRPr="00D43281" w:rsidRDefault="00076D77"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 проверил каждую рейтинговую систему в течение достаточного периода времени до получения разрешения на использование данной рейтинговой системы, в ходе этого периода оценил, насколько каждая рейтинговая система соответствует сфере ее применения, и внес в каждую рейтинговую систему изменения, которые оказались необходимыми по результатам такой оценки</w:t>
      </w:r>
      <w:r w:rsidR="0050706C" w:rsidRPr="00D43281">
        <w:rPr>
          <w:rFonts w:ascii="Times New Roman" w:hAnsi="Times New Roman" w:cs="Times New Roman"/>
          <w:color w:val="000000" w:themeColor="text1"/>
          <w:sz w:val="24"/>
          <w:szCs w:val="24"/>
          <w:lang w:val="ru-MD"/>
        </w:rPr>
        <w:t>;</w:t>
      </w:r>
    </w:p>
    <w:p w14:paraId="7F9ACE33" w14:textId="2BD657E1" w:rsidR="00BF5D29" w:rsidRPr="00D43281" w:rsidRDefault="00076D77"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 рассчитал в соответствии с подходом IRB требования к собственным средствам, вытекающие из его оценок рисковых параметров, и способен представить отчеты, установленные инструкциями Национального банка Молдовы в отношении представления банками отчетов COREP для целей надзора</w:t>
      </w:r>
      <w:r w:rsidR="0050706C" w:rsidRPr="00D43281">
        <w:rPr>
          <w:rFonts w:ascii="Times New Roman" w:hAnsi="Times New Roman" w:cs="Times New Roman"/>
          <w:color w:val="000000" w:themeColor="text1"/>
          <w:sz w:val="24"/>
          <w:szCs w:val="24"/>
          <w:lang w:val="ru-MD"/>
        </w:rPr>
        <w:t>;</w:t>
      </w:r>
    </w:p>
    <w:p w14:paraId="6721AE42" w14:textId="58F61FB0" w:rsidR="0050706C" w:rsidRPr="00D43281" w:rsidRDefault="007E1266"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 присвоил и продолжает присваивать каждой подверженности, подпадающей под действие рейтинговой системы, рейтинговую категорию или группу в рамках данной рейтинговой системы</w:t>
      </w:r>
      <w:r w:rsidR="0050706C" w:rsidRPr="00D43281">
        <w:rPr>
          <w:rFonts w:ascii="Times New Roman" w:hAnsi="Times New Roman" w:cs="Times New Roman"/>
          <w:color w:val="000000" w:themeColor="text1"/>
          <w:sz w:val="24"/>
          <w:szCs w:val="24"/>
          <w:lang w:val="ru-MD"/>
        </w:rPr>
        <w:t>.</w:t>
      </w:r>
    </w:p>
    <w:p w14:paraId="65390139" w14:textId="752A91AE" w:rsidR="00BC42F4" w:rsidRPr="00D43281" w:rsidRDefault="007E126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Требования к использованию подхода IRB, включая собственные оценки LGD и коэффициенты конверсии, применяются также в том случае, если банк внедрил рейтинговую систему или модель, используемую в рамках рейтинговой системы, приобретенную у стороннего поставщика</w:t>
      </w:r>
      <w:r w:rsidR="0050706C" w:rsidRPr="00D43281">
        <w:rPr>
          <w:rFonts w:ascii="Times New Roman" w:hAnsi="Times New Roman" w:cs="Times New Roman"/>
          <w:color w:val="000000" w:themeColor="text1"/>
          <w:sz w:val="24"/>
          <w:szCs w:val="24"/>
          <w:lang w:val="ru-MD"/>
        </w:rPr>
        <w:t>.</w:t>
      </w:r>
    </w:p>
    <w:p w14:paraId="36A8D1F0" w14:textId="7D23ABE1" w:rsidR="00D96F8E" w:rsidRPr="00D43281" w:rsidRDefault="007E1266" w:rsidP="00E90A53">
      <w:pPr>
        <w:pStyle w:val="ListParagraph"/>
        <w:numPr>
          <w:ilvl w:val="0"/>
          <w:numId w:val="2"/>
        </w:numPr>
        <w:shd w:val="clear" w:color="auto" w:fill="FFFFFF"/>
        <w:tabs>
          <w:tab w:val="left" w:pos="0"/>
          <w:tab w:val="left" w:pos="567"/>
        </w:tabs>
        <w:spacing w:before="60" w:after="0" w:line="240" w:lineRule="auto"/>
        <w:ind w:firstLine="426"/>
        <w:jc w:val="both"/>
        <w:rPr>
          <w:rFonts w:ascii="Times New Roman" w:hAnsi="Times New Roman" w:cs="Times New Roman"/>
          <w:color w:val="000000" w:themeColor="text1"/>
          <w:sz w:val="24"/>
          <w:szCs w:val="24"/>
          <w:lang w:val="ru-MD"/>
        </w:rPr>
      </w:pPr>
      <w:r w:rsidRPr="00D43281">
        <w:rPr>
          <w:rFonts w:ascii="Times New Roman" w:hAnsi="Times New Roman" w:cs="Times New Roman"/>
          <w:sz w:val="24"/>
          <w:szCs w:val="24"/>
          <w:lang w:val="ru-MD"/>
        </w:rPr>
        <w:t xml:space="preserve">В целях </w:t>
      </w:r>
      <w:r w:rsidR="00E96AA2" w:rsidRPr="00E96AA2">
        <w:rPr>
          <w:rFonts w:ascii="Times New Roman" w:hAnsi="Times New Roman" w:cs="Times New Roman"/>
          <w:sz w:val="24"/>
          <w:szCs w:val="24"/>
          <w:lang w:val="ru-MD"/>
        </w:rPr>
        <w:t>получения предварительного разрешения, предусмотренного в пункте 8,</w:t>
      </w:r>
      <w:r w:rsidR="00E96AA2" w:rsidRPr="00BB1E28">
        <w:rPr>
          <w:rFonts w:ascii="Times New Roman" w:hAnsi="Times New Roman" w:cs="Times New Roman"/>
          <w:sz w:val="24"/>
          <w:szCs w:val="24"/>
          <w:lang w:val="ru-RU"/>
        </w:rPr>
        <w:t xml:space="preserve"> </w:t>
      </w:r>
      <w:r w:rsidRPr="00D43281">
        <w:rPr>
          <w:rFonts w:ascii="Times New Roman" w:hAnsi="Times New Roman" w:cs="Times New Roman"/>
          <w:sz w:val="24"/>
          <w:szCs w:val="24"/>
          <w:lang w:val="ru-MD"/>
        </w:rPr>
        <w:t>банк подает в Национальный банк Молдовы заявление, к которому прилагаются документы и информация, подтверждающие, что банк выполняет условия, предусмотренные пунктом 8</w:t>
      </w:r>
      <w:r w:rsidR="00BC42F4" w:rsidRPr="00D43281">
        <w:rPr>
          <w:rFonts w:ascii="Times New Roman" w:hAnsi="Times New Roman" w:cs="Times New Roman"/>
          <w:sz w:val="24"/>
          <w:szCs w:val="24"/>
          <w:lang w:val="ru-MD"/>
        </w:rPr>
        <w:t>.</w:t>
      </w:r>
    </w:p>
    <w:p w14:paraId="2D1A68A1" w14:textId="02412D95" w:rsidR="00BC42F4" w:rsidRPr="00D43281" w:rsidRDefault="007E1266" w:rsidP="00E90A53">
      <w:pPr>
        <w:pStyle w:val="ListParagraph"/>
        <w:numPr>
          <w:ilvl w:val="0"/>
          <w:numId w:val="2"/>
        </w:numPr>
        <w:shd w:val="clear" w:color="auto" w:fill="FFFFFF"/>
        <w:tabs>
          <w:tab w:val="left" w:pos="0"/>
          <w:tab w:val="left" w:pos="567"/>
        </w:tabs>
        <w:spacing w:before="60" w:after="0" w:line="240" w:lineRule="auto"/>
        <w:ind w:firstLine="426"/>
        <w:jc w:val="both"/>
        <w:rPr>
          <w:rFonts w:ascii="Times New Roman" w:hAnsi="Times New Roman" w:cs="Times New Roman"/>
          <w:color w:val="000000" w:themeColor="text1"/>
          <w:sz w:val="24"/>
          <w:szCs w:val="24"/>
          <w:lang w:val="ru-RU"/>
        </w:rPr>
      </w:pPr>
      <w:r w:rsidRPr="00D43281">
        <w:rPr>
          <w:rFonts w:ascii="Times New Roman" w:hAnsi="Times New Roman" w:cs="Times New Roman"/>
          <w:sz w:val="24"/>
          <w:szCs w:val="24"/>
          <w:lang w:val="ru-RU"/>
        </w:rPr>
        <w:t>Национальный банк Молдовы рассматривает заявление, указанное в пункте 10, в течение 180 рабочих дней с даты его подачи в Национальный банк Молдовы в сопровождении всех документов, которые должны быть представлены Национальному банку Молдовы. Срок может быть продлен на срок до 90 рабочих дней с последующим уведомлением банка не позднее чем за 3 дня до истечения срока рассмотрения заявления</w:t>
      </w:r>
      <w:r w:rsidR="00BC42F4" w:rsidRPr="00D43281">
        <w:rPr>
          <w:rFonts w:ascii="Times New Roman" w:hAnsi="Times New Roman" w:cs="Times New Roman"/>
          <w:sz w:val="24"/>
          <w:szCs w:val="24"/>
          <w:lang w:val="ru-RU"/>
        </w:rPr>
        <w:t>.</w:t>
      </w:r>
    </w:p>
    <w:p w14:paraId="0B628F1C" w14:textId="77777777" w:rsidR="00CB4D5E" w:rsidRPr="00D43281" w:rsidRDefault="00CB4D5E" w:rsidP="004215D9">
      <w:pPr>
        <w:shd w:val="clear" w:color="auto" w:fill="FFFFFF"/>
        <w:tabs>
          <w:tab w:val="left" w:pos="0"/>
          <w:tab w:val="left" w:pos="567"/>
        </w:tabs>
        <w:spacing w:before="60" w:after="0" w:line="240" w:lineRule="auto"/>
        <w:jc w:val="both"/>
        <w:rPr>
          <w:rFonts w:ascii="Times New Roman" w:hAnsi="Times New Roman" w:cs="Times New Roman"/>
          <w:color w:val="000000" w:themeColor="text1"/>
          <w:sz w:val="24"/>
          <w:szCs w:val="24"/>
          <w:lang w:val="ru-RU"/>
        </w:rPr>
      </w:pPr>
    </w:p>
    <w:p w14:paraId="64BAEB0A" w14:textId="062CEC0C" w:rsidR="00CB4D5E" w:rsidRPr="00D43281" w:rsidRDefault="007E1266" w:rsidP="00CE545F">
      <w:pPr>
        <w:pStyle w:val="ListParagraph"/>
        <w:shd w:val="clear" w:color="auto" w:fill="FFFFFF"/>
        <w:tabs>
          <w:tab w:val="left" w:pos="0"/>
          <w:tab w:val="left" w:pos="567"/>
        </w:tabs>
        <w:spacing w:after="0" w:line="240" w:lineRule="auto"/>
        <w:ind w:left="0"/>
        <w:jc w:val="center"/>
        <w:rPr>
          <w:sz w:val="24"/>
          <w:szCs w:val="24"/>
        </w:rPr>
      </w:pPr>
      <w:r w:rsidRPr="00D43281">
        <w:rPr>
          <w:rFonts w:ascii="Times New Roman" w:hAnsi="Times New Roman" w:cs="Times New Roman"/>
          <w:b/>
          <w:bCs/>
          <w:i/>
          <w:iCs/>
          <w:color w:val="000000" w:themeColor="text1"/>
          <w:sz w:val="24"/>
          <w:szCs w:val="24"/>
          <w:lang w:val="ru-RU"/>
        </w:rPr>
        <w:t>Часть</w:t>
      </w:r>
      <w:r w:rsidR="00CB4D5E" w:rsidRPr="00D43281">
        <w:rPr>
          <w:rFonts w:ascii="Times New Roman" w:hAnsi="Times New Roman" w:cs="Times New Roman"/>
          <w:b/>
          <w:bCs/>
          <w:i/>
          <w:iCs/>
          <w:color w:val="000000" w:themeColor="text1"/>
          <w:sz w:val="24"/>
          <w:szCs w:val="24"/>
          <w:lang w:val="ro-RO"/>
        </w:rPr>
        <w:t xml:space="preserve"> 3</w:t>
      </w:r>
    </w:p>
    <w:p w14:paraId="585DF43E" w14:textId="77777777" w:rsidR="007E1266" w:rsidRPr="00D43281" w:rsidRDefault="007E1266" w:rsidP="007E1266">
      <w:pPr>
        <w:pStyle w:val="ListParagraph"/>
        <w:shd w:val="clear" w:color="auto" w:fill="FFFFFF"/>
        <w:tabs>
          <w:tab w:val="left" w:pos="0"/>
          <w:tab w:val="left" w:pos="567"/>
        </w:tabs>
        <w:spacing w:after="120" w:line="240" w:lineRule="auto"/>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 xml:space="preserve">Предыдущий опыт применения подходов IRB и меры, </w:t>
      </w:r>
    </w:p>
    <w:p w14:paraId="044AFFE8" w14:textId="276FC6DE" w:rsidR="007E1266" w:rsidRPr="00D43281" w:rsidRDefault="007E1266" w:rsidP="007E1266">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которые необходимо принять в случае несоблюдения требований настоящего регламента</w:t>
      </w:r>
    </w:p>
    <w:p w14:paraId="1C1428EB" w14:textId="5C85D7B0" w:rsidR="00CB4D5E" w:rsidRPr="00EE0AD0" w:rsidRDefault="007E1266" w:rsidP="00EE0AD0">
      <w:pPr>
        <w:pStyle w:val="ListParagraph"/>
        <w:numPr>
          <w:ilvl w:val="0"/>
          <w:numId w:val="2"/>
        </w:numPr>
        <w:spacing w:before="120" w:after="0" w:line="240" w:lineRule="auto"/>
        <w:ind w:firstLine="567"/>
        <w:contextualSpacing w:val="0"/>
        <w:jc w:val="both"/>
        <w:rPr>
          <w:rFonts w:ascii="Times New Roman" w:hAnsi="Times New Roman" w:cs="Times New Roman"/>
          <w:sz w:val="24"/>
          <w:szCs w:val="24"/>
          <w:lang w:val="ru-RU"/>
        </w:rPr>
      </w:pPr>
      <w:bookmarkStart w:id="11" w:name="_Ref214966232"/>
      <w:r w:rsidRPr="00D43281">
        <w:rPr>
          <w:rFonts w:ascii="Times New Roman" w:hAnsi="Times New Roman" w:cs="Times New Roman"/>
          <w:sz w:val="24"/>
          <w:szCs w:val="24"/>
          <w:lang w:val="ru-RU"/>
        </w:rPr>
        <w:t xml:space="preserve">Банк, запрашивающий разрешение на использование подхода IRB, </w:t>
      </w:r>
      <w:r w:rsidR="00E96AA2" w:rsidRPr="00E96AA2">
        <w:rPr>
          <w:rFonts w:ascii="Times New Roman" w:hAnsi="Times New Roman" w:cs="Times New Roman"/>
          <w:sz w:val="24"/>
          <w:szCs w:val="24"/>
          <w:lang w:val="ru-RU"/>
        </w:rPr>
        <w:t>должен иметь опыт использования для соответствующих классов рисков рейтинговых систем,</w:t>
      </w:r>
      <w:r w:rsidR="00EE0AD0" w:rsidRPr="00BB1E28">
        <w:rPr>
          <w:rFonts w:ascii="Times New Roman" w:hAnsi="Times New Roman" w:cs="Times New Roman"/>
          <w:sz w:val="24"/>
          <w:szCs w:val="24"/>
          <w:lang w:val="ru-RU"/>
        </w:rPr>
        <w:t xml:space="preserve"> </w:t>
      </w:r>
      <w:r w:rsidRPr="00EE0AD0">
        <w:rPr>
          <w:rFonts w:ascii="Times New Roman" w:hAnsi="Times New Roman" w:cs="Times New Roman"/>
          <w:sz w:val="24"/>
          <w:szCs w:val="24"/>
          <w:lang w:val="ru-RU"/>
        </w:rPr>
        <w:t>как минимум трех лет до получения права на использование подхода IRB применять к соответствующим классам подверженностей рейтинговые системы, которые в значительной степени соответствовали требованиям, изложенным в главе VI, для целей внутренней оценки и управления рисками</w:t>
      </w:r>
      <w:r w:rsidR="00CB4D5E" w:rsidRPr="00EE0AD0">
        <w:rPr>
          <w:rFonts w:ascii="Times New Roman" w:hAnsi="Times New Roman" w:cs="Times New Roman"/>
          <w:sz w:val="24"/>
          <w:szCs w:val="24"/>
          <w:lang w:val="ru-RU"/>
        </w:rPr>
        <w:t>.</w:t>
      </w:r>
      <w:bookmarkEnd w:id="11"/>
    </w:p>
    <w:p w14:paraId="4C728B33" w14:textId="15B06C02" w:rsidR="00CB4D5E" w:rsidRPr="00D43281" w:rsidRDefault="007E1266" w:rsidP="00E90A53">
      <w:pPr>
        <w:pStyle w:val="ListParagraph"/>
        <w:numPr>
          <w:ilvl w:val="0"/>
          <w:numId w:val="2"/>
        </w:numPr>
        <w:spacing w:before="120" w:after="120" w:line="240" w:lineRule="auto"/>
        <w:ind w:firstLine="567"/>
        <w:jc w:val="both"/>
        <w:rPr>
          <w:rFonts w:ascii="Times New Roman" w:hAnsi="Times New Roman" w:cs="Times New Roman"/>
          <w:sz w:val="24"/>
          <w:szCs w:val="24"/>
          <w:lang w:val="ru-RU"/>
        </w:rPr>
      </w:pPr>
      <w:bookmarkStart w:id="12" w:name="_Ref214966241"/>
      <w:r w:rsidRPr="00D43281">
        <w:rPr>
          <w:rFonts w:ascii="Times New Roman" w:hAnsi="Times New Roman" w:cs="Times New Roman"/>
          <w:sz w:val="24"/>
          <w:szCs w:val="24"/>
          <w:lang w:val="ru-RU"/>
        </w:rPr>
        <w:lastRenderedPageBreak/>
        <w:t>Банк, запрашивающий разрешение на использование собственных оценок LGD и коэффициентов конверсии, должен доказать, удовлетворительным для Национального банка Молдовы образом, что он оценивал и использовал собственные оценки LGD и коэффициентов конверсии таким образом, который в значительной степени соответствовал требованиям к использованию собственных оценок этих параметров, предусмотренным в главе VI, в течение как минимум трех лет до получения права на использование собственных оценок LGD и коэффициентов конверсии</w:t>
      </w:r>
      <w:r w:rsidR="00CB4D5E" w:rsidRPr="00D43281">
        <w:rPr>
          <w:rFonts w:ascii="Times New Roman" w:hAnsi="Times New Roman" w:cs="Times New Roman"/>
          <w:sz w:val="24"/>
          <w:szCs w:val="24"/>
          <w:lang w:val="ru-RU"/>
        </w:rPr>
        <w:t>.</w:t>
      </w:r>
      <w:bookmarkEnd w:id="12"/>
    </w:p>
    <w:p w14:paraId="6152F679" w14:textId="2C2C3FE0" w:rsidR="00CB4D5E" w:rsidRPr="00D43281" w:rsidRDefault="008B1686" w:rsidP="00E90A53">
      <w:pPr>
        <w:pStyle w:val="ListParagraph"/>
        <w:numPr>
          <w:ilvl w:val="0"/>
          <w:numId w:val="2"/>
        </w:numPr>
        <w:spacing w:before="120" w:after="120" w:line="240" w:lineRule="auto"/>
        <w:ind w:firstLine="567"/>
        <w:jc w:val="both"/>
        <w:rPr>
          <w:rFonts w:ascii="Times New Roman" w:hAnsi="Times New Roman" w:cs="Times New Roman"/>
          <w:sz w:val="24"/>
          <w:szCs w:val="24"/>
          <w:lang w:val="ru-MD"/>
        </w:rPr>
      </w:pPr>
      <w:bookmarkStart w:id="13" w:name="_Ref214966451"/>
      <w:r w:rsidRPr="00D43281">
        <w:rPr>
          <w:rFonts w:ascii="Times New Roman" w:hAnsi="Times New Roman" w:cs="Times New Roman"/>
          <w:sz w:val="24"/>
          <w:szCs w:val="24"/>
          <w:lang w:val="ru-MD"/>
        </w:rPr>
        <w:t xml:space="preserve">В случае если банк расширяет применение подхода IRB после получения первоначального </w:t>
      </w:r>
      <w:r w:rsidR="00333FE8" w:rsidRPr="00333FE8">
        <w:rPr>
          <w:rFonts w:ascii="Times New Roman" w:hAnsi="Times New Roman" w:cs="Times New Roman"/>
          <w:sz w:val="24"/>
          <w:szCs w:val="24"/>
          <w:lang w:val="ru-MD"/>
        </w:rPr>
        <w:t xml:space="preserve">предварительного </w:t>
      </w:r>
      <w:r w:rsidRPr="00D43281">
        <w:rPr>
          <w:rFonts w:ascii="Times New Roman" w:hAnsi="Times New Roman" w:cs="Times New Roman"/>
          <w:sz w:val="24"/>
          <w:szCs w:val="24"/>
          <w:lang w:val="ru-MD"/>
        </w:rPr>
        <w:t>разрешения, его опыт должен быть достаточным для выполнения требований пунктов 12 и 13 в отношении дополнительных охватываемых подверженностей. Если использование рейтинговых систем распространяется на подверженности, значительно отличающиеся от первоначальной сферы применения, так что приобретенный опыт не может считаться достаточным для соблюдения этих положений в отношении дополнительных подверженностей, требования пунктов 12 и 13 применяются отдельно к дополнительным подверженностям</w:t>
      </w:r>
      <w:r w:rsidR="00CB4D5E" w:rsidRPr="00D43281">
        <w:rPr>
          <w:rFonts w:ascii="Times New Roman" w:hAnsi="Times New Roman" w:cs="Times New Roman"/>
          <w:sz w:val="24"/>
          <w:szCs w:val="24"/>
          <w:lang w:val="ru-MD"/>
        </w:rPr>
        <w:t>.</w:t>
      </w:r>
      <w:bookmarkEnd w:id="13"/>
    </w:p>
    <w:p w14:paraId="46C65CB8" w14:textId="3B61B420" w:rsidR="00CB4D5E" w:rsidRPr="00D43281" w:rsidRDefault="008B1686" w:rsidP="00E90A53">
      <w:pPr>
        <w:pStyle w:val="ListParagraph"/>
        <w:numPr>
          <w:ilvl w:val="0"/>
          <w:numId w:val="2"/>
        </w:numPr>
        <w:spacing w:before="120" w:after="120" w:line="240" w:lineRule="auto"/>
        <w:ind w:firstLine="567"/>
        <w:jc w:val="both"/>
        <w:rPr>
          <w:rFonts w:ascii="Times New Roman" w:hAnsi="Times New Roman" w:cs="Times New Roman"/>
          <w:sz w:val="24"/>
          <w:szCs w:val="24"/>
          <w:lang w:val="ru-MD"/>
        </w:rPr>
      </w:pPr>
      <w:bookmarkStart w:id="14" w:name="_Ref214967804"/>
      <w:r w:rsidRPr="00D43281">
        <w:rPr>
          <w:rFonts w:ascii="Times New Roman" w:hAnsi="Times New Roman" w:cs="Times New Roman"/>
          <w:sz w:val="24"/>
          <w:szCs w:val="24"/>
          <w:lang w:val="ru-MD"/>
        </w:rPr>
        <w:t>В целях пункта 12 считается, что рейтинговые системы, в целом соответствующие требованиям, изложенным в главе VI, применялись банком не менее чем за три года до использования подхода IRB для расчета требований к собственным средствам, если</w:t>
      </w:r>
      <w:r w:rsidR="00CB4D5E" w:rsidRPr="00D43281">
        <w:rPr>
          <w:rFonts w:ascii="Times New Roman" w:hAnsi="Times New Roman" w:cs="Times New Roman"/>
          <w:sz w:val="24"/>
          <w:szCs w:val="24"/>
          <w:lang w:val="ru-MD"/>
        </w:rPr>
        <w:t>:</w:t>
      </w:r>
      <w:bookmarkEnd w:id="14"/>
    </w:p>
    <w:p w14:paraId="42DFD3BD" w14:textId="086D40DD" w:rsidR="00CB4D5E" w:rsidRPr="00D43281" w:rsidRDefault="008E1662" w:rsidP="00E90A53">
      <w:pPr>
        <w:pStyle w:val="ListParagraph"/>
        <w:numPr>
          <w:ilvl w:val="1"/>
          <w:numId w:val="2"/>
        </w:numPr>
        <w:spacing w:before="120" w:after="120" w:line="240" w:lineRule="auto"/>
        <w:ind w:left="0"/>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 xml:space="preserve">Эти </w:t>
      </w:r>
      <w:r w:rsidR="008B1686" w:rsidRPr="00D43281">
        <w:rPr>
          <w:rFonts w:ascii="Times New Roman" w:hAnsi="Times New Roman" w:cs="Times New Roman"/>
          <w:sz w:val="24"/>
          <w:szCs w:val="24"/>
          <w:lang w:val="ru-MD"/>
        </w:rPr>
        <w:t>рейтинговые системы использовались в процессах управления рисками и принятия решений банком, а также в процессах утверждения кредитов</w:t>
      </w:r>
      <w:r w:rsidR="00CB4D5E" w:rsidRPr="00D43281">
        <w:rPr>
          <w:rFonts w:ascii="Times New Roman" w:hAnsi="Times New Roman" w:cs="Times New Roman"/>
          <w:sz w:val="24"/>
          <w:szCs w:val="24"/>
          <w:lang w:val="ru-MD"/>
        </w:rPr>
        <w:t>;</w:t>
      </w:r>
    </w:p>
    <w:p w14:paraId="1FCACBC9" w14:textId="4E88AFC0" w:rsidR="00CB4D5E" w:rsidRPr="00D43281" w:rsidRDefault="008E1662" w:rsidP="00E90A53">
      <w:pPr>
        <w:pStyle w:val="ListParagraph"/>
        <w:numPr>
          <w:ilvl w:val="1"/>
          <w:numId w:val="2"/>
        </w:numPr>
        <w:spacing w:before="120" w:after="120" w:line="240" w:lineRule="auto"/>
        <w:ind w:left="0"/>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 xml:space="preserve">Имеется </w:t>
      </w:r>
      <w:r w:rsidR="008B1686" w:rsidRPr="00D43281">
        <w:rPr>
          <w:rFonts w:ascii="Times New Roman" w:hAnsi="Times New Roman" w:cs="Times New Roman"/>
          <w:sz w:val="24"/>
          <w:szCs w:val="24"/>
          <w:lang w:val="ru-MD"/>
        </w:rPr>
        <w:t>надлежащая документация, подтверждающая эффективное функционирование рейтинговых систем в течение этих трех лет, в частности в отношении соответствующих отчетов о мониторинге, валидации и аудите</w:t>
      </w:r>
      <w:r w:rsidR="00CB4D5E" w:rsidRPr="00D43281">
        <w:rPr>
          <w:rFonts w:ascii="Times New Roman" w:hAnsi="Times New Roman" w:cs="Times New Roman"/>
          <w:sz w:val="24"/>
          <w:szCs w:val="24"/>
          <w:lang w:val="ru-MD"/>
        </w:rPr>
        <w:t>.</w:t>
      </w:r>
    </w:p>
    <w:p w14:paraId="41F8947E" w14:textId="37487A58" w:rsidR="00CB4D5E" w:rsidRPr="00D43281" w:rsidRDefault="008B1686" w:rsidP="00E90A53">
      <w:pPr>
        <w:pStyle w:val="ListParagraph"/>
        <w:numPr>
          <w:ilvl w:val="0"/>
          <w:numId w:val="2"/>
        </w:numPr>
        <w:spacing w:line="240" w:lineRule="auto"/>
        <w:ind w:firstLine="567"/>
        <w:jc w:val="both"/>
        <w:rPr>
          <w:rFonts w:ascii="Times New Roman" w:hAnsi="Times New Roman" w:cs="Times New Roman"/>
          <w:kern w:val="2"/>
          <w:sz w:val="24"/>
          <w:szCs w:val="24"/>
          <w:lang w:val="ru-RU"/>
          <w14:ligatures w14:val="standardContextual"/>
        </w:rPr>
      </w:pPr>
      <w:r w:rsidRPr="00D43281">
        <w:rPr>
          <w:rFonts w:ascii="Times New Roman" w:hAnsi="Times New Roman" w:cs="Times New Roman"/>
          <w:kern w:val="2"/>
          <w:sz w:val="24"/>
          <w:szCs w:val="24"/>
          <w:lang w:val="ru-RU"/>
          <w14:ligatures w14:val="standardContextual"/>
        </w:rPr>
        <w:t>В целях оценки заявления на одобрение расширения применения подхода IRB в соответствии с планом поэтапного внедрения пункт 15 применяется и в том случае, если такое расширение касается подверженностей, которые существенно отличаются от сферы действия существующего покрытия, поэтому нельзя обоснованно предполагать, что имеющийся опыт достаточен для выполнения требований пунктов 12 и 13 в отношении дополнительных подверженностей, как предусмотрено в пункте 14</w:t>
      </w:r>
      <w:r w:rsidR="00CB4D5E" w:rsidRPr="00D43281">
        <w:rPr>
          <w:rFonts w:ascii="Times New Roman" w:hAnsi="Times New Roman" w:cs="Times New Roman"/>
          <w:kern w:val="2"/>
          <w:sz w:val="24"/>
          <w:szCs w:val="24"/>
          <w:lang w:val="ru-RU"/>
          <w14:ligatures w14:val="standardContextual"/>
        </w:rPr>
        <w:t>.</w:t>
      </w:r>
    </w:p>
    <w:p w14:paraId="0FF43456" w14:textId="728A628C" w:rsidR="005348C4" w:rsidRPr="00D43281" w:rsidRDefault="008B1686" w:rsidP="00B942E0">
      <w:pPr>
        <w:pStyle w:val="ListParagraph"/>
        <w:numPr>
          <w:ilvl w:val="0"/>
          <w:numId w:val="2"/>
        </w:numPr>
        <w:spacing w:after="120" w:line="240" w:lineRule="auto"/>
        <w:ind w:firstLine="567"/>
        <w:contextualSpacing w:val="0"/>
        <w:jc w:val="both"/>
        <w:rPr>
          <w:rFonts w:ascii="Times New Roman" w:hAnsi="Times New Roman" w:cs="Times New Roman"/>
          <w:sz w:val="24"/>
          <w:szCs w:val="24"/>
          <w:lang w:val="ru-RU"/>
        </w:rPr>
      </w:pPr>
      <w:r w:rsidRPr="00D43281">
        <w:rPr>
          <w:rFonts w:ascii="Times New Roman" w:hAnsi="Times New Roman" w:cs="Times New Roman"/>
          <w:sz w:val="24"/>
          <w:szCs w:val="24"/>
          <w:lang w:val="ru-RU"/>
        </w:rPr>
        <w:t xml:space="preserve">В случае если банк перестает соответствовать требованиям, предусмотренным настоящим регламентом, он </w:t>
      </w:r>
      <w:r w:rsidR="00333FE8" w:rsidRPr="00333FE8">
        <w:rPr>
          <w:rFonts w:ascii="Times New Roman" w:hAnsi="Times New Roman" w:cs="Times New Roman"/>
          <w:sz w:val="24"/>
          <w:szCs w:val="24"/>
          <w:lang w:val="ru-RU"/>
        </w:rPr>
        <w:t xml:space="preserve">без опоздания </w:t>
      </w:r>
      <w:r w:rsidRPr="00D43281">
        <w:rPr>
          <w:rFonts w:ascii="Times New Roman" w:hAnsi="Times New Roman" w:cs="Times New Roman"/>
          <w:sz w:val="24"/>
          <w:szCs w:val="24"/>
          <w:lang w:val="ru-RU"/>
        </w:rPr>
        <w:t>уведомляет в письменной форме Национальный банк Молдовы о мерах, принятых в соответствии с положениями части (3) статьи 66 Закона № 202/2017</w:t>
      </w:r>
      <w:r w:rsidR="005348C4" w:rsidRPr="00D43281">
        <w:rPr>
          <w:rFonts w:ascii="Times New Roman" w:hAnsi="Times New Roman" w:cs="Times New Roman"/>
          <w:sz w:val="24"/>
          <w:szCs w:val="24"/>
          <w:lang w:val="ru-RU"/>
        </w:rPr>
        <w:t>.</w:t>
      </w:r>
    </w:p>
    <w:p w14:paraId="69C04B77" w14:textId="7B6B6A24" w:rsidR="007F6AA0" w:rsidRPr="00D43281" w:rsidRDefault="008B1686" w:rsidP="007F6AA0">
      <w:pPr>
        <w:pStyle w:val="ListParagraph"/>
        <w:shd w:val="clear" w:color="auto" w:fill="FFFFFF"/>
        <w:tabs>
          <w:tab w:val="left" w:pos="0"/>
          <w:tab w:val="left" w:pos="567"/>
        </w:tabs>
        <w:spacing w:before="120" w:after="0" w:line="240" w:lineRule="auto"/>
        <w:ind w:left="0"/>
        <w:contextualSpacing w:val="0"/>
        <w:jc w:val="center"/>
        <w:rPr>
          <w:sz w:val="24"/>
          <w:szCs w:val="24"/>
        </w:rPr>
      </w:pPr>
      <w:bookmarkStart w:id="15" w:name="_Hlk214983950"/>
      <w:r w:rsidRPr="00D43281">
        <w:rPr>
          <w:rFonts w:ascii="Times New Roman" w:hAnsi="Times New Roman" w:cs="Times New Roman"/>
          <w:b/>
          <w:bCs/>
          <w:i/>
          <w:iCs/>
          <w:color w:val="000000" w:themeColor="text1"/>
          <w:sz w:val="24"/>
          <w:szCs w:val="24"/>
          <w:lang w:val="ru-RU"/>
        </w:rPr>
        <w:t xml:space="preserve">Часть </w:t>
      </w:r>
      <w:r w:rsidR="007F6AA0" w:rsidRPr="00D43281">
        <w:rPr>
          <w:rFonts w:ascii="Times New Roman" w:hAnsi="Times New Roman" w:cs="Times New Roman"/>
          <w:b/>
          <w:bCs/>
          <w:i/>
          <w:iCs/>
          <w:color w:val="000000" w:themeColor="text1"/>
          <w:sz w:val="24"/>
          <w:szCs w:val="24"/>
          <w:lang w:val="ro-RO"/>
        </w:rPr>
        <w:t>4</w:t>
      </w:r>
    </w:p>
    <w:p w14:paraId="4CB22849" w14:textId="11AD8F00" w:rsidR="007F6AA0" w:rsidRPr="00D43281" w:rsidRDefault="008B1686" w:rsidP="007F6AA0">
      <w:pPr>
        <w:pStyle w:val="ListParagraph"/>
        <w:spacing w:after="120" w:line="240" w:lineRule="auto"/>
        <w:ind w:left="0"/>
        <w:contextualSpacing w:val="0"/>
        <w:jc w:val="center"/>
        <w:rPr>
          <w:rFonts w:ascii="Times New Roman" w:hAnsi="Times New Roman" w:cs="Times New Roman"/>
          <w:sz w:val="24"/>
          <w:szCs w:val="24"/>
          <w:lang w:val="ru-RU"/>
        </w:rPr>
      </w:pPr>
      <w:r w:rsidRPr="00D43281">
        <w:rPr>
          <w:rFonts w:ascii="Times New Roman" w:hAnsi="Times New Roman" w:cs="Times New Roman"/>
          <w:b/>
          <w:bCs/>
          <w:i/>
          <w:iCs/>
          <w:color w:val="000000" w:themeColor="text1"/>
          <w:sz w:val="24"/>
          <w:szCs w:val="24"/>
          <w:lang w:val="ru-RU"/>
        </w:rPr>
        <w:t>Методика классификации подверженностей в классы подверженностей</w:t>
      </w:r>
    </w:p>
    <w:p w14:paraId="4C191042" w14:textId="41F39A3B" w:rsidR="006606F0" w:rsidRPr="00D43281" w:rsidRDefault="00E366B4" w:rsidP="00E90A53">
      <w:pPr>
        <w:pStyle w:val="ListParagraph"/>
        <w:numPr>
          <w:ilvl w:val="0"/>
          <w:numId w:val="2"/>
        </w:numPr>
        <w:spacing w:before="160" w:after="120" w:line="240" w:lineRule="auto"/>
        <w:ind w:firstLine="567"/>
        <w:jc w:val="both"/>
        <w:rPr>
          <w:rFonts w:ascii="Times New Roman" w:hAnsi="Times New Roman" w:cs="Times New Roman"/>
          <w:sz w:val="24"/>
          <w:szCs w:val="24"/>
          <w:lang w:val="ru-RU"/>
        </w:rPr>
      </w:pPr>
      <w:r w:rsidRPr="00D43281">
        <w:rPr>
          <w:rFonts w:ascii="Times New Roman" w:hAnsi="Times New Roman" w:cs="Times New Roman"/>
          <w:sz w:val="24"/>
          <w:szCs w:val="24"/>
          <w:lang w:val="ru-RU"/>
        </w:rPr>
        <w:t>Методология, используемая банком для отнесения подверженностей к различным классам подверженностей, должна быть адекватной и последовательной во времени</w:t>
      </w:r>
      <w:r w:rsidR="006606F0" w:rsidRPr="00D43281">
        <w:rPr>
          <w:rFonts w:ascii="Times New Roman" w:hAnsi="Times New Roman" w:cs="Times New Roman"/>
          <w:sz w:val="24"/>
          <w:szCs w:val="24"/>
          <w:lang w:val="ru-RU"/>
        </w:rPr>
        <w:t>.</w:t>
      </w:r>
    </w:p>
    <w:p w14:paraId="78917F80" w14:textId="22839E32" w:rsidR="006606F0" w:rsidRPr="00D43281" w:rsidRDefault="00E366B4" w:rsidP="00E90A53">
      <w:pPr>
        <w:pStyle w:val="ListParagraph"/>
        <w:numPr>
          <w:ilvl w:val="0"/>
          <w:numId w:val="2"/>
        </w:numPr>
        <w:spacing w:before="120" w:after="120" w:line="240" w:lineRule="auto"/>
        <w:ind w:firstLine="567"/>
        <w:jc w:val="both"/>
        <w:rPr>
          <w:rFonts w:ascii="Times New Roman" w:hAnsi="Times New Roman" w:cs="Times New Roman"/>
          <w:sz w:val="24"/>
          <w:szCs w:val="24"/>
          <w:lang w:val="ru-RU"/>
        </w:rPr>
      </w:pPr>
      <w:bookmarkStart w:id="16" w:name="_Ref214974472"/>
      <w:r w:rsidRPr="00D43281">
        <w:rPr>
          <w:rFonts w:ascii="Times New Roman" w:hAnsi="Times New Roman" w:cs="Times New Roman"/>
          <w:sz w:val="24"/>
          <w:szCs w:val="24"/>
          <w:lang w:val="ru-RU"/>
        </w:rPr>
        <w:t>Каждая подверженность должна быть отнесена к одному из следующих классов подверженностей</w:t>
      </w:r>
      <w:r w:rsidR="006606F0" w:rsidRPr="00D43281">
        <w:rPr>
          <w:rFonts w:ascii="Times New Roman" w:hAnsi="Times New Roman" w:cs="Times New Roman"/>
          <w:sz w:val="24"/>
          <w:szCs w:val="24"/>
          <w:lang w:val="ru-RU"/>
        </w:rPr>
        <w:t>:</w:t>
      </w:r>
      <w:bookmarkEnd w:id="16"/>
    </w:p>
    <w:p w14:paraId="00D5554E" w14:textId="6AB4DB82" w:rsidR="006606F0" w:rsidRPr="00D43281" w:rsidRDefault="00E366B4" w:rsidP="00E90A53">
      <w:pPr>
        <w:pStyle w:val="ListParagraph"/>
        <w:numPr>
          <w:ilvl w:val="1"/>
          <w:numId w:val="2"/>
        </w:numPr>
        <w:spacing w:before="120" w:after="120" w:line="240" w:lineRule="auto"/>
        <w:ind w:left="0"/>
        <w:jc w:val="both"/>
        <w:rPr>
          <w:rFonts w:ascii="Times New Roman" w:hAnsi="Times New Roman" w:cs="Times New Roman"/>
          <w:sz w:val="24"/>
          <w:szCs w:val="24"/>
          <w:lang w:val="ru-RU"/>
        </w:rPr>
      </w:pPr>
      <w:bookmarkStart w:id="17" w:name="_Ref214973612"/>
      <w:r w:rsidRPr="00D43281">
        <w:rPr>
          <w:rFonts w:ascii="Times New Roman" w:eastAsia="Times New Roman" w:hAnsi="Times New Roman"/>
          <w:sz w:val="24"/>
          <w:szCs w:val="24"/>
          <w:lang w:val="ru-RU" w:eastAsia="ro-MD"/>
        </w:rPr>
        <w:t>Подверженности перед центральными администрациями или центральными банками</w:t>
      </w:r>
      <w:r w:rsidR="006606F0" w:rsidRPr="00D43281">
        <w:rPr>
          <w:rFonts w:ascii="Times New Roman" w:hAnsi="Times New Roman" w:cs="Times New Roman"/>
          <w:sz w:val="24"/>
          <w:szCs w:val="24"/>
          <w:lang w:val="ru-RU"/>
        </w:rPr>
        <w:t>;</w:t>
      </w:r>
      <w:r w:rsidR="00FE4617" w:rsidRPr="00D43281">
        <w:rPr>
          <w:rFonts w:ascii="Times New Roman" w:hAnsi="Times New Roman" w:cs="Times New Roman"/>
          <w:color w:val="000000" w:themeColor="text1"/>
          <w:sz w:val="24"/>
          <w:szCs w:val="24"/>
          <w:highlight w:val="lightGray"/>
          <w:lang w:val="ru-RU"/>
        </w:rPr>
        <w:t xml:space="preserve"> </w:t>
      </w:r>
      <w:bookmarkEnd w:id="17"/>
    </w:p>
    <w:p w14:paraId="133631EF" w14:textId="7637C50B" w:rsidR="006606F0" w:rsidRPr="00D43281" w:rsidRDefault="00E366B4" w:rsidP="00E90A53">
      <w:pPr>
        <w:pStyle w:val="ListParagraph"/>
        <w:numPr>
          <w:ilvl w:val="1"/>
          <w:numId w:val="2"/>
        </w:numPr>
        <w:spacing w:before="120" w:after="120" w:line="240" w:lineRule="auto"/>
        <w:ind w:left="0"/>
        <w:jc w:val="both"/>
        <w:rPr>
          <w:rFonts w:ascii="Times New Roman" w:hAnsi="Times New Roman" w:cs="Times New Roman"/>
          <w:sz w:val="24"/>
          <w:szCs w:val="24"/>
          <w:lang w:val="ru-RU"/>
        </w:rPr>
      </w:pPr>
      <w:bookmarkStart w:id="18" w:name="_Ref214974754"/>
      <w:r w:rsidRPr="00D43281">
        <w:rPr>
          <w:rFonts w:ascii="Times New Roman" w:eastAsia="Times New Roman" w:hAnsi="Times New Roman"/>
          <w:sz w:val="24"/>
          <w:szCs w:val="24"/>
          <w:lang w:val="ru-RU" w:eastAsia="ro-MD"/>
        </w:rPr>
        <w:t>Подверженности перед региональными администрациями, местными органами</w:t>
      </w:r>
      <w:r w:rsidRPr="00D43281">
        <w:rPr>
          <w:rFonts w:ascii="Times New Roman" w:hAnsi="Times New Roman" w:cs="Times New Roman"/>
          <w:sz w:val="24"/>
          <w:szCs w:val="24"/>
          <w:lang w:val="ru-RU"/>
        </w:rPr>
        <w:t xml:space="preserve"> и </w:t>
      </w:r>
      <w:r w:rsidRPr="00D43281">
        <w:rPr>
          <w:rFonts w:ascii="Times New Roman" w:eastAsia="Times New Roman" w:hAnsi="Times New Roman"/>
          <w:sz w:val="24"/>
          <w:szCs w:val="24"/>
          <w:lang w:val="ru-RU" w:eastAsia="ro-MD"/>
        </w:rPr>
        <w:t>субъектами публичного сектора,</w:t>
      </w:r>
      <w:r w:rsidRPr="00D43281">
        <w:rPr>
          <w:rFonts w:ascii="Times New Roman" w:hAnsi="Times New Roman" w:cs="Times New Roman"/>
          <w:sz w:val="24"/>
          <w:szCs w:val="24"/>
          <w:lang w:val="ru-RU"/>
        </w:rPr>
        <w:t xml:space="preserve"> которые относятся к следующим классам подверженностей</w:t>
      </w:r>
      <w:r w:rsidR="006606F0" w:rsidRPr="00D43281">
        <w:rPr>
          <w:rFonts w:ascii="Times New Roman" w:hAnsi="Times New Roman" w:cs="Times New Roman"/>
          <w:sz w:val="24"/>
          <w:szCs w:val="24"/>
          <w:lang w:val="ru-RU"/>
        </w:rPr>
        <w:t>:</w:t>
      </w:r>
      <w:bookmarkEnd w:id="18"/>
    </w:p>
    <w:p w14:paraId="212651D4" w14:textId="455F37CE" w:rsidR="006606F0" w:rsidRPr="00D43281" w:rsidRDefault="00E366B4" w:rsidP="00E90A53">
      <w:pPr>
        <w:pStyle w:val="ListParagraph"/>
        <w:numPr>
          <w:ilvl w:val="2"/>
          <w:numId w:val="2"/>
        </w:numPr>
        <w:spacing w:before="120" w:after="120" w:line="240" w:lineRule="auto"/>
        <w:ind w:left="0"/>
        <w:jc w:val="both"/>
        <w:rPr>
          <w:rFonts w:ascii="Times New Roman" w:hAnsi="Times New Roman" w:cs="Times New Roman"/>
          <w:sz w:val="24"/>
          <w:szCs w:val="24"/>
          <w:lang w:val="ru-RU"/>
        </w:rPr>
      </w:pPr>
      <w:r w:rsidRPr="00D43281">
        <w:rPr>
          <w:rFonts w:ascii="Times New Roman" w:eastAsia="Times New Roman" w:hAnsi="Times New Roman"/>
          <w:sz w:val="24"/>
          <w:szCs w:val="24"/>
          <w:lang w:val="ru-RU" w:eastAsia="ro-MD"/>
        </w:rPr>
        <w:t>Подверженности перед региональными администрациями и местными органами</w:t>
      </w:r>
      <w:r w:rsidR="006606F0" w:rsidRPr="00D43281">
        <w:rPr>
          <w:rFonts w:ascii="Times New Roman" w:hAnsi="Times New Roman" w:cs="Times New Roman"/>
          <w:sz w:val="24"/>
          <w:szCs w:val="24"/>
          <w:lang w:val="ru-RU"/>
        </w:rPr>
        <w:t>;</w:t>
      </w:r>
      <w:r w:rsidR="00FE4617" w:rsidRPr="00D43281">
        <w:rPr>
          <w:rFonts w:ascii="Times New Roman" w:hAnsi="Times New Roman" w:cs="Times New Roman"/>
          <w:color w:val="000000" w:themeColor="text1"/>
          <w:sz w:val="24"/>
          <w:szCs w:val="24"/>
          <w:highlight w:val="lightGray"/>
          <w:lang w:val="ru-RU"/>
        </w:rPr>
        <w:t xml:space="preserve"> </w:t>
      </w:r>
    </w:p>
    <w:p w14:paraId="561DF33D" w14:textId="648861AA" w:rsidR="006606F0" w:rsidRPr="00D43281" w:rsidRDefault="00E366B4" w:rsidP="00E90A53">
      <w:pPr>
        <w:pStyle w:val="ListParagraph"/>
        <w:numPr>
          <w:ilvl w:val="2"/>
          <w:numId w:val="2"/>
        </w:numPr>
        <w:spacing w:before="120" w:after="120" w:line="240" w:lineRule="auto"/>
        <w:ind w:left="0"/>
        <w:jc w:val="both"/>
        <w:rPr>
          <w:rFonts w:ascii="Times New Roman" w:hAnsi="Times New Roman" w:cs="Times New Roman"/>
          <w:sz w:val="24"/>
          <w:szCs w:val="24"/>
          <w:lang w:val="ru-RU"/>
        </w:rPr>
      </w:pPr>
      <w:r w:rsidRPr="00D43281">
        <w:rPr>
          <w:rFonts w:ascii="Times New Roman" w:eastAsia="Times New Roman" w:hAnsi="Times New Roman"/>
          <w:sz w:val="24"/>
          <w:szCs w:val="24"/>
          <w:lang w:val="ru-RU" w:eastAsia="ro-MD"/>
        </w:rPr>
        <w:t>Подверженности перед субъектами публичного сектора</w:t>
      </w:r>
      <w:r w:rsidR="006606F0" w:rsidRPr="00D43281">
        <w:rPr>
          <w:rFonts w:ascii="Times New Roman" w:hAnsi="Times New Roman" w:cs="Times New Roman"/>
          <w:sz w:val="24"/>
          <w:szCs w:val="24"/>
          <w:lang w:val="ru-RU"/>
        </w:rPr>
        <w:t>;</w:t>
      </w:r>
    </w:p>
    <w:p w14:paraId="56095CB7" w14:textId="3970AF90" w:rsidR="006606F0" w:rsidRPr="00D43281" w:rsidRDefault="00E366B4" w:rsidP="00E90A53">
      <w:pPr>
        <w:pStyle w:val="ListParagraph"/>
        <w:numPr>
          <w:ilvl w:val="1"/>
          <w:numId w:val="2"/>
        </w:numPr>
        <w:spacing w:before="120" w:after="120" w:line="240" w:lineRule="auto"/>
        <w:ind w:left="0"/>
        <w:jc w:val="both"/>
        <w:rPr>
          <w:rFonts w:ascii="Times New Roman" w:hAnsi="Times New Roman" w:cs="Times New Roman"/>
          <w:sz w:val="24"/>
          <w:szCs w:val="24"/>
          <w:lang w:val="ru-RU"/>
        </w:rPr>
      </w:pPr>
      <w:bookmarkStart w:id="19" w:name="_Ref215071482"/>
      <w:r w:rsidRPr="00D43281">
        <w:rPr>
          <w:rFonts w:ascii="Times New Roman" w:eastAsia="Times New Roman" w:hAnsi="Times New Roman"/>
          <w:sz w:val="24"/>
          <w:szCs w:val="24"/>
          <w:lang w:val="ru-RU" w:eastAsia="ro-MD"/>
        </w:rPr>
        <w:t>Подверженности перед банками</w:t>
      </w:r>
      <w:r w:rsidR="006606F0" w:rsidRPr="00D43281">
        <w:rPr>
          <w:rFonts w:ascii="Times New Roman" w:hAnsi="Times New Roman" w:cs="Times New Roman"/>
          <w:sz w:val="24"/>
          <w:szCs w:val="24"/>
          <w:lang w:val="ru-RU"/>
        </w:rPr>
        <w:t>;</w:t>
      </w:r>
      <w:bookmarkEnd w:id="19"/>
    </w:p>
    <w:p w14:paraId="4036A9B4" w14:textId="1A123FF9" w:rsidR="006606F0" w:rsidRPr="00D43281" w:rsidRDefault="00E366B4" w:rsidP="00E90A53">
      <w:pPr>
        <w:pStyle w:val="ListParagraph"/>
        <w:numPr>
          <w:ilvl w:val="1"/>
          <w:numId w:val="2"/>
        </w:numPr>
        <w:spacing w:before="120" w:after="120" w:line="240" w:lineRule="auto"/>
        <w:ind w:left="0"/>
        <w:jc w:val="both"/>
        <w:rPr>
          <w:rFonts w:ascii="Times New Roman" w:hAnsi="Times New Roman" w:cs="Times New Roman"/>
          <w:sz w:val="24"/>
          <w:szCs w:val="24"/>
          <w:lang w:val="ru-RU"/>
        </w:rPr>
      </w:pPr>
      <w:bookmarkStart w:id="20" w:name="_Ref214978989"/>
      <w:r w:rsidRPr="00D43281">
        <w:rPr>
          <w:rFonts w:ascii="Times New Roman" w:eastAsia="Times New Roman" w:hAnsi="Times New Roman"/>
          <w:sz w:val="24"/>
          <w:szCs w:val="24"/>
          <w:lang w:val="ru-RU" w:eastAsia="ro-MD"/>
        </w:rPr>
        <w:t>Подверженности перед обществами, которые относятся к следующим классам</w:t>
      </w:r>
      <w:r w:rsidRPr="00D43281">
        <w:rPr>
          <w:rFonts w:ascii="Times New Roman" w:hAnsi="Times New Roman" w:cs="Times New Roman"/>
          <w:sz w:val="24"/>
          <w:szCs w:val="24"/>
          <w:lang w:val="ru-RU"/>
        </w:rPr>
        <w:t xml:space="preserve"> подверженностей</w:t>
      </w:r>
      <w:r w:rsidR="006606F0" w:rsidRPr="00D43281">
        <w:rPr>
          <w:rFonts w:ascii="Times New Roman" w:hAnsi="Times New Roman" w:cs="Times New Roman"/>
          <w:sz w:val="24"/>
          <w:szCs w:val="24"/>
          <w:lang w:val="ru-RU"/>
        </w:rPr>
        <w:t>:</w:t>
      </w:r>
      <w:bookmarkEnd w:id="20"/>
    </w:p>
    <w:p w14:paraId="0C193456" w14:textId="330BF0E5" w:rsidR="006606F0" w:rsidRPr="00D43281" w:rsidRDefault="00E366B4" w:rsidP="00E90A53">
      <w:pPr>
        <w:pStyle w:val="ListParagraph"/>
        <w:numPr>
          <w:ilvl w:val="2"/>
          <w:numId w:val="2"/>
        </w:numPr>
        <w:spacing w:before="120" w:after="120" w:line="240" w:lineRule="auto"/>
        <w:ind w:left="0"/>
        <w:jc w:val="both"/>
        <w:rPr>
          <w:rFonts w:ascii="Times New Roman" w:hAnsi="Times New Roman" w:cs="Times New Roman"/>
          <w:sz w:val="24"/>
          <w:szCs w:val="24"/>
          <w:lang w:val="ru-RU"/>
        </w:rPr>
      </w:pPr>
      <w:bookmarkStart w:id="21" w:name="_Ref214979086"/>
      <w:r w:rsidRPr="00D43281">
        <w:rPr>
          <w:rFonts w:ascii="Times New Roman" w:eastAsia="Times New Roman" w:hAnsi="Times New Roman"/>
          <w:sz w:val="24"/>
          <w:szCs w:val="24"/>
          <w:lang w:val="ru-RU" w:eastAsia="ro-MD"/>
        </w:rPr>
        <w:t>Подверженности перед обществами в целом</w:t>
      </w:r>
      <w:r w:rsidR="006606F0" w:rsidRPr="00D43281">
        <w:rPr>
          <w:rFonts w:ascii="Times New Roman" w:hAnsi="Times New Roman" w:cs="Times New Roman"/>
          <w:sz w:val="24"/>
          <w:szCs w:val="24"/>
          <w:lang w:val="ru-RU"/>
        </w:rPr>
        <w:t>;</w:t>
      </w:r>
      <w:bookmarkEnd w:id="21"/>
    </w:p>
    <w:p w14:paraId="3DF987D5" w14:textId="6C2542E7" w:rsidR="006606F0" w:rsidRPr="00D43281" w:rsidRDefault="00771232" w:rsidP="00E90A53">
      <w:pPr>
        <w:pStyle w:val="ListParagraph"/>
        <w:numPr>
          <w:ilvl w:val="2"/>
          <w:numId w:val="2"/>
        </w:numPr>
        <w:spacing w:before="120" w:after="120" w:line="240" w:lineRule="auto"/>
        <w:ind w:left="0"/>
        <w:jc w:val="both"/>
        <w:rPr>
          <w:rFonts w:ascii="Times New Roman" w:hAnsi="Times New Roman" w:cs="Times New Roman"/>
          <w:sz w:val="24"/>
          <w:szCs w:val="24"/>
          <w:lang w:val="ru-RU"/>
        </w:rPr>
      </w:pPr>
      <w:r w:rsidRPr="00D43281">
        <w:rPr>
          <w:rFonts w:ascii="Times New Roman" w:hAnsi="Times New Roman" w:cs="Times New Roman"/>
          <w:sz w:val="24"/>
          <w:szCs w:val="24"/>
          <w:lang w:val="ru-RU"/>
        </w:rPr>
        <w:lastRenderedPageBreak/>
        <w:t xml:space="preserve"> </w:t>
      </w:r>
      <w:bookmarkStart w:id="22" w:name="_Ref214979076"/>
      <w:r w:rsidR="00E366B4" w:rsidRPr="00D43281">
        <w:rPr>
          <w:rFonts w:ascii="Times New Roman" w:eastAsia="Times New Roman" w:hAnsi="Times New Roman"/>
          <w:sz w:val="24"/>
          <w:szCs w:val="24"/>
          <w:lang w:val="ru-RU" w:eastAsia="ro-MD"/>
        </w:rPr>
        <w:t>Подверженности</w:t>
      </w:r>
      <w:r w:rsidR="00E366B4" w:rsidRPr="00D43281">
        <w:rPr>
          <w:rFonts w:ascii="Times New Roman" w:hAnsi="Times New Roman" w:cs="Times New Roman"/>
          <w:sz w:val="24"/>
          <w:szCs w:val="24"/>
          <w:lang w:val="ru-RU"/>
        </w:rPr>
        <w:t>, связанные со специализированным финансированием</w:t>
      </w:r>
      <w:r w:rsidR="006606F0" w:rsidRPr="00D43281">
        <w:rPr>
          <w:rFonts w:ascii="Times New Roman" w:hAnsi="Times New Roman" w:cs="Times New Roman"/>
          <w:sz w:val="24"/>
          <w:szCs w:val="24"/>
          <w:lang w:val="ru-RU"/>
        </w:rPr>
        <w:t>;</w:t>
      </w:r>
      <w:bookmarkEnd w:id="22"/>
    </w:p>
    <w:p w14:paraId="28DCBFE3" w14:textId="6C847D38" w:rsidR="006606F0" w:rsidRPr="00D43281" w:rsidRDefault="00E366B4" w:rsidP="00E90A53">
      <w:pPr>
        <w:pStyle w:val="ListParagraph"/>
        <w:numPr>
          <w:ilvl w:val="2"/>
          <w:numId w:val="2"/>
        </w:numPr>
        <w:spacing w:before="120" w:after="120" w:line="240" w:lineRule="auto"/>
        <w:ind w:left="0"/>
        <w:jc w:val="both"/>
        <w:rPr>
          <w:rFonts w:ascii="Times New Roman" w:hAnsi="Times New Roman" w:cs="Times New Roman"/>
          <w:sz w:val="24"/>
          <w:szCs w:val="24"/>
          <w:lang w:val="ru-RU"/>
        </w:rPr>
      </w:pPr>
      <w:bookmarkStart w:id="23" w:name="_Ref214979065"/>
      <w:r w:rsidRPr="00D43281">
        <w:rPr>
          <w:rFonts w:ascii="Times New Roman" w:hAnsi="Times New Roman" w:cs="Times New Roman"/>
          <w:sz w:val="24"/>
          <w:szCs w:val="24"/>
          <w:lang w:val="ru-RU"/>
        </w:rPr>
        <w:t>Приобретенные требования к обществам</w:t>
      </w:r>
      <w:r w:rsidR="006606F0" w:rsidRPr="00D43281">
        <w:rPr>
          <w:rFonts w:ascii="Times New Roman" w:hAnsi="Times New Roman" w:cs="Times New Roman"/>
          <w:sz w:val="24"/>
          <w:szCs w:val="24"/>
          <w:lang w:val="ru-RU"/>
        </w:rPr>
        <w:t>;</w:t>
      </w:r>
      <w:bookmarkEnd w:id="23"/>
    </w:p>
    <w:p w14:paraId="37BA2236" w14:textId="21AC20FD" w:rsidR="006606F0" w:rsidRPr="00D43281" w:rsidRDefault="00E366B4" w:rsidP="00E90A53">
      <w:pPr>
        <w:pStyle w:val="ListParagraph"/>
        <w:numPr>
          <w:ilvl w:val="1"/>
          <w:numId w:val="2"/>
        </w:numPr>
        <w:spacing w:before="120" w:after="120" w:line="240" w:lineRule="auto"/>
        <w:ind w:left="0"/>
        <w:jc w:val="both"/>
        <w:rPr>
          <w:rFonts w:ascii="Times New Roman" w:hAnsi="Times New Roman" w:cs="Times New Roman"/>
          <w:sz w:val="24"/>
          <w:szCs w:val="24"/>
          <w:lang w:val="ru-RU"/>
        </w:rPr>
      </w:pPr>
      <w:bookmarkStart w:id="24" w:name="_Ref214975112"/>
      <w:r w:rsidRPr="00D43281">
        <w:rPr>
          <w:rFonts w:ascii="Times New Roman" w:hAnsi="Times New Roman" w:cs="Times New Roman"/>
          <w:sz w:val="24"/>
          <w:szCs w:val="24"/>
          <w:lang w:val="ru-RU"/>
        </w:rPr>
        <w:t>Подверженности розничного типа, которые относятся к следующим классам рисков</w:t>
      </w:r>
      <w:bookmarkEnd w:id="24"/>
      <w:r w:rsidRPr="00D43281">
        <w:rPr>
          <w:rFonts w:ascii="Times New Roman" w:hAnsi="Times New Roman" w:cs="Times New Roman"/>
          <w:sz w:val="24"/>
          <w:szCs w:val="24"/>
          <w:lang w:val="ru-RU"/>
        </w:rPr>
        <w:t>:</w:t>
      </w:r>
    </w:p>
    <w:p w14:paraId="7ABF34AD" w14:textId="31C4BD5D" w:rsidR="006606F0" w:rsidRPr="00D43281" w:rsidRDefault="00E366B4" w:rsidP="00E90A53">
      <w:pPr>
        <w:pStyle w:val="ListParagraph"/>
        <w:numPr>
          <w:ilvl w:val="2"/>
          <w:numId w:val="2"/>
        </w:numPr>
        <w:spacing w:before="120" w:after="120" w:line="240" w:lineRule="auto"/>
        <w:ind w:left="0"/>
        <w:jc w:val="both"/>
        <w:rPr>
          <w:rFonts w:ascii="Times New Roman" w:hAnsi="Times New Roman" w:cs="Times New Roman"/>
          <w:sz w:val="24"/>
          <w:szCs w:val="24"/>
          <w:lang w:val="ru-RU"/>
        </w:rPr>
      </w:pPr>
      <w:bookmarkStart w:id="25" w:name="_Ref214980878"/>
      <w:r w:rsidRPr="00D43281">
        <w:rPr>
          <w:rFonts w:ascii="Times New Roman" w:hAnsi="Times New Roman" w:cs="Times New Roman"/>
          <w:sz w:val="24"/>
          <w:szCs w:val="24"/>
          <w:lang w:val="ru-RU"/>
        </w:rPr>
        <w:t xml:space="preserve">Приемлемые возобновляемые подверженности розничного типа </w:t>
      </w:r>
      <w:r w:rsidR="007C0923" w:rsidRPr="00D43281">
        <w:rPr>
          <w:rFonts w:ascii="Times New Roman" w:hAnsi="Times New Roman" w:cs="Times New Roman"/>
          <w:sz w:val="24"/>
          <w:szCs w:val="24"/>
          <w:lang w:val="ru-RU"/>
        </w:rPr>
        <w:t>(„QRRE”)</w:t>
      </w:r>
      <w:r w:rsidR="006606F0" w:rsidRPr="00D43281">
        <w:rPr>
          <w:rFonts w:ascii="Times New Roman" w:hAnsi="Times New Roman" w:cs="Times New Roman"/>
          <w:sz w:val="24"/>
          <w:szCs w:val="24"/>
          <w:lang w:val="ru-RU"/>
        </w:rPr>
        <w:t>;</w:t>
      </w:r>
      <w:bookmarkEnd w:id="25"/>
    </w:p>
    <w:p w14:paraId="1454C07E" w14:textId="7A0366D0" w:rsidR="006606F0" w:rsidRPr="00D43281" w:rsidRDefault="008E1662" w:rsidP="00E90A53">
      <w:pPr>
        <w:pStyle w:val="ListParagraph"/>
        <w:numPr>
          <w:ilvl w:val="2"/>
          <w:numId w:val="2"/>
        </w:numPr>
        <w:spacing w:before="120" w:after="120" w:line="240" w:lineRule="auto"/>
        <w:ind w:left="0"/>
        <w:jc w:val="both"/>
        <w:rPr>
          <w:rFonts w:ascii="Times New Roman" w:hAnsi="Times New Roman" w:cs="Times New Roman"/>
          <w:sz w:val="24"/>
          <w:szCs w:val="24"/>
          <w:lang w:val="ru-RU"/>
        </w:rPr>
      </w:pPr>
      <w:bookmarkStart w:id="26" w:name="_Ref214979998"/>
      <w:r w:rsidRPr="00D43281">
        <w:rPr>
          <w:rFonts w:ascii="Times New Roman" w:hAnsi="Times New Roman" w:cs="Times New Roman"/>
          <w:sz w:val="24"/>
          <w:szCs w:val="24"/>
          <w:lang w:val="ru-RU"/>
        </w:rPr>
        <w:t xml:space="preserve">Розничные </w:t>
      </w:r>
      <w:r w:rsidR="003F3028" w:rsidRPr="00D43281">
        <w:rPr>
          <w:rFonts w:ascii="Times New Roman" w:hAnsi="Times New Roman" w:cs="Times New Roman"/>
          <w:sz w:val="24"/>
          <w:szCs w:val="24"/>
          <w:lang w:val="ru-RU"/>
        </w:rPr>
        <w:t>подверженности, обеспеченные жилой недвижимостью</w:t>
      </w:r>
      <w:r w:rsidR="006606F0" w:rsidRPr="00D43281">
        <w:rPr>
          <w:rFonts w:ascii="Times New Roman" w:hAnsi="Times New Roman" w:cs="Times New Roman"/>
          <w:sz w:val="24"/>
          <w:szCs w:val="24"/>
          <w:lang w:val="ru-RU"/>
        </w:rPr>
        <w:t>;</w:t>
      </w:r>
      <w:r w:rsidR="00BD37EA" w:rsidRPr="00D43281">
        <w:rPr>
          <w:rFonts w:ascii="Times New Roman" w:hAnsi="Times New Roman" w:cs="Times New Roman"/>
          <w:color w:val="000000" w:themeColor="text1"/>
          <w:sz w:val="24"/>
          <w:szCs w:val="24"/>
          <w:highlight w:val="lightGray"/>
          <w:lang w:val="ru-RU"/>
        </w:rPr>
        <w:t xml:space="preserve"> </w:t>
      </w:r>
      <w:bookmarkEnd w:id="26"/>
    </w:p>
    <w:p w14:paraId="12696E21" w14:textId="27DC6933" w:rsidR="006606F0" w:rsidRPr="00D43281" w:rsidRDefault="008E1662" w:rsidP="00E90A53">
      <w:pPr>
        <w:pStyle w:val="ListParagraph"/>
        <w:numPr>
          <w:ilvl w:val="2"/>
          <w:numId w:val="2"/>
        </w:numPr>
        <w:spacing w:before="120" w:after="120" w:line="240" w:lineRule="auto"/>
        <w:ind w:left="0"/>
        <w:jc w:val="both"/>
        <w:rPr>
          <w:rFonts w:ascii="Times New Roman" w:hAnsi="Times New Roman" w:cs="Times New Roman"/>
          <w:sz w:val="24"/>
          <w:szCs w:val="24"/>
          <w:lang w:val="ru-RU"/>
        </w:rPr>
      </w:pPr>
      <w:r w:rsidRPr="00D43281">
        <w:rPr>
          <w:rFonts w:ascii="Times New Roman" w:hAnsi="Times New Roman" w:cs="Times New Roman"/>
          <w:sz w:val="24"/>
          <w:szCs w:val="24"/>
          <w:lang w:val="ru-RU"/>
        </w:rPr>
        <w:t xml:space="preserve">Приобретенные </w:t>
      </w:r>
      <w:r w:rsidR="003F3028" w:rsidRPr="00D43281">
        <w:rPr>
          <w:rFonts w:ascii="Times New Roman" w:hAnsi="Times New Roman" w:cs="Times New Roman"/>
          <w:sz w:val="24"/>
          <w:szCs w:val="24"/>
          <w:lang w:val="ru-RU"/>
        </w:rPr>
        <w:t>розничные требования</w:t>
      </w:r>
      <w:r w:rsidR="006606F0" w:rsidRPr="00D43281">
        <w:rPr>
          <w:rFonts w:ascii="Times New Roman" w:hAnsi="Times New Roman" w:cs="Times New Roman"/>
          <w:sz w:val="24"/>
          <w:szCs w:val="24"/>
          <w:lang w:val="ru-RU"/>
        </w:rPr>
        <w:t>;</w:t>
      </w:r>
    </w:p>
    <w:p w14:paraId="71B29EFC" w14:textId="574D3068" w:rsidR="006606F0" w:rsidRPr="00D43281" w:rsidRDefault="008E1662" w:rsidP="00E90A53">
      <w:pPr>
        <w:pStyle w:val="ListParagraph"/>
        <w:numPr>
          <w:ilvl w:val="2"/>
          <w:numId w:val="2"/>
        </w:numPr>
        <w:spacing w:before="120" w:after="120" w:line="240" w:lineRule="auto"/>
        <w:ind w:left="0"/>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 xml:space="preserve">Прочие </w:t>
      </w:r>
      <w:r w:rsidR="003F3028" w:rsidRPr="00D43281">
        <w:rPr>
          <w:rFonts w:ascii="Times New Roman" w:hAnsi="Times New Roman" w:cs="Times New Roman"/>
          <w:sz w:val="24"/>
          <w:szCs w:val="24"/>
          <w:lang w:val="ru-MD"/>
        </w:rPr>
        <w:t>розничные подверженности</w:t>
      </w:r>
      <w:r w:rsidR="006606F0" w:rsidRPr="00D43281">
        <w:rPr>
          <w:rFonts w:ascii="Times New Roman" w:hAnsi="Times New Roman" w:cs="Times New Roman"/>
          <w:sz w:val="24"/>
          <w:szCs w:val="24"/>
          <w:lang w:val="ru-MD"/>
        </w:rPr>
        <w:t>;</w:t>
      </w:r>
    </w:p>
    <w:p w14:paraId="6C8A0FD2" w14:textId="2FE15D6E" w:rsidR="006606F0" w:rsidRPr="00D43281" w:rsidRDefault="003F3028" w:rsidP="00E90A53">
      <w:pPr>
        <w:pStyle w:val="ListParagraph"/>
        <w:numPr>
          <w:ilvl w:val="1"/>
          <w:numId w:val="2"/>
        </w:numPr>
        <w:spacing w:before="120" w:after="0" w:line="240" w:lineRule="auto"/>
        <w:ind w:left="0"/>
        <w:jc w:val="both"/>
        <w:rPr>
          <w:rFonts w:ascii="Times New Roman" w:hAnsi="Times New Roman" w:cs="Times New Roman"/>
          <w:sz w:val="24"/>
          <w:szCs w:val="24"/>
          <w:lang w:val="ru-MD"/>
        </w:rPr>
      </w:pPr>
      <w:bookmarkStart w:id="27" w:name="_Ref214984449"/>
      <w:r w:rsidRPr="00D43281">
        <w:rPr>
          <w:rFonts w:ascii="Times New Roman" w:eastAsia="Times New Roman" w:hAnsi="Times New Roman"/>
          <w:sz w:val="24"/>
          <w:szCs w:val="24"/>
          <w:lang w:val="ru-MD" w:eastAsia="ro-MD"/>
        </w:rPr>
        <w:t>Подверженности из капитальных ценных бумаг</w:t>
      </w:r>
      <w:r w:rsidR="006606F0" w:rsidRPr="00D43281">
        <w:rPr>
          <w:rFonts w:ascii="Times New Roman" w:hAnsi="Times New Roman" w:cs="Times New Roman"/>
          <w:sz w:val="24"/>
          <w:szCs w:val="24"/>
          <w:lang w:val="ru-MD"/>
        </w:rPr>
        <w:t>;</w:t>
      </w:r>
      <w:bookmarkEnd w:id="27"/>
    </w:p>
    <w:p w14:paraId="078DE93F" w14:textId="29017332" w:rsidR="006606F0" w:rsidRPr="00D43281" w:rsidRDefault="00CD0844" w:rsidP="00E90A53">
      <w:pPr>
        <w:pStyle w:val="ListParagraph"/>
        <w:numPr>
          <w:ilvl w:val="1"/>
          <w:numId w:val="2"/>
        </w:numPr>
        <w:spacing w:after="0" w:line="240" w:lineRule="auto"/>
        <w:ind w:left="0"/>
        <w:rPr>
          <w:rFonts w:ascii="Times New Roman" w:hAnsi="Times New Roman" w:cs="Times New Roman"/>
          <w:sz w:val="24"/>
          <w:szCs w:val="24"/>
          <w:lang w:val="ru-MD"/>
        </w:rPr>
      </w:pPr>
      <w:bookmarkStart w:id="28" w:name="_Ref214984959"/>
      <w:r w:rsidRPr="00D43281">
        <w:rPr>
          <w:rFonts w:ascii="Times New Roman" w:eastAsia="Times New Roman" w:hAnsi="Times New Roman"/>
          <w:sz w:val="24"/>
          <w:szCs w:val="24"/>
          <w:lang w:val="ru-MD" w:eastAsia="ro-MD"/>
        </w:rPr>
        <w:t>Подверженности в виде единиц или акций во владении органа коллективного инвестирования (ОКИ)</w:t>
      </w:r>
      <w:r w:rsidR="006606F0" w:rsidRPr="00D43281">
        <w:rPr>
          <w:rFonts w:ascii="Times New Roman" w:hAnsi="Times New Roman" w:cs="Times New Roman"/>
          <w:sz w:val="24"/>
          <w:szCs w:val="24"/>
          <w:lang w:val="ru-MD"/>
        </w:rPr>
        <w:t>;</w:t>
      </w:r>
      <w:bookmarkEnd w:id="28"/>
    </w:p>
    <w:p w14:paraId="6A39D666" w14:textId="73CA0A7E" w:rsidR="006606F0" w:rsidRPr="00D43281" w:rsidRDefault="003B75F1" w:rsidP="00E90A53">
      <w:pPr>
        <w:pStyle w:val="ListParagraph"/>
        <w:numPr>
          <w:ilvl w:val="1"/>
          <w:numId w:val="2"/>
        </w:numPr>
        <w:spacing w:after="120" w:line="240" w:lineRule="auto"/>
        <w:ind w:left="0"/>
        <w:jc w:val="both"/>
        <w:rPr>
          <w:rFonts w:ascii="Times New Roman" w:hAnsi="Times New Roman" w:cs="Times New Roman"/>
          <w:sz w:val="24"/>
          <w:szCs w:val="24"/>
          <w:lang w:val="ru-MD"/>
        </w:rPr>
      </w:pPr>
      <w:bookmarkStart w:id="29" w:name="_Ref214984969"/>
      <w:r w:rsidRPr="00D43281">
        <w:rPr>
          <w:rFonts w:ascii="Times New Roman" w:eastAsia="Times New Roman" w:hAnsi="Times New Roman"/>
          <w:sz w:val="24"/>
          <w:szCs w:val="24"/>
          <w:lang w:val="ru-MD" w:eastAsia="ro-MD"/>
        </w:rPr>
        <w:t>Элементы, представляющие позиции из секьюритизации</w:t>
      </w:r>
      <w:r w:rsidR="006606F0" w:rsidRPr="00D43281">
        <w:rPr>
          <w:rFonts w:ascii="Times New Roman" w:hAnsi="Times New Roman" w:cs="Times New Roman"/>
          <w:sz w:val="24"/>
          <w:szCs w:val="24"/>
          <w:lang w:val="ru-MD"/>
        </w:rPr>
        <w:t>;</w:t>
      </w:r>
      <w:bookmarkEnd w:id="29"/>
    </w:p>
    <w:p w14:paraId="47E2EFF4" w14:textId="2BC8C5B2" w:rsidR="006606F0" w:rsidRPr="00D43281" w:rsidRDefault="003B75F1" w:rsidP="00E90A53">
      <w:pPr>
        <w:pStyle w:val="ListParagraph"/>
        <w:numPr>
          <w:ilvl w:val="1"/>
          <w:numId w:val="2"/>
        </w:numPr>
        <w:spacing w:before="120" w:after="120" w:line="240" w:lineRule="auto"/>
        <w:ind w:left="0"/>
        <w:jc w:val="both"/>
        <w:rPr>
          <w:rFonts w:ascii="Times New Roman" w:hAnsi="Times New Roman" w:cs="Times New Roman"/>
          <w:sz w:val="24"/>
          <w:szCs w:val="24"/>
          <w:lang w:val="ru-MD"/>
        </w:rPr>
      </w:pPr>
      <w:bookmarkStart w:id="30" w:name="_Ref214986145"/>
      <w:r w:rsidRPr="00D43281">
        <w:rPr>
          <w:rFonts w:ascii="Times New Roman" w:hAnsi="Times New Roman" w:cs="Times New Roman"/>
          <w:sz w:val="24"/>
          <w:szCs w:val="24"/>
          <w:lang w:val="ru-MD"/>
        </w:rPr>
        <w:t>Активы, кроме тех, которые представляют собой кредитные требования</w:t>
      </w:r>
      <w:r w:rsidR="006606F0" w:rsidRPr="00D43281">
        <w:rPr>
          <w:rFonts w:ascii="Times New Roman" w:hAnsi="Times New Roman" w:cs="Times New Roman"/>
          <w:sz w:val="24"/>
          <w:szCs w:val="24"/>
          <w:lang w:val="ru-MD"/>
        </w:rPr>
        <w:t>.</w:t>
      </w:r>
      <w:r w:rsidR="00BD37EA" w:rsidRPr="00D43281">
        <w:rPr>
          <w:rFonts w:ascii="Times New Roman" w:hAnsi="Times New Roman" w:cs="Times New Roman"/>
          <w:color w:val="000000" w:themeColor="text1"/>
          <w:sz w:val="24"/>
          <w:szCs w:val="24"/>
          <w:highlight w:val="lightGray"/>
          <w:lang w:val="ru-MD"/>
        </w:rPr>
        <w:t xml:space="preserve"> </w:t>
      </w:r>
      <w:bookmarkEnd w:id="30"/>
    </w:p>
    <w:p w14:paraId="681C48DE" w14:textId="5E0F8716" w:rsidR="006606F0" w:rsidRPr="00D43281" w:rsidRDefault="00CB4EE9" w:rsidP="00E90A53">
      <w:pPr>
        <w:pStyle w:val="ListParagraph"/>
        <w:numPr>
          <w:ilvl w:val="0"/>
          <w:numId w:val="2"/>
        </w:numPr>
        <w:spacing w:line="240" w:lineRule="auto"/>
        <w:ind w:firstLine="567"/>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Следующие подверженности относятся к классу подверженности в отношении центральных администраций и центральных банков, предусмотренному в пункте 19.1</w:t>
      </w:r>
      <w:r w:rsidR="006606F0" w:rsidRPr="00D43281">
        <w:rPr>
          <w:rFonts w:ascii="Times New Roman" w:hAnsi="Times New Roman" w:cs="Times New Roman"/>
          <w:sz w:val="24"/>
          <w:szCs w:val="24"/>
          <w:lang w:val="ru-MD"/>
        </w:rPr>
        <w:t>:</w:t>
      </w:r>
    </w:p>
    <w:bookmarkEnd w:id="15"/>
    <w:p w14:paraId="202455B3" w14:textId="0260F687" w:rsidR="006606F0" w:rsidRPr="00D43281" w:rsidRDefault="00CB4EE9" w:rsidP="00E90A53">
      <w:pPr>
        <w:pStyle w:val="ListParagraph"/>
        <w:numPr>
          <w:ilvl w:val="1"/>
          <w:numId w:val="2"/>
        </w:numPr>
        <w:spacing w:line="240" w:lineRule="auto"/>
        <w:ind w:left="0"/>
        <w:jc w:val="both"/>
        <w:rPr>
          <w:rFonts w:ascii="Times New Roman" w:hAnsi="Times New Roman" w:cs="Times New Roman"/>
          <w:sz w:val="24"/>
          <w:szCs w:val="24"/>
          <w:lang w:val="ru-MD"/>
        </w:rPr>
      </w:pPr>
      <w:r w:rsidRPr="00D43281">
        <w:rPr>
          <w:rFonts w:ascii="Times New Roman" w:eastAsia="Times New Roman" w:hAnsi="Times New Roman"/>
          <w:sz w:val="24"/>
          <w:szCs w:val="24"/>
          <w:lang w:val="ru-MD" w:eastAsia="ro-MD"/>
        </w:rPr>
        <w:t>Подверженности перед банками многостороннего развития, указанными в пункте 46 Регламента № 111/2018</w:t>
      </w:r>
      <w:r w:rsidR="006606F0" w:rsidRPr="00D43281">
        <w:rPr>
          <w:rFonts w:ascii="Times New Roman" w:hAnsi="Times New Roman" w:cs="Times New Roman"/>
          <w:sz w:val="24"/>
          <w:szCs w:val="24"/>
          <w:lang w:val="ru-MD"/>
        </w:rPr>
        <w:t>;</w:t>
      </w:r>
    </w:p>
    <w:p w14:paraId="2CF880D5" w14:textId="37ACFC89" w:rsidR="006606F0" w:rsidRPr="00D43281" w:rsidRDefault="00122B18" w:rsidP="00E90A53">
      <w:pPr>
        <w:pStyle w:val="ListParagraph"/>
        <w:numPr>
          <w:ilvl w:val="1"/>
          <w:numId w:val="2"/>
        </w:numPr>
        <w:spacing w:after="0" w:line="240" w:lineRule="auto"/>
        <w:ind w:left="0"/>
        <w:jc w:val="both"/>
        <w:rPr>
          <w:rFonts w:ascii="Times New Roman" w:hAnsi="Times New Roman" w:cs="Times New Roman"/>
          <w:sz w:val="24"/>
          <w:szCs w:val="24"/>
          <w:lang w:val="ru-MD"/>
        </w:rPr>
      </w:pPr>
      <w:r w:rsidRPr="00D43281">
        <w:rPr>
          <w:rFonts w:ascii="Times New Roman" w:eastAsia="Times New Roman" w:hAnsi="Times New Roman"/>
          <w:sz w:val="24"/>
          <w:szCs w:val="24"/>
          <w:lang w:val="ru-MD" w:eastAsia="ro-MD"/>
        </w:rPr>
        <w:t>Подверженности перед международными организациями, которые имеют весовой коэффициент риска 0% в соответствии с пунктом 47 Регламента № 111/2018</w:t>
      </w:r>
      <w:r w:rsidR="006606F0" w:rsidRPr="00D43281">
        <w:rPr>
          <w:rFonts w:ascii="Times New Roman" w:hAnsi="Times New Roman" w:cs="Times New Roman"/>
          <w:sz w:val="24"/>
          <w:szCs w:val="24"/>
          <w:lang w:val="ru-MD"/>
        </w:rPr>
        <w:t>.</w:t>
      </w:r>
    </w:p>
    <w:p w14:paraId="547325D2" w14:textId="5A88E1C0" w:rsidR="006606F0" w:rsidRPr="00D43281" w:rsidRDefault="00122B18" w:rsidP="007D44C7">
      <w:pPr>
        <w:pStyle w:val="oj-normal"/>
        <w:numPr>
          <w:ilvl w:val="0"/>
          <w:numId w:val="2"/>
        </w:numPr>
        <w:spacing w:before="0" w:beforeAutospacing="0" w:after="0" w:afterAutospacing="0"/>
        <w:ind w:firstLine="567"/>
        <w:jc w:val="both"/>
        <w:rPr>
          <w:lang w:val="ro-RO" w:eastAsia="en-US"/>
        </w:rPr>
      </w:pPr>
      <w:r w:rsidRPr="00D43281">
        <w:rPr>
          <w:lang w:val="ru-MD" w:eastAsia="en-US"/>
        </w:rPr>
        <w:t>В отступление от пункта 19, п</w:t>
      </w:r>
      <w:r w:rsidRPr="00D43281">
        <w:rPr>
          <w:lang w:val="ru-MD" w:eastAsia="ro-MD"/>
        </w:rPr>
        <w:t>одверженности перед региональными администрациями, местными органами</w:t>
      </w:r>
      <w:r w:rsidRPr="00D43281">
        <w:rPr>
          <w:lang w:val="ru-MD"/>
        </w:rPr>
        <w:t xml:space="preserve"> и </w:t>
      </w:r>
      <w:r w:rsidRPr="00D43281">
        <w:rPr>
          <w:lang w:val="ru-MD" w:eastAsia="ro-MD"/>
        </w:rPr>
        <w:t>субъектами публичного сектора</w:t>
      </w:r>
      <w:r w:rsidRPr="00D43281">
        <w:rPr>
          <w:lang w:val="ru-MD" w:eastAsia="en-US"/>
        </w:rPr>
        <w:t xml:space="preserve"> относятся к классу подверженностей, указанному в пункте 19.1, если эти </w:t>
      </w:r>
      <w:r w:rsidRPr="00D43281">
        <w:rPr>
          <w:lang w:val="ru-MD"/>
        </w:rPr>
        <w:t>подверженности</w:t>
      </w:r>
      <w:r w:rsidRPr="00D43281">
        <w:rPr>
          <w:lang w:val="ru-MD" w:eastAsia="en-US"/>
        </w:rPr>
        <w:t xml:space="preserve"> рассматриваются как </w:t>
      </w:r>
      <w:r w:rsidRPr="00D43281">
        <w:rPr>
          <w:lang w:val="ru-MD"/>
        </w:rPr>
        <w:t>подверженности</w:t>
      </w:r>
      <w:r w:rsidRPr="00D43281">
        <w:rPr>
          <w:lang w:val="ru-MD" w:eastAsia="en-US"/>
        </w:rPr>
        <w:t xml:space="preserve"> перед центральными администрациями в соответствии с Регламентом № 111/2018</w:t>
      </w:r>
      <w:r w:rsidR="006606F0" w:rsidRPr="00D43281">
        <w:rPr>
          <w:lang w:val="ro-RO" w:eastAsia="en-US"/>
        </w:rPr>
        <w:t>.</w:t>
      </w:r>
    </w:p>
    <w:p w14:paraId="607EDD34" w14:textId="504975D7" w:rsidR="006606F0" w:rsidRPr="00D43281" w:rsidRDefault="00223D71" w:rsidP="00E90A53">
      <w:pPr>
        <w:pStyle w:val="ListParagraph"/>
        <w:numPr>
          <w:ilvl w:val="0"/>
          <w:numId w:val="2"/>
        </w:numPr>
        <w:spacing w:line="240" w:lineRule="auto"/>
        <w:ind w:firstLine="567"/>
        <w:jc w:val="both"/>
        <w:rPr>
          <w:rFonts w:ascii="Times New Roman" w:hAnsi="Times New Roman" w:cs="Times New Roman"/>
          <w:sz w:val="24"/>
          <w:szCs w:val="24"/>
          <w:lang w:val="ro-RO"/>
        </w:rPr>
      </w:pPr>
      <w:bookmarkStart w:id="31" w:name="_Ref214979399"/>
      <w:r w:rsidRPr="00D43281">
        <w:rPr>
          <w:rFonts w:ascii="Times New Roman" w:hAnsi="Times New Roman" w:cs="Times New Roman"/>
          <w:sz w:val="24"/>
          <w:szCs w:val="24"/>
          <w:lang w:val="ru-MD"/>
        </w:rPr>
        <w:t xml:space="preserve">Следующие подверженности относятся к классу подверженности, предусмотренному в пункте </w:t>
      </w:r>
      <w:r w:rsidR="00F43FFA" w:rsidRPr="00D43281">
        <w:rPr>
          <w:rFonts w:ascii="Times New Roman" w:hAnsi="Times New Roman" w:cs="Times New Roman"/>
          <w:sz w:val="24"/>
          <w:szCs w:val="24"/>
          <w:lang w:val="ro-RO"/>
        </w:rPr>
        <w:fldChar w:fldCharType="begin"/>
      </w:r>
      <w:r w:rsidR="00F43FFA" w:rsidRPr="00D43281">
        <w:rPr>
          <w:rFonts w:ascii="Times New Roman" w:hAnsi="Times New Roman" w:cs="Times New Roman"/>
          <w:sz w:val="24"/>
          <w:szCs w:val="24"/>
          <w:lang w:val="ro-RO"/>
        </w:rPr>
        <w:instrText xml:space="preserve"> REF _Ref214974754 \r \h </w:instrText>
      </w:r>
      <w:r w:rsidR="00690224" w:rsidRPr="00D43281">
        <w:rPr>
          <w:rFonts w:ascii="Times New Roman" w:hAnsi="Times New Roman" w:cs="Times New Roman"/>
          <w:sz w:val="24"/>
          <w:szCs w:val="24"/>
          <w:lang w:val="ro-RO"/>
        </w:rPr>
        <w:instrText xml:space="preserve"> \* MERGEFORMAT </w:instrText>
      </w:r>
      <w:r w:rsidR="00F43FFA" w:rsidRPr="00D43281">
        <w:rPr>
          <w:rFonts w:ascii="Times New Roman" w:hAnsi="Times New Roman" w:cs="Times New Roman"/>
          <w:sz w:val="24"/>
          <w:szCs w:val="24"/>
          <w:lang w:val="ro-RO"/>
        </w:rPr>
      </w:r>
      <w:r w:rsidR="00F43FFA" w:rsidRPr="00D43281">
        <w:rPr>
          <w:rFonts w:ascii="Times New Roman" w:hAnsi="Times New Roman" w:cs="Times New Roman"/>
          <w:sz w:val="24"/>
          <w:szCs w:val="24"/>
          <w:lang w:val="ro-RO"/>
        </w:rPr>
        <w:fldChar w:fldCharType="separate"/>
      </w:r>
      <w:r w:rsidR="00361BB1" w:rsidRPr="00D43281">
        <w:rPr>
          <w:rFonts w:ascii="Times New Roman" w:hAnsi="Times New Roman" w:cs="Times New Roman"/>
          <w:sz w:val="24"/>
          <w:szCs w:val="24"/>
          <w:lang w:val="ro-RO"/>
        </w:rPr>
        <w:t>19.2</w:t>
      </w:r>
      <w:r w:rsidR="00F43FFA" w:rsidRPr="00D43281">
        <w:rPr>
          <w:rFonts w:ascii="Times New Roman" w:hAnsi="Times New Roman" w:cs="Times New Roman"/>
          <w:sz w:val="24"/>
          <w:szCs w:val="24"/>
          <w:lang w:val="ro-RO"/>
        </w:rPr>
        <w:fldChar w:fldCharType="end"/>
      </w:r>
      <w:r w:rsidR="006606F0" w:rsidRPr="00D43281">
        <w:rPr>
          <w:rFonts w:ascii="Times New Roman" w:hAnsi="Times New Roman" w:cs="Times New Roman"/>
          <w:sz w:val="24"/>
          <w:szCs w:val="24"/>
          <w:lang w:val="ro-RO"/>
        </w:rPr>
        <w:t>:</w:t>
      </w:r>
      <w:bookmarkEnd w:id="31"/>
    </w:p>
    <w:p w14:paraId="7DF8EDA7" w14:textId="215AFF79" w:rsidR="006606F0" w:rsidRPr="00D43281" w:rsidRDefault="00223D71" w:rsidP="00E90A53">
      <w:pPr>
        <w:pStyle w:val="ListParagraph"/>
        <w:numPr>
          <w:ilvl w:val="1"/>
          <w:numId w:val="2"/>
        </w:numPr>
        <w:spacing w:line="240" w:lineRule="auto"/>
        <w:ind w:left="0"/>
        <w:jc w:val="both"/>
        <w:rPr>
          <w:rFonts w:ascii="Times New Roman" w:hAnsi="Times New Roman" w:cs="Times New Roman"/>
          <w:sz w:val="24"/>
          <w:szCs w:val="24"/>
          <w:lang w:val="ru-MD"/>
        </w:rPr>
      </w:pPr>
      <w:r w:rsidRPr="00D43281">
        <w:rPr>
          <w:rFonts w:ascii="Times New Roman" w:eastAsia="Times New Roman" w:hAnsi="Times New Roman"/>
          <w:sz w:val="24"/>
          <w:szCs w:val="24"/>
          <w:lang w:val="ru-MD" w:eastAsia="ro-MD"/>
        </w:rPr>
        <w:t>Подверженности перед банками многостороннего развития,</w:t>
      </w:r>
      <w:r w:rsidRPr="00D43281">
        <w:rPr>
          <w:rFonts w:ascii="Times New Roman" w:hAnsi="Times New Roman" w:cs="Times New Roman"/>
          <w:sz w:val="24"/>
          <w:szCs w:val="24"/>
          <w:lang w:val="ru-MD"/>
        </w:rPr>
        <w:t xml:space="preserve"> которым не присваивается весовой коэффициент риска 0% в соответствии с Регламентом № 111/2018; и </w:t>
      </w:r>
    </w:p>
    <w:p w14:paraId="51C210BC" w14:textId="2D3A92F2" w:rsidR="006606F0" w:rsidRPr="00D43281" w:rsidRDefault="00223D71" w:rsidP="00E90A53">
      <w:pPr>
        <w:pStyle w:val="ListParagraph"/>
        <w:numPr>
          <w:ilvl w:val="1"/>
          <w:numId w:val="2"/>
        </w:numPr>
        <w:spacing w:line="240" w:lineRule="auto"/>
        <w:ind w:left="0"/>
        <w:jc w:val="both"/>
        <w:rPr>
          <w:rFonts w:ascii="Times New Roman" w:hAnsi="Times New Roman" w:cs="Times New Roman"/>
          <w:sz w:val="24"/>
          <w:szCs w:val="24"/>
          <w:lang w:val="ru-MD"/>
        </w:rPr>
      </w:pPr>
      <w:r w:rsidRPr="00D43281">
        <w:rPr>
          <w:rFonts w:ascii="Times New Roman" w:eastAsia="Times New Roman" w:hAnsi="Times New Roman"/>
          <w:sz w:val="24"/>
          <w:szCs w:val="24"/>
          <w:lang w:val="ru-MD" w:eastAsia="ro-MD"/>
        </w:rPr>
        <w:t>Подверженности</w:t>
      </w:r>
      <w:r w:rsidRPr="00D43281">
        <w:rPr>
          <w:rFonts w:ascii="Times New Roman" w:hAnsi="Times New Roman" w:cs="Times New Roman"/>
          <w:sz w:val="24"/>
          <w:szCs w:val="24"/>
          <w:lang w:val="ru-MD"/>
        </w:rPr>
        <w:t>, рассматриваемые как п</w:t>
      </w:r>
      <w:r w:rsidRPr="00D43281">
        <w:rPr>
          <w:rFonts w:ascii="Times New Roman" w:eastAsia="Times New Roman" w:hAnsi="Times New Roman"/>
          <w:sz w:val="24"/>
          <w:szCs w:val="24"/>
          <w:lang w:val="ru-MD" w:eastAsia="ro-MD"/>
        </w:rPr>
        <w:t>одверженности</w:t>
      </w:r>
      <w:r w:rsidRPr="00D43281">
        <w:rPr>
          <w:rFonts w:ascii="Times New Roman" w:hAnsi="Times New Roman" w:cs="Times New Roman"/>
          <w:sz w:val="24"/>
          <w:szCs w:val="24"/>
          <w:lang w:val="ru-MD"/>
        </w:rPr>
        <w:t xml:space="preserve"> перед банками в соответствии с пунктом 51 Регламента № 111/2018</w:t>
      </w:r>
      <w:r w:rsidR="006606F0" w:rsidRPr="00D43281">
        <w:rPr>
          <w:rFonts w:ascii="Times New Roman" w:hAnsi="Times New Roman" w:cs="Times New Roman"/>
          <w:sz w:val="24"/>
          <w:szCs w:val="24"/>
          <w:lang w:val="ru-MD"/>
        </w:rPr>
        <w:t>.</w:t>
      </w:r>
    </w:p>
    <w:p w14:paraId="1D08D9E3" w14:textId="02FE33FF" w:rsidR="006606F0" w:rsidRPr="00D43281" w:rsidRDefault="00223D71" w:rsidP="00E90A53">
      <w:pPr>
        <w:pStyle w:val="ListParagraph"/>
        <w:numPr>
          <w:ilvl w:val="0"/>
          <w:numId w:val="2"/>
        </w:numPr>
        <w:spacing w:line="240" w:lineRule="auto"/>
        <w:ind w:firstLine="567"/>
        <w:jc w:val="both"/>
        <w:rPr>
          <w:rFonts w:ascii="Times New Roman" w:hAnsi="Times New Roman" w:cs="Times New Roman"/>
          <w:sz w:val="24"/>
          <w:szCs w:val="24"/>
          <w:lang w:val="ru-MD"/>
        </w:rPr>
      </w:pPr>
      <w:bookmarkStart w:id="32" w:name="_Ref214979628"/>
      <w:r w:rsidRPr="00D43281">
        <w:rPr>
          <w:rFonts w:ascii="Times New Roman" w:hAnsi="Times New Roman" w:cs="Times New Roman"/>
          <w:sz w:val="24"/>
          <w:szCs w:val="24"/>
          <w:lang w:val="ru-MD"/>
        </w:rPr>
        <w:t>Чтобы быть отнесенными к классу подверженностей розничного типа, предусмотренному в пункте 19.5, подверженности должны соответствовать следующим критериям</w:t>
      </w:r>
      <w:r w:rsidR="006606F0" w:rsidRPr="00D43281">
        <w:rPr>
          <w:rFonts w:ascii="Times New Roman" w:hAnsi="Times New Roman" w:cs="Times New Roman"/>
          <w:sz w:val="24"/>
          <w:szCs w:val="24"/>
          <w:lang w:val="ru-MD"/>
        </w:rPr>
        <w:t>:</w:t>
      </w:r>
      <w:r w:rsidR="00D143AA" w:rsidRPr="00D43281">
        <w:rPr>
          <w:rFonts w:ascii="Times New Roman" w:hAnsi="Times New Roman" w:cs="Times New Roman"/>
          <w:color w:val="000000" w:themeColor="text1"/>
          <w:sz w:val="24"/>
          <w:szCs w:val="24"/>
          <w:highlight w:val="lightGray"/>
          <w:lang w:val="ru-MD"/>
        </w:rPr>
        <w:t xml:space="preserve"> </w:t>
      </w:r>
      <w:bookmarkEnd w:id="32"/>
    </w:p>
    <w:p w14:paraId="779B87EB" w14:textId="4D7FB893" w:rsidR="006606F0" w:rsidRPr="00D43281" w:rsidRDefault="00155818" w:rsidP="00E90A53">
      <w:pPr>
        <w:pStyle w:val="ListParagraph"/>
        <w:numPr>
          <w:ilvl w:val="1"/>
          <w:numId w:val="2"/>
        </w:numPr>
        <w:spacing w:line="240" w:lineRule="auto"/>
        <w:ind w:left="0"/>
        <w:jc w:val="both"/>
        <w:rPr>
          <w:rFonts w:ascii="Times New Roman" w:hAnsi="Times New Roman" w:cs="Times New Roman"/>
          <w:sz w:val="24"/>
          <w:szCs w:val="24"/>
          <w:lang w:val="ro-RO"/>
        </w:rPr>
      </w:pPr>
      <w:r w:rsidRPr="00D43281">
        <w:rPr>
          <w:rFonts w:ascii="Times New Roman" w:hAnsi="Times New Roman" w:cs="Times New Roman"/>
          <w:sz w:val="24"/>
          <w:szCs w:val="24"/>
          <w:lang w:val="ru-RU"/>
        </w:rPr>
        <w:t>Это подверженности перед</w:t>
      </w:r>
      <w:r w:rsidR="006606F0" w:rsidRPr="00D43281">
        <w:rPr>
          <w:rFonts w:ascii="Times New Roman" w:hAnsi="Times New Roman" w:cs="Times New Roman"/>
          <w:sz w:val="24"/>
          <w:szCs w:val="24"/>
          <w:lang w:val="ro-RO"/>
        </w:rPr>
        <w:t>:</w:t>
      </w:r>
    </w:p>
    <w:p w14:paraId="24BA33E4" w14:textId="6CCB476B" w:rsidR="006606F0" w:rsidRPr="00D43281" w:rsidRDefault="008E1662" w:rsidP="00E90A53">
      <w:pPr>
        <w:pStyle w:val="ListParagraph"/>
        <w:numPr>
          <w:ilvl w:val="2"/>
          <w:numId w:val="2"/>
        </w:numPr>
        <w:spacing w:line="240" w:lineRule="auto"/>
        <w:ind w:left="0"/>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 xml:space="preserve">Одним </w:t>
      </w:r>
      <w:r w:rsidR="00155818" w:rsidRPr="00D43281">
        <w:rPr>
          <w:rFonts w:ascii="Times New Roman" w:hAnsi="Times New Roman" w:cs="Times New Roman"/>
          <w:sz w:val="24"/>
          <w:szCs w:val="24"/>
          <w:lang w:val="ru-MD"/>
        </w:rPr>
        <w:t>или несколькими физическими лицами</w:t>
      </w:r>
      <w:r w:rsidR="006606F0" w:rsidRPr="00D43281">
        <w:rPr>
          <w:rFonts w:ascii="Times New Roman" w:hAnsi="Times New Roman" w:cs="Times New Roman"/>
          <w:sz w:val="24"/>
          <w:szCs w:val="24"/>
          <w:lang w:val="ru-MD"/>
        </w:rPr>
        <w:t>;</w:t>
      </w:r>
    </w:p>
    <w:p w14:paraId="16656C80" w14:textId="45265943" w:rsidR="006606F0" w:rsidRPr="00D43281" w:rsidRDefault="00CD73C3" w:rsidP="00E90A53">
      <w:pPr>
        <w:pStyle w:val="ListParagraph"/>
        <w:numPr>
          <w:ilvl w:val="2"/>
          <w:numId w:val="2"/>
        </w:numPr>
        <w:spacing w:line="240" w:lineRule="auto"/>
        <w:ind w:left="0"/>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 xml:space="preserve">Малое или среднее предприятие (МСП), при условии, что общая сумма задолженности перед банком, а также перед материнскими обществами и их дочерними предприятиями, включая любые просроченные обязательства, со стороны заемщика или группы связанных клиентов, но исключая подверженности, обеспеченные жилой недвижимостью, в пределах стоимости такой недвижимости, не превышала, согласно информации, имеющейся у банка, который принимает необходимые меры для проверки размера соответствующего риска, сумму, эквивалентную </w:t>
      </w:r>
      <w:r w:rsidR="007756E3" w:rsidRPr="007756E3">
        <w:rPr>
          <w:rFonts w:ascii="Times New Roman" w:hAnsi="Times New Roman" w:cs="Times New Roman"/>
          <w:sz w:val="24"/>
          <w:szCs w:val="24"/>
          <w:lang w:val="ru-MD"/>
        </w:rPr>
        <w:t>1 млн евро в молдавских леях</w:t>
      </w:r>
      <w:r w:rsidR="00FC22DC" w:rsidRPr="00D43281">
        <w:rPr>
          <w:rFonts w:ascii="Times New Roman" w:hAnsi="Times New Roman" w:cs="Times New Roman"/>
          <w:sz w:val="24"/>
          <w:szCs w:val="24"/>
          <w:lang w:val="ru-MD"/>
        </w:rPr>
        <w:t>;</w:t>
      </w:r>
      <w:r w:rsidR="006A173E" w:rsidRPr="00D43281">
        <w:rPr>
          <w:rFonts w:ascii="Times New Roman" w:hAnsi="Times New Roman" w:cs="Times New Roman"/>
          <w:color w:val="000000" w:themeColor="text1"/>
          <w:sz w:val="24"/>
          <w:szCs w:val="24"/>
          <w:lang w:val="ru-MD"/>
        </w:rPr>
        <w:t xml:space="preserve"> </w:t>
      </w:r>
    </w:p>
    <w:p w14:paraId="4C002698" w14:textId="238AF6DF" w:rsidR="006606F0" w:rsidRPr="00D43281" w:rsidRDefault="00CD73C3" w:rsidP="00E90A53">
      <w:pPr>
        <w:pStyle w:val="ListParagraph"/>
        <w:numPr>
          <w:ilvl w:val="2"/>
          <w:numId w:val="2"/>
        </w:numPr>
        <w:spacing w:line="240" w:lineRule="auto"/>
        <w:ind w:left="0"/>
        <w:jc w:val="both"/>
        <w:rPr>
          <w:rFonts w:ascii="Times New Roman" w:hAnsi="Times New Roman" w:cs="Times New Roman"/>
          <w:sz w:val="24"/>
          <w:szCs w:val="24"/>
          <w:lang w:val="ru-MD"/>
        </w:rPr>
      </w:pPr>
      <w:bookmarkStart w:id="33" w:name="_Ref214979660"/>
      <w:r w:rsidRPr="00D43281">
        <w:rPr>
          <w:rFonts w:ascii="Times New Roman" w:hAnsi="Times New Roman" w:cs="Times New Roman"/>
          <w:sz w:val="24"/>
          <w:szCs w:val="24"/>
          <w:lang w:val="ru-MD"/>
        </w:rPr>
        <w:t>Являются подверженностями, обеспеченными жилой недвижимостью, включая права на первоочередную и последующую ипотеку, срочные кредиты, возобновляемые кредитные линии для личных нужд, обеспеченные недвижимостью, и подверженности, указанные в Регламенте № 112/2018 о техниках снижения кредитного риска, независимо от размера подверженности, при условии, что подверженность относится к одной из следующих категорий</w:t>
      </w:r>
      <w:r w:rsidR="006606F0" w:rsidRPr="00D43281">
        <w:rPr>
          <w:rFonts w:ascii="Times New Roman" w:hAnsi="Times New Roman" w:cs="Times New Roman"/>
          <w:sz w:val="24"/>
          <w:szCs w:val="24"/>
          <w:lang w:val="ru-MD"/>
        </w:rPr>
        <w:t>:</w:t>
      </w:r>
      <w:r w:rsidR="006A173E" w:rsidRPr="00D43281">
        <w:rPr>
          <w:rFonts w:ascii="Times New Roman" w:hAnsi="Times New Roman" w:cs="Times New Roman"/>
          <w:color w:val="000000" w:themeColor="text1"/>
          <w:sz w:val="24"/>
          <w:szCs w:val="24"/>
          <w:highlight w:val="lightGray"/>
          <w:lang w:val="ru-MD"/>
        </w:rPr>
        <w:t xml:space="preserve"> </w:t>
      </w:r>
      <w:bookmarkEnd w:id="33"/>
    </w:p>
    <w:p w14:paraId="3CD5629F" w14:textId="3AFE97D1" w:rsidR="006606F0" w:rsidRPr="00D43281" w:rsidRDefault="00CD73C3" w:rsidP="00E90A53">
      <w:pPr>
        <w:pStyle w:val="ListParagraph"/>
        <w:numPr>
          <w:ilvl w:val="3"/>
          <w:numId w:val="2"/>
        </w:numPr>
        <w:spacing w:line="240" w:lineRule="auto"/>
        <w:ind w:left="0"/>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Подверженность перед физическим лицом</w:t>
      </w:r>
      <w:r w:rsidR="006606F0" w:rsidRPr="00D43281">
        <w:rPr>
          <w:rFonts w:ascii="Times New Roman" w:hAnsi="Times New Roman" w:cs="Times New Roman"/>
          <w:sz w:val="24"/>
          <w:szCs w:val="24"/>
          <w:lang w:val="ru-MD"/>
        </w:rPr>
        <w:t>;</w:t>
      </w:r>
    </w:p>
    <w:p w14:paraId="61353996" w14:textId="4A8E86B7" w:rsidR="006606F0" w:rsidRPr="00D43281" w:rsidRDefault="00571C05" w:rsidP="00E90A53">
      <w:pPr>
        <w:pStyle w:val="ListParagraph"/>
        <w:numPr>
          <w:ilvl w:val="3"/>
          <w:numId w:val="2"/>
        </w:numPr>
        <w:spacing w:line="240" w:lineRule="auto"/>
        <w:ind w:left="0"/>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 xml:space="preserve">Подверженность перед ассоциациями или кооперативами физических лиц, деятельность которых регулируется национальным законодательством и единственной </w:t>
      </w:r>
      <w:r w:rsidRPr="00D43281">
        <w:rPr>
          <w:rFonts w:ascii="Times New Roman" w:hAnsi="Times New Roman" w:cs="Times New Roman"/>
          <w:sz w:val="24"/>
          <w:szCs w:val="24"/>
          <w:lang w:val="ru-MD"/>
        </w:rPr>
        <w:lastRenderedPageBreak/>
        <w:t>целью которых является предоставление своим членам права пользования основным жильем в объекте недвижимости, выступающем в качестве обеспечения кредита</w:t>
      </w:r>
      <w:r w:rsidR="006606F0" w:rsidRPr="00D43281">
        <w:rPr>
          <w:rFonts w:ascii="Times New Roman" w:hAnsi="Times New Roman" w:cs="Times New Roman"/>
          <w:sz w:val="24"/>
          <w:szCs w:val="24"/>
          <w:lang w:val="ru-MD"/>
        </w:rPr>
        <w:t>;</w:t>
      </w:r>
    </w:p>
    <w:p w14:paraId="51EF28CD" w14:textId="1FF34FBE" w:rsidR="006606F0" w:rsidRPr="00D43281" w:rsidRDefault="00571C05" w:rsidP="00E90A53">
      <w:pPr>
        <w:pStyle w:val="ListParagraph"/>
        <w:numPr>
          <w:ilvl w:val="1"/>
          <w:numId w:val="2"/>
        </w:numPr>
        <w:spacing w:line="240" w:lineRule="auto"/>
        <w:ind w:left="0"/>
        <w:jc w:val="both"/>
        <w:rPr>
          <w:rFonts w:ascii="Times New Roman" w:hAnsi="Times New Roman" w:cs="Times New Roman"/>
          <w:sz w:val="24"/>
          <w:szCs w:val="24"/>
          <w:lang w:val="ru-MD"/>
        </w:rPr>
      </w:pPr>
      <w:bookmarkStart w:id="34" w:name="_Ref214979685"/>
      <w:r w:rsidRPr="00D43281">
        <w:rPr>
          <w:rFonts w:ascii="Times New Roman" w:hAnsi="Times New Roman" w:cs="Times New Roman"/>
          <w:sz w:val="24"/>
          <w:szCs w:val="24"/>
          <w:lang w:val="ru-MD"/>
        </w:rPr>
        <w:t>Рассматриваются банком в рамках процесса управления рисками последовательно во времени и аналогичным образом</w:t>
      </w:r>
      <w:r w:rsidR="006606F0" w:rsidRPr="00D43281">
        <w:rPr>
          <w:rFonts w:ascii="Times New Roman" w:hAnsi="Times New Roman" w:cs="Times New Roman"/>
          <w:sz w:val="24"/>
          <w:szCs w:val="24"/>
          <w:lang w:val="ru-MD"/>
        </w:rPr>
        <w:t>;</w:t>
      </w:r>
      <w:r w:rsidR="006A173E" w:rsidRPr="00D43281">
        <w:rPr>
          <w:rFonts w:ascii="Times New Roman" w:hAnsi="Times New Roman" w:cs="Times New Roman"/>
          <w:color w:val="000000" w:themeColor="text1"/>
          <w:sz w:val="24"/>
          <w:szCs w:val="24"/>
          <w:highlight w:val="lightGray"/>
          <w:lang w:val="ru-MD"/>
        </w:rPr>
        <w:t xml:space="preserve"> </w:t>
      </w:r>
      <w:bookmarkEnd w:id="34"/>
    </w:p>
    <w:p w14:paraId="5EFD1D3B" w14:textId="220ECA74" w:rsidR="006606F0" w:rsidRPr="00D43281" w:rsidRDefault="00571C05" w:rsidP="00E90A53">
      <w:pPr>
        <w:pStyle w:val="ListParagraph"/>
        <w:numPr>
          <w:ilvl w:val="1"/>
          <w:numId w:val="2"/>
        </w:numPr>
        <w:spacing w:after="0" w:line="240" w:lineRule="auto"/>
        <w:ind w:left="0"/>
        <w:jc w:val="both"/>
        <w:rPr>
          <w:rFonts w:ascii="Times New Roman" w:hAnsi="Times New Roman" w:cs="Times New Roman"/>
          <w:sz w:val="24"/>
          <w:szCs w:val="24"/>
          <w:lang w:val="ru-MD"/>
        </w:rPr>
      </w:pPr>
      <w:bookmarkStart w:id="35" w:name="_Ref214979694"/>
      <w:r w:rsidRPr="00D43281">
        <w:rPr>
          <w:rFonts w:ascii="Times New Roman" w:hAnsi="Times New Roman" w:cs="Times New Roman"/>
          <w:sz w:val="24"/>
          <w:szCs w:val="24"/>
          <w:lang w:val="ru-MD"/>
        </w:rPr>
        <w:t xml:space="preserve">Не управляются исключительно в индивидуальном порядке как подверженности, относящиеся к классам подверженностей перед обществами, указанным в подпунктах 19.4.1, 19.4.2 или </w:t>
      </w:r>
      <w:r w:rsidR="009A4A7A" w:rsidRPr="00D43281">
        <w:rPr>
          <w:rFonts w:ascii="Times New Roman" w:hAnsi="Times New Roman" w:cs="Times New Roman"/>
          <w:sz w:val="24"/>
          <w:szCs w:val="24"/>
          <w:lang w:val="ru-MD"/>
        </w:rPr>
        <w:fldChar w:fldCharType="begin"/>
      </w:r>
      <w:r w:rsidR="009A4A7A" w:rsidRPr="00D43281">
        <w:rPr>
          <w:rFonts w:ascii="Times New Roman" w:hAnsi="Times New Roman" w:cs="Times New Roman"/>
          <w:sz w:val="24"/>
          <w:szCs w:val="24"/>
          <w:lang w:val="ru-MD"/>
        </w:rPr>
        <w:instrText xml:space="preserve"> REF _Ref214979065 \r \h </w:instrText>
      </w:r>
      <w:r w:rsidR="00690224" w:rsidRPr="00D43281">
        <w:rPr>
          <w:rFonts w:ascii="Times New Roman" w:hAnsi="Times New Roman" w:cs="Times New Roman"/>
          <w:sz w:val="24"/>
          <w:szCs w:val="24"/>
          <w:lang w:val="ru-MD"/>
        </w:rPr>
        <w:instrText xml:space="preserve"> \* MERGEFORMAT </w:instrText>
      </w:r>
      <w:r w:rsidR="009A4A7A" w:rsidRPr="00D43281">
        <w:rPr>
          <w:rFonts w:ascii="Times New Roman" w:hAnsi="Times New Roman" w:cs="Times New Roman"/>
          <w:sz w:val="24"/>
          <w:szCs w:val="24"/>
          <w:lang w:val="ru-MD"/>
        </w:rPr>
      </w:r>
      <w:r w:rsidR="009A4A7A" w:rsidRPr="00D43281">
        <w:rPr>
          <w:rFonts w:ascii="Times New Roman" w:hAnsi="Times New Roman" w:cs="Times New Roman"/>
          <w:sz w:val="24"/>
          <w:szCs w:val="24"/>
          <w:lang w:val="ru-MD"/>
        </w:rPr>
        <w:fldChar w:fldCharType="separate"/>
      </w:r>
      <w:r w:rsidR="00361BB1" w:rsidRPr="00D43281">
        <w:rPr>
          <w:rFonts w:ascii="Times New Roman" w:hAnsi="Times New Roman" w:cs="Times New Roman"/>
          <w:sz w:val="24"/>
          <w:szCs w:val="24"/>
          <w:lang w:val="ru-MD"/>
        </w:rPr>
        <w:t>19.4.3</w:t>
      </w:r>
      <w:r w:rsidR="009A4A7A" w:rsidRPr="00D43281">
        <w:rPr>
          <w:rFonts w:ascii="Times New Roman" w:hAnsi="Times New Roman" w:cs="Times New Roman"/>
          <w:sz w:val="24"/>
          <w:szCs w:val="24"/>
          <w:lang w:val="ru-MD"/>
        </w:rPr>
        <w:fldChar w:fldCharType="end"/>
      </w:r>
      <w:r w:rsidR="006606F0" w:rsidRPr="00D43281">
        <w:rPr>
          <w:rFonts w:ascii="Times New Roman" w:hAnsi="Times New Roman" w:cs="Times New Roman"/>
          <w:sz w:val="24"/>
          <w:szCs w:val="24"/>
          <w:lang w:val="ru-MD"/>
        </w:rPr>
        <w:t>;</w:t>
      </w:r>
      <w:r w:rsidR="006A173E" w:rsidRPr="00D43281">
        <w:rPr>
          <w:rFonts w:ascii="Times New Roman" w:hAnsi="Times New Roman" w:cs="Times New Roman"/>
          <w:color w:val="000000" w:themeColor="text1"/>
          <w:sz w:val="24"/>
          <w:szCs w:val="24"/>
          <w:highlight w:val="lightGray"/>
          <w:lang w:val="ru-MD"/>
        </w:rPr>
        <w:t xml:space="preserve"> </w:t>
      </w:r>
      <w:bookmarkEnd w:id="35"/>
    </w:p>
    <w:p w14:paraId="2F575BB1" w14:textId="1AA1E7A9" w:rsidR="006606F0" w:rsidRPr="00D43281" w:rsidRDefault="00950299" w:rsidP="00E90A53">
      <w:pPr>
        <w:pStyle w:val="ListParagraph"/>
        <w:numPr>
          <w:ilvl w:val="1"/>
          <w:numId w:val="2"/>
        </w:numPr>
        <w:spacing w:after="0" w:line="240" w:lineRule="auto"/>
        <w:ind w:left="0"/>
        <w:contextualSpacing w:val="0"/>
        <w:jc w:val="both"/>
        <w:rPr>
          <w:rFonts w:ascii="Times New Roman" w:hAnsi="Times New Roman" w:cs="Times New Roman"/>
          <w:sz w:val="24"/>
          <w:szCs w:val="24"/>
          <w:lang w:val="ru-MD"/>
        </w:rPr>
      </w:pPr>
      <w:bookmarkStart w:id="36" w:name="_Ref214979704"/>
      <w:r w:rsidRPr="00D43281">
        <w:rPr>
          <w:rFonts w:ascii="Times New Roman" w:hAnsi="Times New Roman" w:cs="Times New Roman"/>
          <w:sz w:val="24"/>
          <w:szCs w:val="24"/>
          <w:lang w:val="ru-MD"/>
        </w:rPr>
        <w:t>Каждая из них представляет собой одну из значительного числа подверженностей, которые управляются аналогичным образом</w:t>
      </w:r>
      <w:r w:rsidR="006606F0" w:rsidRPr="00D43281">
        <w:rPr>
          <w:rFonts w:ascii="Times New Roman" w:hAnsi="Times New Roman" w:cs="Times New Roman"/>
          <w:sz w:val="24"/>
          <w:szCs w:val="24"/>
          <w:lang w:val="ru-MD"/>
        </w:rPr>
        <w:t>.</w:t>
      </w:r>
      <w:r w:rsidR="006A173E" w:rsidRPr="00D43281">
        <w:rPr>
          <w:rFonts w:ascii="Times New Roman" w:hAnsi="Times New Roman" w:cs="Times New Roman"/>
          <w:color w:val="000000" w:themeColor="text1"/>
          <w:sz w:val="24"/>
          <w:szCs w:val="24"/>
          <w:highlight w:val="lightGray"/>
          <w:lang w:val="ru-MD"/>
        </w:rPr>
        <w:t xml:space="preserve"> </w:t>
      </w:r>
      <w:bookmarkEnd w:id="36"/>
    </w:p>
    <w:p w14:paraId="262C5704" w14:textId="118D1F95" w:rsidR="00950299" w:rsidRPr="00D43281" w:rsidRDefault="00950299" w:rsidP="00E90A53">
      <w:pPr>
        <w:pStyle w:val="ListParagraph"/>
        <w:numPr>
          <w:ilvl w:val="0"/>
          <w:numId w:val="2"/>
        </w:numPr>
        <w:spacing w:line="240" w:lineRule="auto"/>
        <w:ind w:firstLine="567"/>
        <w:jc w:val="both"/>
        <w:rPr>
          <w:rFonts w:ascii="Times New Roman" w:hAnsi="Times New Roman" w:cs="Times New Roman"/>
          <w:sz w:val="24"/>
          <w:szCs w:val="24"/>
          <w:lang w:val="ru-RU"/>
        </w:rPr>
      </w:pPr>
      <w:r w:rsidRPr="00D43281">
        <w:rPr>
          <w:rFonts w:ascii="Times New Roman" w:hAnsi="Times New Roman" w:cs="Times New Roman"/>
          <w:sz w:val="24"/>
          <w:szCs w:val="24"/>
          <w:lang w:val="ru-RU"/>
        </w:rPr>
        <w:t>В дополнение к подверженностям, перечисленным в пункте 23, приведённая к текущей стоимости сумма минимальных платежей по договорам розничной аренды включается в класс розничных подверженностей.</w:t>
      </w:r>
    </w:p>
    <w:p w14:paraId="337BA999" w14:textId="25BA8421" w:rsidR="00950299" w:rsidRPr="00D43281" w:rsidRDefault="00950299" w:rsidP="00E90A53">
      <w:pPr>
        <w:pStyle w:val="ListParagraph"/>
        <w:numPr>
          <w:ilvl w:val="0"/>
          <w:numId w:val="2"/>
        </w:numPr>
        <w:spacing w:after="0" w:line="240" w:lineRule="auto"/>
        <w:ind w:firstLine="567"/>
        <w:contextualSpacing w:val="0"/>
        <w:jc w:val="both"/>
        <w:rPr>
          <w:rFonts w:ascii="Times New Roman" w:hAnsi="Times New Roman" w:cs="Times New Roman"/>
          <w:sz w:val="24"/>
          <w:szCs w:val="24"/>
          <w:lang w:val="ru-RU"/>
        </w:rPr>
      </w:pPr>
      <w:bookmarkStart w:id="37" w:name="_Ref214980287"/>
      <w:r w:rsidRPr="00D43281">
        <w:rPr>
          <w:rFonts w:ascii="Times New Roman" w:hAnsi="Times New Roman" w:cs="Times New Roman"/>
          <w:sz w:val="24"/>
          <w:szCs w:val="24"/>
          <w:lang w:val="ru-RU"/>
        </w:rPr>
        <w:t>Подверженности, отвечающие всем условиям, предусмотренным в подпункте 23.1.3 и подпунктах 23.2, 23.3 и 23.4, относятся к классу розничных подверженностей, обеспеченных жилой недвижимостью, указанному в подпункте 19.5.2.</w:t>
      </w:r>
    </w:p>
    <w:bookmarkEnd w:id="37"/>
    <w:p w14:paraId="770DC966" w14:textId="45F705C9" w:rsidR="006606F0" w:rsidRPr="00D43281" w:rsidRDefault="00950299" w:rsidP="00E90A53">
      <w:pPr>
        <w:pStyle w:val="ListParagraph"/>
        <w:numPr>
          <w:ilvl w:val="0"/>
          <w:numId w:val="2"/>
        </w:numPr>
        <w:spacing w:after="0" w:line="240" w:lineRule="auto"/>
        <w:ind w:firstLine="567"/>
        <w:contextualSpacing w:val="0"/>
        <w:jc w:val="both"/>
        <w:rPr>
          <w:rFonts w:ascii="Times New Roman" w:hAnsi="Times New Roman" w:cs="Times New Roman"/>
          <w:sz w:val="24"/>
          <w:szCs w:val="24"/>
          <w:lang w:val="ru-RU"/>
        </w:rPr>
      </w:pPr>
      <w:r w:rsidRPr="00D43281">
        <w:rPr>
          <w:rFonts w:ascii="Times New Roman" w:hAnsi="Times New Roman" w:cs="Times New Roman"/>
          <w:sz w:val="24"/>
          <w:szCs w:val="24"/>
          <w:lang w:val="ru-RU"/>
        </w:rPr>
        <w:t>В порядке исключения из пункта 25 Национальный банк Молдовы может исключить из класса розничных подверженностей, обеспеченных жилой недвижимостью, указанного в подпункте 19.5.2, кредиты, предоставленные физическим лицам, которые заложили более четырёх объектов недвижимости или жилых помещений, в том числе кредиты, предоставленные физическим лицам, указанным в Регламенте № 112/2018, и отнести эти кредиты к одному из классов подверженностей, указанных в подпунктах 19.4.1, 19.4.2 или</w:t>
      </w:r>
      <w:r w:rsidR="00692082" w:rsidRPr="00D43281">
        <w:rPr>
          <w:rFonts w:ascii="Times New Roman" w:hAnsi="Times New Roman" w:cs="Times New Roman"/>
          <w:sz w:val="24"/>
          <w:szCs w:val="24"/>
          <w:lang w:val="ru-RU"/>
        </w:rPr>
        <w:fldChar w:fldCharType="begin"/>
      </w:r>
      <w:r w:rsidR="00692082" w:rsidRPr="00D43281">
        <w:rPr>
          <w:rFonts w:ascii="Times New Roman" w:hAnsi="Times New Roman" w:cs="Times New Roman"/>
          <w:sz w:val="24"/>
          <w:szCs w:val="24"/>
          <w:lang w:val="ru-RU"/>
        </w:rPr>
        <w:instrText xml:space="preserve"> REF _Ref214979065 \r \h </w:instrText>
      </w:r>
      <w:r w:rsidR="00690224" w:rsidRPr="00D43281">
        <w:rPr>
          <w:rFonts w:ascii="Times New Roman" w:hAnsi="Times New Roman" w:cs="Times New Roman"/>
          <w:sz w:val="24"/>
          <w:szCs w:val="24"/>
          <w:lang w:val="ru-RU"/>
        </w:rPr>
        <w:instrText xml:space="preserve"> \* MERGEFORMAT </w:instrText>
      </w:r>
      <w:r w:rsidR="00692082" w:rsidRPr="00D43281">
        <w:rPr>
          <w:rFonts w:ascii="Times New Roman" w:hAnsi="Times New Roman" w:cs="Times New Roman"/>
          <w:sz w:val="24"/>
          <w:szCs w:val="24"/>
          <w:lang w:val="ru-RU"/>
        </w:rPr>
      </w:r>
      <w:r w:rsidR="00692082" w:rsidRPr="00D43281">
        <w:rPr>
          <w:rFonts w:ascii="Times New Roman" w:hAnsi="Times New Roman" w:cs="Times New Roman"/>
          <w:sz w:val="24"/>
          <w:szCs w:val="24"/>
          <w:lang w:val="ru-RU"/>
        </w:rPr>
        <w:fldChar w:fldCharType="separate"/>
      </w:r>
      <w:r w:rsidR="00361BB1" w:rsidRPr="00D43281">
        <w:rPr>
          <w:rFonts w:ascii="Times New Roman" w:hAnsi="Times New Roman" w:cs="Times New Roman"/>
          <w:sz w:val="24"/>
          <w:szCs w:val="24"/>
          <w:lang w:val="ru-RU"/>
        </w:rPr>
        <w:t>19.4.3</w:t>
      </w:r>
      <w:r w:rsidR="00692082" w:rsidRPr="00D43281">
        <w:rPr>
          <w:rFonts w:ascii="Times New Roman" w:hAnsi="Times New Roman" w:cs="Times New Roman"/>
          <w:sz w:val="24"/>
          <w:szCs w:val="24"/>
          <w:lang w:val="ru-RU"/>
        </w:rPr>
        <w:fldChar w:fldCharType="end"/>
      </w:r>
      <w:r w:rsidR="006606F0" w:rsidRPr="00D43281">
        <w:rPr>
          <w:rFonts w:ascii="Times New Roman" w:hAnsi="Times New Roman" w:cs="Times New Roman"/>
          <w:sz w:val="24"/>
          <w:szCs w:val="24"/>
          <w:lang w:val="ru-RU"/>
        </w:rPr>
        <w:t>.</w:t>
      </w:r>
      <w:r w:rsidR="006A173E" w:rsidRPr="00D43281">
        <w:rPr>
          <w:rFonts w:ascii="Times New Roman" w:hAnsi="Times New Roman" w:cs="Times New Roman"/>
          <w:color w:val="000000" w:themeColor="text1"/>
          <w:sz w:val="24"/>
          <w:szCs w:val="24"/>
          <w:highlight w:val="lightGray"/>
          <w:lang w:val="ru-RU"/>
        </w:rPr>
        <w:t xml:space="preserve"> </w:t>
      </w:r>
    </w:p>
    <w:p w14:paraId="4D3A7836" w14:textId="0E483C0E" w:rsidR="00427284" w:rsidRPr="00D43281" w:rsidRDefault="00427284" w:rsidP="00E90A53">
      <w:pPr>
        <w:pStyle w:val="oj-normal"/>
        <w:numPr>
          <w:ilvl w:val="0"/>
          <w:numId w:val="2"/>
        </w:numPr>
        <w:spacing w:before="0" w:beforeAutospacing="0" w:after="0" w:afterAutospacing="0"/>
        <w:ind w:firstLine="567"/>
        <w:jc w:val="both"/>
        <w:rPr>
          <w:lang w:val="ru-MD" w:eastAsia="en-US"/>
        </w:rPr>
      </w:pPr>
      <w:r w:rsidRPr="00D43281">
        <w:rPr>
          <w:lang w:val="ru-MD" w:eastAsia="en-US"/>
        </w:rPr>
        <w:t xml:space="preserve">Розничные подверженности, относящиеся к категории </w:t>
      </w:r>
      <w:r w:rsidRPr="00D43281">
        <w:rPr>
          <w:lang w:val="ru-MD"/>
        </w:rPr>
        <w:t>подверженностей</w:t>
      </w:r>
      <w:r w:rsidRPr="00D43281">
        <w:rPr>
          <w:lang w:val="ru-MD" w:eastAsia="en-US"/>
        </w:rPr>
        <w:t xml:space="preserve">, которые совокупно удовлетворяют следующим условиям, относятся к классу </w:t>
      </w:r>
      <w:r w:rsidRPr="00D43281">
        <w:rPr>
          <w:lang w:val="ru-MD"/>
        </w:rPr>
        <w:t>подверженностей</w:t>
      </w:r>
      <w:r w:rsidRPr="00D43281">
        <w:rPr>
          <w:lang w:val="ru-MD" w:eastAsia="en-US"/>
        </w:rPr>
        <w:t xml:space="preserve"> QRRE, указанному в пункте 19.5.1:</w:t>
      </w:r>
    </w:p>
    <w:p w14:paraId="43A4E028" w14:textId="5A3EDC46" w:rsidR="006606F0" w:rsidRPr="00D43281" w:rsidRDefault="00427284" w:rsidP="00E90A53">
      <w:pPr>
        <w:pStyle w:val="ListParagraph"/>
        <w:numPr>
          <w:ilvl w:val="1"/>
          <w:numId w:val="2"/>
        </w:numPr>
        <w:spacing w:line="240" w:lineRule="auto"/>
        <w:ind w:left="0"/>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Подверженности данного типа относятся к одному или нескольким физическим лицам</w:t>
      </w:r>
      <w:r w:rsidR="006606F0" w:rsidRPr="00D43281">
        <w:rPr>
          <w:rFonts w:ascii="Times New Roman" w:hAnsi="Times New Roman" w:cs="Times New Roman"/>
          <w:sz w:val="24"/>
          <w:szCs w:val="24"/>
          <w:lang w:val="ru-MD"/>
        </w:rPr>
        <w:t>;</w:t>
      </w:r>
      <w:r w:rsidR="006A173E" w:rsidRPr="00D43281">
        <w:rPr>
          <w:rFonts w:ascii="Times New Roman" w:hAnsi="Times New Roman" w:cs="Times New Roman"/>
          <w:color w:val="000000" w:themeColor="text1"/>
          <w:sz w:val="24"/>
          <w:szCs w:val="24"/>
          <w:highlight w:val="lightGray"/>
          <w:lang w:val="ru-MD"/>
        </w:rPr>
        <w:t xml:space="preserve"> </w:t>
      </w:r>
    </w:p>
    <w:p w14:paraId="27383DD8" w14:textId="31674B3B" w:rsidR="006606F0" w:rsidRPr="00D43281" w:rsidRDefault="00427284" w:rsidP="00E90A53">
      <w:pPr>
        <w:pStyle w:val="ListParagraph"/>
        <w:numPr>
          <w:ilvl w:val="1"/>
          <w:numId w:val="2"/>
        </w:numPr>
        <w:spacing w:line="240" w:lineRule="auto"/>
        <w:ind w:left="0"/>
        <w:jc w:val="both"/>
        <w:rPr>
          <w:rFonts w:ascii="Times New Roman" w:hAnsi="Times New Roman" w:cs="Times New Roman"/>
          <w:sz w:val="24"/>
          <w:szCs w:val="24"/>
          <w:lang w:val="ru-MD"/>
        </w:rPr>
      </w:pPr>
      <w:bookmarkStart w:id="38" w:name="_Ref214982320"/>
      <w:r w:rsidRPr="00D43281">
        <w:rPr>
          <w:rFonts w:ascii="Times New Roman" w:hAnsi="Times New Roman" w:cs="Times New Roman"/>
          <w:sz w:val="24"/>
          <w:szCs w:val="24"/>
          <w:lang w:val="ru-MD"/>
        </w:rPr>
        <w:t>Подверженности данного типа являются возобновляемыми, необеспеченными и, в той мере, в какой они не используются немедленно и безоговорочно, могут быть аннулированы банком</w:t>
      </w:r>
      <w:r w:rsidR="006606F0" w:rsidRPr="00D43281">
        <w:rPr>
          <w:rFonts w:ascii="Times New Roman" w:hAnsi="Times New Roman" w:cs="Times New Roman"/>
          <w:sz w:val="24"/>
          <w:szCs w:val="24"/>
          <w:lang w:val="ru-MD"/>
        </w:rPr>
        <w:t>;</w:t>
      </w:r>
      <w:r w:rsidR="006A173E" w:rsidRPr="00D43281">
        <w:rPr>
          <w:rFonts w:ascii="Times New Roman" w:hAnsi="Times New Roman" w:cs="Times New Roman"/>
          <w:color w:val="000000" w:themeColor="text1"/>
          <w:sz w:val="24"/>
          <w:szCs w:val="24"/>
          <w:highlight w:val="lightGray"/>
          <w:lang w:val="ru-MD"/>
        </w:rPr>
        <w:t xml:space="preserve"> </w:t>
      </w:r>
      <w:bookmarkEnd w:id="38"/>
    </w:p>
    <w:p w14:paraId="33A93CBE" w14:textId="155F0289" w:rsidR="006606F0" w:rsidRPr="00D43281" w:rsidRDefault="008C1098" w:rsidP="00D1563B">
      <w:pPr>
        <w:pStyle w:val="ListParagraph"/>
        <w:numPr>
          <w:ilvl w:val="1"/>
          <w:numId w:val="2"/>
        </w:numPr>
        <w:spacing w:line="240" w:lineRule="auto"/>
        <w:ind w:left="0"/>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Максимальная подверженность данного типа перед одним физическим лицом составляет эквивалент в леях 100 000 евро или менее</w:t>
      </w:r>
      <w:r w:rsidR="006606F0" w:rsidRPr="00D43281">
        <w:rPr>
          <w:rFonts w:ascii="Times New Roman" w:hAnsi="Times New Roman" w:cs="Times New Roman"/>
          <w:sz w:val="24"/>
          <w:szCs w:val="24"/>
          <w:lang w:val="ru-MD"/>
        </w:rPr>
        <w:t>;</w:t>
      </w:r>
      <w:r w:rsidR="006A173E" w:rsidRPr="00D43281">
        <w:rPr>
          <w:rFonts w:ascii="Times New Roman" w:hAnsi="Times New Roman" w:cs="Times New Roman"/>
          <w:color w:val="000000" w:themeColor="text1"/>
          <w:sz w:val="24"/>
          <w:szCs w:val="24"/>
          <w:highlight w:val="lightGray"/>
          <w:lang w:val="ru-MD"/>
        </w:rPr>
        <w:t xml:space="preserve"> </w:t>
      </w:r>
    </w:p>
    <w:p w14:paraId="7E8C247B" w14:textId="663C9D70" w:rsidR="006606F0" w:rsidRPr="00D43281" w:rsidRDefault="008C1098" w:rsidP="00E90A53">
      <w:pPr>
        <w:pStyle w:val="ListParagraph"/>
        <w:numPr>
          <w:ilvl w:val="1"/>
          <w:numId w:val="2"/>
        </w:numPr>
        <w:spacing w:line="240" w:lineRule="auto"/>
        <w:ind w:left="0"/>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Данный тип подверженностей демонстрировал низкую волатильность коэффициентов убыточности по отношению к среднему уровню коэффициентов убыточности, особенно в диапазонах с низкими значениями PD</w:t>
      </w:r>
      <w:r w:rsidR="006606F0" w:rsidRPr="00D43281">
        <w:rPr>
          <w:rFonts w:ascii="Times New Roman" w:hAnsi="Times New Roman" w:cs="Times New Roman"/>
          <w:sz w:val="24"/>
          <w:szCs w:val="24"/>
          <w:lang w:val="ru-MD"/>
        </w:rPr>
        <w:t>;</w:t>
      </w:r>
      <w:r w:rsidR="006A173E" w:rsidRPr="00D43281">
        <w:rPr>
          <w:rFonts w:ascii="Times New Roman" w:hAnsi="Times New Roman" w:cs="Times New Roman"/>
          <w:color w:val="000000" w:themeColor="text1"/>
          <w:sz w:val="24"/>
          <w:szCs w:val="24"/>
          <w:highlight w:val="lightGray"/>
          <w:lang w:val="ru-MD"/>
        </w:rPr>
        <w:t xml:space="preserve"> </w:t>
      </w:r>
    </w:p>
    <w:p w14:paraId="61606C41" w14:textId="4DA240E4" w:rsidR="006606F0" w:rsidRPr="00D43281" w:rsidRDefault="009658B4" w:rsidP="003D1412">
      <w:pPr>
        <w:pStyle w:val="ListParagraph"/>
        <w:numPr>
          <w:ilvl w:val="1"/>
          <w:numId w:val="2"/>
        </w:numPr>
        <w:spacing w:after="0" w:line="240" w:lineRule="auto"/>
        <w:ind w:left="0"/>
        <w:contextualSpacing w:val="0"/>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Обработка подверженностей, отнесенных к данному типу подверженностей, в качестве приемлемых возобновляемых подверженностей розничного типа соответствует рисковым характеристикам, присущим данному типу подверженностей</w:t>
      </w:r>
      <w:r w:rsidR="006606F0" w:rsidRPr="00D43281">
        <w:rPr>
          <w:rFonts w:ascii="Times New Roman" w:hAnsi="Times New Roman" w:cs="Times New Roman"/>
          <w:sz w:val="24"/>
          <w:szCs w:val="24"/>
          <w:lang w:val="ru-MD"/>
        </w:rPr>
        <w:t>.</w:t>
      </w:r>
    </w:p>
    <w:p w14:paraId="4B25F745" w14:textId="2E083278" w:rsidR="006606F0" w:rsidRPr="00D43281" w:rsidRDefault="009658B4" w:rsidP="00E90A53">
      <w:pPr>
        <w:pStyle w:val="oj-normal"/>
        <w:numPr>
          <w:ilvl w:val="0"/>
          <w:numId w:val="2"/>
        </w:numPr>
        <w:spacing w:before="0" w:beforeAutospacing="0" w:after="0" w:afterAutospacing="0"/>
        <w:ind w:firstLine="567"/>
        <w:jc w:val="both"/>
        <w:rPr>
          <w:lang w:val="ru-MD" w:eastAsia="en-US"/>
        </w:rPr>
      </w:pPr>
      <w:r w:rsidRPr="00D43281">
        <w:rPr>
          <w:lang w:val="ru-MD" w:eastAsia="en-US"/>
        </w:rPr>
        <w:t xml:space="preserve">В отступление от пункта 27.2 требование об отсутствии гарантий не применяется в случае обеспеченных кредитных линий, связанных со счетом для выплаты заработной платы. В этом случае суммы, взысканные посредством реализации вещного обеспечения, не учитываются при расчете </w:t>
      </w:r>
      <w:r w:rsidR="0069775E" w:rsidRPr="00D43281">
        <w:rPr>
          <w:lang w:val="ru-MD" w:eastAsia="en-US"/>
        </w:rPr>
        <w:t>LGD.</w:t>
      </w:r>
      <w:r w:rsidR="006A173E" w:rsidRPr="00D43281">
        <w:rPr>
          <w:color w:val="000000" w:themeColor="text1"/>
          <w:highlight w:val="lightGray"/>
          <w:lang w:val="ru-MD"/>
        </w:rPr>
        <w:t xml:space="preserve"> </w:t>
      </w:r>
    </w:p>
    <w:p w14:paraId="0A8BDD00" w14:textId="5CB1DADE" w:rsidR="006606F0" w:rsidRPr="00D43281" w:rsidRDefault="009658B4" w:rsidP="00E90A53">
      <w:pPr>
        <w:pStyle w:val="oj-normal"/>
        <w:numPr>
          <w:ilvl w:val="0"/>
          <w:numId w:val="2"/>
        </w:numPr>
        <w:spacing w:before="0" w:beforeAutospacing="0" w:after="0" w:afterAutospacing="0"/>
        <w:ind w:firstLine="567"/>
        <w:jc w:val="both"/>
        <w:rPr>
          <w:lang w:val="ru-MD" w:eastAsia="en-US"/>
        </w:rPr>
      </w:pPr>
      <w:r w:rsidRPr="00D43281">
        <w:rPr>
          <w:lang w:val="ru-MD" w:eastAsia="en-US"/>
        </w:rPr>
        <w:t>Банки выделяют в рамках класса подверженностей QRRE, упомянутого в пункте 19.5.1, подверженности перед участниками рынка («QRRE перед участниками рынка») и подверженности, не являющиеся подверженностями перед участниками рынка («QRRE перед заемщиками, генерирующими возобновляемые подверженности»). В частности, QRRE с историей погашения менее 12 месяцев идентифицируются как QRRE по отношению к дебиторам, генерирующим возобновляемые подверженности</w:t>
      </w:r>
      <w:r w:rsidR="006606F0" w:rsidRPr="00D43281">
        <w:rPr>
          <w:lang w:val="ru-MD" w:eastAsia="en-US"/>
        </w:rPr>
        <w:t>.</w:t>
      </w:r>
    </w:p>
    <w:p w14:paraId="3EB8A022" w14:textId="2A766A7F" w:rsidR="00F533D8" w:rsidRPr="00D43281" w:rsidRDefault="00F533D8" w:rsidP="00E90A53">
      <w:pPr>
        <w:pStyle w:val="ListParagraph"/>
        <w:numPr>
          <w:ilvl w:val="0"/>
          <w:numId w:val="2"/>
        </w:numPr>
        <w:spacing w:after="0" w:line="240" w:lineRule="auto"/>
        <w:ind w:firstLine="567"/>
        <w:jc w:val="both"/>
        <w:rPr>
          <w:rFonts w:ascii="Times New Roman" w:hAnsi="Times New Roman" w:cs="Times New Roman"/>
          <w:sz w:val="24"/>
          <w:szCs w:val="24"/>
          <w:lang w:val="ru-MD"/>
        </w:rPr>
      </w:pPr>
      <w:bookmarkStart w:id="39" w:name="_Hlk205806238"/>
      <w:r w:rsidRPr="00D43281">
        <w:rPr>
          <w:rFonts w:ascii="Times New Roman" w:hAnsi="Times New Roman" w:cs="Times New Roman"/>
          <w:sz w:val="24"/>
          <w:szCs w:val="24"/>
          <w:lang w:val="ru-MD"/>
        </w:rPr>
        <w:t>За исключением случаев, когда они относятся к классу подверженностей в виде единиц или акций, удерживаемых в ОКИ, подверженности из капитальных ценных бумаг, указанные в пункте 84 Регламента № 111/2018, отнесены к классу подверженностей из капитальных ценных бумаг, указанных в пункте 19.6.</w:t>
      </w:r>
    </w:p>
    <w:bookmarkEnd w:id="39"/>
    <w:p w14:paraId="7DD9918C" w14:textId="205C1C4D" w:rsidR="00F533D8" w:rsidRPr="00D43281" w:rsidRDefault="00F533D8" w:rsidP="00E90A53">
      <w:pPr>
        <w:pStyle w:val="ListParagraph"/>
        <w:numPr>
          <w:ilvl w:val="0"/>
          <w:numId w:val="2"/>
        </w:numPr>
        <w:spacing w:after="0" w:line="240" w:lineRule="auto"/>
        <w:ind w:firstLine="567"/>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lastRenderedPageBreak/>
        <w:t>Любое кредитное обязательство, не отнесенное к классам подверженностей, указанным в подпунктах 19.1, 19.2, 19.5, 19.6, 19.7 и 19.8 пункта 19, относится к одному из классов подверженностей, указанных в пунктах 19.4.1, 19.4.2 или 19.4.3 подпункта 19.4.</w:t>
      </w:r>
    </w:p>
    <w:p w14:paraId="1B1BBEC9" w14:textId="2CD9F786" w:rsidR="006606F0" w:rsidRPr="00D43281" w:rsidRDefault="00D857E3" w:rsidP="00E90A53">
      <w:pPr>
        <w:pStyle w:val="ListParagraph"/>
        <w:numPr>
          <w:ilvl w:val="0"/>
          <w:numId w:val="2"/>
        </w:numPr>
        <w:spacing w:after="0" w:line="240" w:lineRule="auto"/>
        <w:ind w:firstLine="567"/>
        <w:jc w:val="both"/>
        <w:rPr>
          <w:rFonts w:ascii="Times New Roman" w:hAnsi="Times New Roman" w:cs="Times New Roman"/>
          <w:sz w:val="24"/>
          <w:szCs w:val="24"/>
          <w:lang w:val="ru-MD"/>
        </w:rPr>
      </w:pPr>
      <w:bookmarkStart w:id="40" w:name="_Ref214985758"/>
      <w:r w:rsidRPr="00D43281">
        <w:rPr>
          <w:rFonts w:ascii="Times New Roman" w:hAnsi="Times New Roman" w:cs="Times New Roman"/>
          <w:sz w:val="24"/>
          <w:szCs w:val="24"/>
          <w:lang w:val="ru-MD"/>
        </w:rPr>
        <w:t>В рамках класса подверженностей перед обществами, указанного в подпункте 19.4, банки отдельно выделяют в качестве подверженностей, связанных со специализированным финансированием, подверженности, обладающие следующими характеристиками</w:t>
      </w:r>
      <w:r w:rsidR="006606F0" w:rsidRPr="00D43281">
        <w:rPr>
          <w:rFonts w:ascii="Times New Roman" w:hAnsi="Times New Roman" w:cs="Times New Roman"/>
          <w:sz w:val="24"/>
          <w:szCs w:val="24"/>
          <w:lang w:val="ru-MD"/>
        </w:rPr>
        <w:t>:</w:t>
      </w:r>
      <w:bookmarkEnd w:id="40"/>
    </w:p>
    <w:p w14:paraId="1AC5BA6C" w14:textId="118142A2" w:rsidR="00DA6758" w:rsidRPr="00D43281" w:rsidRDefault="00DA6758" w:rsidP="00E90A53">
      <w:pPr>
        <w:pStyle w:val="ListParagraph"/>
        <w:numPr>
          <w:ilvl w:val="1"/>
          <w:numId w:val="2"/>
        </w:numPr>
        <w:spacing w:after="0" w:line="240" w:lineRule="auto"/>
        <w:ind w:left="0"/>
        <w:jc w:val="both"/>
        <w:rPr>
          <w:rFonts w:ascii="Times New Roman" w:hAnsi="Times New Roman" w:cs="Times New Roman"/>
          <w:sz w:val="24"/>
          <w:szCs w:val="24"/>
          <w:lang w:val="ro-RO"/>
        </w:rPr>
      </w:pPr>
      <w:r w:rsidRPr="00D43281">
        <w:rPr>
          <w:rFonts w:ascii="Times New Roman" w:hAnsi="Times New Roman" w:cs="Times New Roman"/>
          <w:sz w:val="24"/>
          <w:szCs w:val="24"/>
          <w:lang w:val="ru-RU"/>
        </w:rPr>
        <w:t>Эта подверженность перед субъектом, созданным специально для финансирования или управления физическими активами, либо представляет собой сопоставимую с экономической точки зрения подверженность;</w:t>
      </w:r>
    </w:p>
    <w:p w14:paraId="5A55B867" w14:textId="371BF3DC" w:rsidR="006606F0" w:rsidRPr="00D43281" w:rsidRDefault="00DA6758" w:rsidP="00E90A53">
      <w:pPr>
        <w:pStyle w:val="ListParagraph"/>
        <w:numPr>
          <w:ilvl w:val="1"/>
          <w:numId w:val="2"/>
        </w:numPr>
        <w:spacing w:after="0" w:line="240" w:lineRule="auto"/>
        <w:ind w:left="0"/>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Условия договора предоставляют кредитору существенную степень контроля над активами и доходами, которые они генерируют</w:t>
      </w:r>
      <w:r w:rsidR="006606F0" w:rsidRPr="00D43281">
        <w:rPr>
          <w:rFonts w:ascii="Times New Roman" w:hAnsi="Times New Roman" w:cs="Times New Roman"/>
          <w:sz w:val="24"/>
          <w:szCs w:val="24"/>
          <w:lang w:val="ru-MD"/>
        </w:rPr>
        <w:t>;</w:t>
      </w:r>
      <w:r w:rsidR="008450E9" w:rsidRPr="00D43281">
        <w:rPr>
          <w:rFonts w:ascii="Times New Roman" w:hAnsi="Times New Roman" w:cs="Times New Roman"/>
          <w:color w:val="000000" w:themeColor="text1"/>
          <w:sz w:val="24"/>
          <w:szCs w:val="24"/>
          <w:highlight w:val="lightGray"/>
          <w:lang w:val="ru-MD"/>
        </w:rPr>
        <w:t xml:space="preserve"> </w:t>
      </w:r>
    </w:p>
    <w:p w14:paraId="2590332B" w14:textId="45288F72" w:rsidR="006606F0" w:rsidRPr="00D43281" w:rsidRDefault="00DA6758" w:rsidP="00E90A53">
      <w:pPr>
        <w:pStyle w:val="ListParagraph"/>
        <w:numPr>
          <w:ilvl w:val="1"/>
          <w:numId w:val="2"/>
        </w:numPr>
        <w:spacing w:after="0" w:line="240" w:lineRule="auto"/>
        <w:ind w:left="0"/>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Основным источником погашения обязательства является доход, генерируемый финансируемыми активами, а не самостоятельная способность к погашению коммерческого общества в целом</w:t>
      </w:r>
      <w:r w:rsidR="006606F0" w:rsidRPr="00D43281">
        <w:rPr>
          <w:rFonts w:ascii="Times New Roman" w:hAnsi="Times New Roman" w:cs="Times New Roman"/>
          <w:sz w:val="24"/>
          <w:szCs w:val="24"/>
          <w:lang w:val="ru-MD"/>
        </w:rPr>
        <w:t>.</w:t>
      </w:r>
      <w:r w:rsidR="008450E9" w:rsidRPr="00D43281">
        <w:rPr>
          <w:rFonts w:ascii="Times New Roman" w:hAnsi="Times New Roman" w:cs="Times New Roman"/>
          <w:color w:val="000000" w:themeColor="text1"/>
          <w:sz w:val="24"/>
          <w:szCs w:val="24"/>
          <w:highlight w:val="lightGray"/>
          <w:lang w:val="ru-MD"/>
        </w:rPr>
        <w:t xml:space="preserve"> </w:t>
      </w:r>
    </w:p>
    <w:p w14:paraId="2807B3BE" w14:textId="1B4009E7" w:rsidR="006606F0" w:rsidRPr="00D43281" w:rsidRDefault="00DA6758" w:rsidP="00E90A53">
      <w:pPr>
        <w:pStyle w:val="ListParagraph"/>
        <w:keepLines/>
        <w:numPr>
          <w:ilvl w:val="0"/>
          <w:numId w:val="2"/>
        </w:numPr>
        <w:spacing w:after="0" w:line="240" w:lineRule="auto"/>
        <w:ind w:firstLine="567"/>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Подверженности, упомянутые в пункте 32, относятся к классу подверженностей, связанных со специализированным финансированием, указанному в подпункте 19.4.2, и классифицируются следующим образом: «проектное финансирование» (PF), «объектное финансирование» (OF), «товарное финансирование» (CF) и «доходная недвижимость» (IPRE).</w:t>
      </w:r>
      <w:r w:rsidR="007D260A" w:rsidRPr="00D43281">
        <w:rPr>
          <w:rFonts w:ascii="Times New Roman" w:hAnsi="Times New Roman" w:cs="Times New Roman"/>
          <w:color w:val="000000" w:themeColor="text1"/>
          <w:sz w:val="24"/>
          <w:szCs w:val="24"/>
          <w:highlight w:val="lightGray"/>
          <w:lang w:val="ru-MD"/>
        </w:rPr>
        <w:t xml:space="preserve"> </w:t>
      </w:r>
    </w:p>
    <w:p w14:paraId="4A873F90" w14:textId="22AD02B6" w:rsidR="006606F0" w:rsidRPr="00D43281" w:rsidRDefault="00503809" w:rsidP="00E90A53">
      <w:pPr>
        <w:pStyle w:val="ListParagraph"/>
        <w:numPr>
          <w:ilvl w:val="0"/>
          <w:numId w:val="2"/>
        </w:numPr>
        <w:spacing w:after="0" w:line="240" w:lineRule="auto"/>
        <w:ind w:firstLine="567"/>
        <w:jc w:val="both"/>
        <w:rPr>
          <w:rFonts w:ascii="Times New Roman" w:hAnsi="Times New Roman" w:cs="Times New Roman"/>
          <w:sz w:val="24"/>
          <w:szCs w:val="24"/>
          <w:lang w:val="ru-RU"/>
        </w:rPr>
      </w:pPr>
      <w:r w:rsidRPr="00D43281">
        <w:rPr>
          <w:rFonts w:ascii="Times New Roman" w:hAnsi="Times New Roman" w:cs="Times New Roman"/>
          <w:sz w:val="24"/>
          <w:szCs w:val="24"/>
          <w:lang w:val="ru-RU"/>
        </w:rPr>
        <w:t>Остаточная стоимость имущества, являющегося предметом договора лизинга, относится к классу подверженностей «активы, кроме тех, которые представляют собой кредитные требования», предусмотренному в подпункте 19. 9, за исключением случаев, когда остаточная стоимость уже включена в сумму подверженности по операциям лизинга, предусмотренную в пункте 147</w:t>
      </w:r>
      <w:r w:rsidR="006606F0" w:rsidRPr="00D43281">
        <w:rPr>
          <w:rFonts w:ascii="Times New Roman" w:hAnsi="Times New Roman" w:cs="Times New Roman"/>
          <w:sz w:val="24"/>
          <w:szCs w:val="24"/>
          <w:lang w:val="ru-RU"/>
        </w:rPr>
        <w:t>.</w:t>
      </w:r>
      <w:r w:rsidR="007D260A" w:rsidRPr="00D43281">
        <w:rPr>
          <w:rFonts w:ascii="Times New Roman" w:hAnsi="Times New Roman" w:cs="Times New Roman"/>
          <w:color w:val="000000" w:themeColor="text1"/>
          <w:sz w:val="24"/>
          <w:szCs w:val="24"/>
          <w:highlight w:val="lightGray"/>
          <w:lang w:val="ru-RU"/>
        </w:rPr>
        <w:t xml:space="preserve"> </w:t>
      </w:r>
    </w:p>
    <w:p w14:paraId="419E525A" w14:textId="1FAFAF43" w:rsidR="006606F0" w:rsidRPr="00D43281" w:rsidRDefault="00503809" w:rsidP="00E90A53">
      <w:pPr>
        <w:pStyle w:val="ListParagraph"/>
        <w:numPr>
          <w:ilvl w:val="0"/>
          <w:numId w:val="2"/>
        </w:numPr>
        <w:spacing w:after="0" w:line="240" w:lineRule="auto"/>
        <w:ind w:firstLine="567"/>
        <w:contextualSpacing w:val="0"/>
        <w:jc w:val="both"/>
        <w:rPr>
          <w:rFonts w:ascii="Times New Roman" w:hAnsi="Times New Roman" w:cs="Times New Roman"/>
          <w:sz w:val="24"/>
          <w:szCs w:val="24"/>
          <w:lang w:val="ru-MD"/>
        </w:rPr>
      </w:pPr>
      <w:r w:rsidRPr="00D43281">
        <w:rPr>
          <w:rFonts w:ascii="Times New Roman" w:hAnsi="Times New Roman" w:cs="Times New Roman"/>
          <w:sz w:val="24"/>
          <w:szCs w:val="24"/>
          <w:lang w:val="ru-MD"/>
        </w:rPr>
        <w:t>Подверженность, возникающая в результате обеспечения защиты посредством корзины производных кредитных инструментов типа «n-</w:t>
      </w:r>
      <w:proofErr w:type="spellStart"/>
      <w:r w:rsidRPr="00D43281">
        <w:rPr>
          <w:rFonts w:ascii="Times New Roman" w:hAnsi="Times New Roman" w:cs="Times New Roman"/>
          <w:sz w:val="24"/>
          <w:szCs w:val="24"/>
          <w:lang w:val="ru-MD"/>
        </w:rPr>
        <w:t>th</w:t>
      </w:r>
      <w:proofErr w:type="spellEnd"/>
      <w:r w:rsidRPr="00D43281">
        <w:rPr>
          <w:rFonts w:ascii="Times New Roman" w:hAnsi="Times New Roman" w:cs="Times New Roman"/>
          <w:sz w:val="24"/>
          <w:szCs w:val="24"/>
          <w:lang w:val="ru-MD"/>
        </w:rPr>
        <w:t>-</w:t>
      </w:r>
      <w:proofErr w:type="spellStart"/>
      <w:r w:rsidRPr="00D43281">
        <w:rPr>
          <w:rFonts w:ascii="Times New Roman" w:hAnsi="Times New Roman" w:cs="Times New Roman"/>
          <w:sz w:val="24"/>
          <w:szCs w:val="24"/>
          <w:lang w:val="ru-MD"/>
        </w:rPr>
        <w:t>to-default</w:t>
      </w:r>
      <w:proofErr w:type="spellEnd"/>
      <w:r w:rsidRPr="00D43281">
        <w:rPr>
          <w:rFonts w:ascii="Times New Roman" w:hAnsi="Times New Roman" w:cs="Times New Roman"/>
          <w:sz w:val="24"/>
          <w:szCs w:val="24"/>
          <w:lang w:val="ru-MD"/>
        </w:rPr>
        <w:t>» для корзины подверженностей, относится к тому же классу, указанному в пункте 19, к которому относились бы и подверженности в корзине, за исключением случаев, когда отдельные подверженности в корзине относятся к различным классам подверженностей, и в этом случае подверженность относится к классу подверженностей перед обществами, предусмотренному в подпункте</w:t>
      </w:r>
      <w:r w:rsidR="00290521" w:rsidRPr="00D43281">
        <w:rPr>
          <w:rFonts w:ascii="Times New Roman" w:hAnsi="Times New Roman" w:cs="Times New Roman"/>
          <w:sz w:val="24"/>
          <w:szCs w:val="24"/>
          <w:lang w:val="ru-MD"/>
        </w:rPr>
        <w:fldChar w:fldCharType="begin"/>
      </w:r>
      <w:r w:rsidR="00290521" w:rsidRPr="00D43281">
        <w:rPr>
          <w:rFonts w:ascii="Times New Roman" w:hAnsi="Times New Roman" w:cs="Times New Roman"/>
          <w:sz w:val="24"/>
          <w:szCs w:val="24"/>
          <w:lang w:val="ru-MD"/>
        </w:rPr>
        <w:instrText xml:space="preserve"> REF _Ref214978989 \r \h </w:instrText>
      </w:r>
      <w:r w:rsidR="00690224" w:rsidRPr="00D43281">
        <w:rPr>
          <w:rFonts w:ascii="Times New Roman" w:hAnsi="Times New Roman" w:cs="Times New Roman"/>
          <w:sz w:val="24"/>
          <w:szCs w:val="24"/>
          <w:lang w:val="ru-MD"/>
        </w:rPr>
        <w:instrText xml:space="preserve"> \* MERGEFORMAT </w:instrText>
      </w:r>
      <w:r w:rsidR="00290521" w:rsidRPr="00D43281">
        <w:rPr>
          <w:rFonts w:ascii="Times New Roman" w:hAnsi="Times New Roman" w:cs="Times New Roman"/>
          <w:sz w:val="24"/>
          <w:szCs w:val="24"/>
          <w:lang w:val="ru-MD"/>
        </w:rPr>
      </w:r>
      <w:r w:rsidR="00290521" w:rsidRPr="00D43281">
        <w:rPr>
          <w:rFonts w:ascii="Times New Roman" w:hAnsi="Times New Roman" w:cs="Times New Roman"/>
          <w:sz w:val="24"/>
          <w:szCs w:val="24"/>
          <w:lang w:val="ru-MD"/>
        </w:rPr>
        <w:fldChar w:fldCharType="separate"/>
      </w:r>
      <w:r w:rsidR="00361BB1" w:rsidRPr="00D43281">
        <w:rPr>
          <w:rFonts w:ascii="Times New Roman" w:hAnsi="Times New Roman" w:cs="Times New Roman"/>
          <w:sz w:val="24"/>
          <w:szCs w:val="24"/>
          <w:lang w:val="ru-MD"/>
        </w:rPr>
        <w:t>19.4</w:t>
      </w:r>
      <w:r w:rsidR="00290521" w:rsidRPr="00D43281">
        <w:rPr>
          <w:rFonts w:ascii="Times New Roman" w:hAnsi="Times New Roman" w:cs="Times New Roman"/>
          <w:sz w:val="24"/>
          <w:szCs w:val="24"/>
          <w:lang w:val="ru-MD"/>
        </w:rPr>
        <w:fldChar w:fldCharType="end"/>
      </w:r>
      <w:r w:rsidR="00290521" w:rsidRPr="00D43281">
        <w:rPr>
          <w:rFonts w:ascii="Times New Roman" w:hAnsi="Times New Roman" w:cs="Times New Roman"/>
          <w:sz w:val="24"/>
          <w:szCs w:val="24"/>
          <w:lang w:val="ru-MD"/>
        </w:rPr>
        <w:t>.</w:t>
      </w:r>
    </w:p>
    <w:p w14:paraId="17A7DABC" w14:textId="65778393" w:rsidR="00197BBA" w:rsidRPr="00D43281" w:rsidRDefault="00503809" w:rsidP="00197BBA">
      <w:pPr>
        <w:pStyle w:val="ListParagraph"/>
        <w:shd w:val="clear" w:color="auto" w:fill="FFFFFF"/>
        <w:tabs>
          <w:tab w:val="left" w:pos="0"/>
          <w:tab w:val="left" w:pos="567"/>
        </w:tabs>
        <w:spacing w:before="120" w:after="0" w:line="240" w:lineRule="auto"/>
        <w:ind w:left="0"/>
        <w:contextualSpacing w:val="0"/>
        <w:jc w:val="center"/>
        <w:rPr>
          <w:sz w:val="24"/>
          <w:szCs w:val="24"/>
        </w:rPr>
      </w:pPr>
      <w:r w:rsidRPr="00D43281">
        <w:rPr>
          <w:rFonts w:ascii="Times New Roman" w:hAnsi="Times New Roman" w:cs="Times New Roman"/>
          <w:b/>
          <w:bCs/>
          <w:i/>
          <w:iCs/>
          <w:color w:val="000000" w:themeColor="text1"/>
          <w:sz w:val="24"/>
          <w:szCs w:val="24"/>
          <w:lang w:val="ru-RU"/>
        </w:rPr>
        <w:t>Часть</w:t>
      </w:r>
      <w:r w:rsidR="00197BBA" w:rsidRPr="00D43281">
        <w:rPr>
          <w:rFonts w:ascii="Times New Roman" w:hAnsi="Times New Roman" w:cs="Times New Roman"/>
          <w:b/>
          <w:bCs/>
          <w:i/>
          <w:iCs/>
          <w:color w:val="000000" w:themeColor="text1"/>
          <w:sz w:val="24"/>
          <w:szCs w:val="24"/>
          <w:lang w:val="ro-RO"/>
        </w:rPr>
        <w:t xml:space="preserve"> 5</w:t>
      </w:r>
    </w:p>
    <w:p w14:paraId="1D7F2A34" w14:textId="2603AC43" w:rsidR="00197BBA" w:rsidRPr="00D43281" w:rsidRDefault="00503809" w:rsidP="00197BBA">
      <w:pPr>
        <w:pStyle w:val="ListParagraph"/>
        <w:spacing w:after="120" w:line="240" w:lineRule="auto"/>
        <w:ind w:left="0"/>
        <w:contextualSpacing w:val="0"/>
        <w:jc w:val="center"/>
        <w:rPr>
          <w:rFonts w:ascii="Times New Roman" w:hAnsi="Times New Roman" w:cs="Times New Roman"/>
          <w:sz w:val="24"/>
          <w:szCs w:val="24"/>
          <w:lang w:val="ru-MD"/>
        </w:rPr>
      </w:pPr>
      <w:r w:rsidRPr="00D43281">
        <w:rPr>
          <w:rFonts w:ascii="Times New Roman" w:hAnsi="Times New Roman" w:cs="Times New Roman"/>
          <w:b/>
          <w:bCs/>
          <w:i/>
          <w:iCs/>
          <w:color w:val="000000" w:themeColor="text1"/>
          <w:sz w:val="24"/>
          <w:szCs w:val="24"/>
          <w:lang w:val="ru-MD"/>
        </w:rPr>
        <w:t>Условия применения подхода IRB к различным классам подверженностей и операционным подразделениям</w:t>
      </w:r>
    </w:p>
    <w:p w14:paraId="78D38230" w14:textId="646F1E36" w:rsidR="00197BBA" w:rsidRPr="00D43281" w:rsidRDefault="00A97B9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41" w:name="_Ref215054433"/>
      <w:r w:rsidRPr="00D43281">
        <w:rPr>
          <w:rFonts w:ascii="Times New Roman" w:hAnsi="Times New Roman" w:cs="Times New Roman"/>
          <w:color w:val="000000" w:themeColor="text1"/>
          <w:sz w:val="24"/>
          <w:szCs w:val="24"/>
          <w:lang w:val="ru-RU"/>
        </w:rPr>
        <w:t>Банк, которому разрешено применять подход IRB, внедряет, совместно со своим материнским предприятием и дочерними предприятиями, подход IRB как минимум для одного из классов подверженностей, указанных в пункте 19 подпунктах 19.1–19.5 или подпункте 19.9. Как только банк внедрил подход IRB для определенного вида подверженностей в рамках класса подверженностей, он применяет его ко всем подверженностям данного класса, за исключением случаев, когда он получил от Национального банка Молдовы разрешение на постоянное использование стандартизированного подхода в соответствии с пунктами 43–47</w:t>
      </w:r>
      <w:r w:rsidR="00197BBA" w:rsidRPr="00D43281">
        <w:rPr>
          <w:rFonts w:ascii="Times New Roman" w:hAnsi="Times New Roman" w:cs="Times New Roman"/>
          <w:color w:val="000000" w:themeColor="text1"/>
          <w:sz w:val="24"/>
          <w:szCs w:val="24"/>
          <w:lang w:val="ru-RU"/>
        </w:rPr>
        <w:t>.</w:t>
      </w:r>
      <w:r w:rsidR="003C128B" w:rsidRPr="00D43281">
        <w:rPr>
          <w:rFonts w:ascii="Times New Roman" w:hAnsi="Times New Roman" w:cs="Times New Roman"/>
          <w:color w:val="000000" w:themeColor="text1"/>
          <w:sz w:val="24"/>
          <w:szCs w:val="24"/>
          <w:highlight w:val="lightGray"/>
          <w:lang w:val="ru-RU"/>
        </w:rPr>
        <w:t xml:space="preserve"> </w:t>
      </w:r>
      <w:bookmarkEnd w:id="41"/>
    </w:p>
    <w:p w14:paraId="653672FB" w14:textId="5BFE5261" w:rsidR="00197BBA" w:rsidRPr="00D43281" w:rsidRDefault="0031727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42" w:name="_Ref215055496"/>
      <w:r w:rsidRPr="00D43281">
        <w:rPr>
          <w:rFonts w:ascii="Times New Roman" w:hAnsi="Times New Roman" w:cs="Times New Roman"/>
          <w:color w:val="000000" w:themeColor="text1"/>
          <w:sz w:val="24"/>
          <w:szCs w:val="24"/>
          <w:lang w:val="ru-RU"/>
        </w:rPr>
        <w:t>При условии предварительного разрешения Национального банка Молдовы внедрение подхода IRB может осуществляться постепенно в отношении различных видов подверженностей в рамках определенного класса подверженностей в пределах одного операционного подразделения, а также в отношении различных операционных подразделений в рамках одной группы, либо в случае использования собственных оценок LGD или применения CCF на основе подхода IRB</w:t>
      </w:r>
      <w:r w:rsidR="00197BBA" w:rsidRPr="00D43281">
        <w:rPr>
          <w:rFonts w:ascii="Times New Roman" w:hAnsi="Times New Roman" w:cs="Times New Roman"/>
          <w:color w:val="000000" w:themeColor="text1"/>
          <w:sz w:val="24"/>
          <w:szCs w:val="24"/>
          <w:lang w:val="ru-RU"/>
        </w:rPr>
        <w:t>.</w:t>
      </w:r>
      <w:bookmarkEnd w:id="42"/>
    </w:p>
    <w:p w14:paraId="355A8DCC" w14:textId="71317A0B" w:rsidR="00197BBA" w:rsidRPr="00D43281" w:rsidRDefault="008331F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Национальный банк Молдовы устанавливает необходимый период для каждого банка, материнского предприятия, дочерних предприятий для внедрения подхода IRB в </w:t>
      </w:r>
      <w:r w:rsidRPr="00D43281">
        <w:rPr>
          <w:rFonts w:ascii="Times New Roman" w:hAnsi="Times New Roman" w:cs="Times New Roman"/>
          <w:color w:val="000000" w:themeColor="text1"/>
          <w:sz w:val="24"/>
          <w:szCs w:val="24"/>
          <w:lang w:val="ru-RU"/>
        </w:rPr>
        <w:lastRenderedPageBreak/>
        <w:t>отношении всех подверженностей определенного класса рисков для различных видов подверженностей в рамках одной операционной единицы и для различных операционных единиц в рамках одной группы, либо в случае использования собственных оценок LGD или использования CCF на основе IRB. Этот период является тем, который Национальный банк Молдовы считает адекватным, в зависимости от характера и масштаба деятельности соответствующего банка или любого материнского предприятия и его дочерних предприятий, а также в зависимости от количества и характера рейтинговых систем, которые должны быть внедрены</w:t>
      </w:r>
      <w:r w:rsidR="00197BBA" w:rsidRPr="00D43281">
        <w:rPr>
          <w:rFonts w:ascii="Times New Roman" w:hAnsi="Times New Roman" w:cs="Times New Roman"/>
          <w:color w:val="000000" w:themeColor="text1"/>
          <w:sz w:val="24"/>
          <w:szCs w:val="24"/>
          <w:lang w:val="ru-RU"/>
        </w:rPr>
        <w:t>.</w:t>
      </w:r>
    </w:p>
    <w:p w14:paraId="412AA885" w14:textId="6F783260" w:rsidR="00EC531B" w:rsidRPr="00D43281" w:rsidRDefault="008331F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43" w:name="_Ref215054448"/>
      <w:r w:rsidRPr="00D43281">
        <w:rPr>
          <w:rFonts w:ascii="Times New Roman" w:hAnsi="Times New Roman" w:cs="Times New Roman"/>
          <w:color w:val="000000" w:themeColor="text1"/>
          <w:sz w:val="24"/>
          <w:szCs w:val="24"/>
          <w:lang w:val="ru-RU"/>
        </w:rPr>
        <w:t>Банки применяют подход IRB в соответствии с условиями, установленными Национальным банком Молдовы. В соответствии с этими условиями необходимо гарантировать, что гибкость, предоставляемая на основании пунктов 36–37, не используется выборочно с целью снижения требований к собственным средствам в отношении тех подверженностей или операционных подразделений, которые должны быть включены в подход IRB, либо в случае использования собственных оценок LGD или применения CCF на основе IRB</w:t>
      </w:r>
      <w:r w:rsidR="00197BBA" w:rsidRPr="00D43281">
        <w:rPr>
          <w:rFonts w:ascii="Times New Roman" w:hAnsi="Times New Roman" w:cs="Times New Roman"/>
          <w:color w:val="000000" w:themeColor="text1"/>
          <w:sz w:val="24"/>
          <w:szCs w:val="24"/>
          <w:lang w:val="ru-RU"/>
        </w:rPr>
        <w:t>.</w:t>
      </w:r>
      <w:bookmarkEnd w:id="43"/>
    </w:p>
    <w:p w14:paraId="2D0ECE3A" w14:textId="6E80A12E" w:rsidR="00350EB2" w:rsidRPr="00D43281" w:rsidRDefault="008331F6" w:rsidP="00E06231">
      <w:pPr>
        <w:pStyle w:val="ListParagraph"/>
        <w:shd w:val="clear" w:color="auto" w:fill="FFFFFF"/>
        <w:tabs>
          <w:tab w:val="left" w:pos="0"/>
          <w:tab w:val="left" w:pos="567"/>
        </w:tabs>
        <w:spacing w:before="120" w:after="0" w:line="240" w:lineRule="auto"/>
        <w:ind w:left="0" w:firstLine="567"/>
        <w:contextualSpacing w:val="0"/>
        <w:jc w:val="center"/>
        <w:rPr>
          <w:sz w:val="24"/>
          <w:szCs w:val="24"/>
        </w:rPr>
      </w:pPr>
      <w:r w:rsidRPr="00D43281">
        <w:rPr>
          <w:rFonts w:ascii="Times New Roman" w:hAnsi="Times New Roman" w:cs="Times New Roman"/>
          <w:b/>
          <w:bCs/>
          <w:i/>
          <w:iCs/>
          <w:color w:val="000000" w:themeColor="text1"/>
          <w:sz w:val="24"/>
          <w:szCs w:val="24"/>
          <w:lang w:val="ru-RU"/>
        </w:rPr>
        <w:t>Часть</w:t>
      </w:r>
      <w:r w:rsidR="00350EB2" w:rsidRPr="00D43281">
        <w:rPr>
          <w:rFonts w:ascii="Times New Roman" w:hAnsi="Times New Roman" w:cs="Times New Roman"/>
          <w:b/>
          <w:bCs/>
          <w:i/>
          <w:iCs/>
          <w:color w:val="000000" w:themeColor="text1"/>
          <w:sz w:val="24"/>
          <w:szCs w:val="24"/>
          <w:lang w:val="ro-RO"/>
        </w:rPr>
        <w:t xml:space="preserve"> 6</w:t>
      </w:r>
    </w:p>
    <w:p w14:paraId="74071FC6" w14:textId="2E1F16A7" w:rsidR="00350EB2" w:rsidRPr="00D43281" w:rsidRDefault="008331F6" w:rsidP="00350EB2">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Условия для возврата к использованию менее сложных подходов</w:t>
      </w:r>
    </w:p>
    <w:p w14:paraId="55D3BC7C" w14:textId="1AB366B7" w:rsidR="008153EF" w:rsidRPr="00D43281" w:rsidRDefault="009D536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44" w:name="_Ref215054361"/>
      <w:r w:rsidRPr="00D43281">
        <w:rPr>
          <w:rFonts w:ascii="Times New Roman" w:hAnsi="Times New Roman" w:cs="Times New Roman"/>
          <w:color w:val="000000" w:themeColor="text1"/>
          <w:sz w:val="24"/>
          <w:szCs w:val="24"/>
          <w:lang w:val="ru-RU"/>
        </w:rPr>
        <w:t>Банк, применяющий подход IRB к определенному классу подверженностей или к определенному виду подверженности, не может отказаться от использования этого подхода и перейти на стандартный подход для расчета взвешенных по риску сумм подверженностей, за исключением случаев, когда выполняются следующие условия</w:t>
      </w:r>
      <w:r w:rsidR="008153EF" w:rsidRPr="00D43281">
        <w:rPr>
          <w:rFonts w:ascii="Times New Roman" w:hAnsi="Times New Roman" w:cs="Times New Roman"/>
          <w:color w:val="000000" w:themeColor="text1"/>
          <w:sz w:val="24"/>
          <w:szCs w:val="24"/>
          <w:lang w:val="ru-RU"/>
        </w:rPr>
        <w:t>:</w:t>
      </w:r>
      <w:bookmarkEnd w:id="44"/>
    </w:p>
    <w:p w14:paraId="1628E838" w14:textId="1B4FAFDD" w:rsidR="00214DE8" w:rsidRPr="00D43281" w:rsidRDefault="001F0E1A"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Банк </w:t>
      </w:r>
      <w:r w:rsidR="0038575C" w:rsidRPr="00D43281">
        <w:rPr>
          <w:rFonts w:ascii="Times New Roman" w:hAnsi="Times New Roman" w:cs="Times New Roman"/>
          <w:color w:val="000000" w:themeColor="text1"/>
          <w:sz w:val="24"/>
          <w:szCs w:val="24"/>
          <w:lang w:val="ru-MD"/>
        </w:rPr>
        <w:t>доказал, к удовлетворению Национального банка Молдовы, что применение стандартизированного подхода не направлено на участие в регуляторном арбитраже, в том числе путем необоснованного снижения требований к собственным средствам, что он необходим с учетом характера и сложности всех подобных подверженностей банка и что он не окажет существенного негативного влияния на платежеспособность банка или его способность эффективно управлять рисками</w:t>
      </w:r>
      <w:r w:rsidR="008153EF" w:rsidRPr="00D43281">
        <w:rPr>
          <w:rFonts w:ascii="Times New Roman" w:hAnsi="Times New Roman" w:cs="Times New Roman"/>
          <w:color w:val="000000" w:themeColor="text1"/>
          <w:sz w:val="24"/>
          <w:szCs w:val="24"/>
          <w:lang w:val="ru-MD"/>
        </w:rPr>
        <w:t>;</w:t>
      </w:r>
    </w:p>
    <w:p w14:paraId="6E14CB53" w14:textId="5B1A7EFC" w:rsidR="008153EF" w:rsidRPr="00D43281" w:rsidRDefault="003F4DFD"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 получил предварительное разрешение Национального банка Молдовы</w:t>
      </w:r>
      <w:r w:rsidR="008153EF" w:rsidRPr="00D43281">
        <w:rPr>
          <w:rFonts w:ascii="Times New Roman" w:hAnsi="Times New Roman" w:cs="Times New Roman"/>
          <w:color w:val="000000" w:themeColor="text1"/>
          <w:sz w:val="24"/>
          <w:szCs w:val="24"/>
          <w:lang w:val="ru-RU"/>
        </w:rPr>
        <w:t>.</w:t>
      </w:r>
    </w:p>
    <w:p w14:paraId="7478A6D7" w14:textId="3A7FE991" w:rsidR="008153EF" w:rsidRPr="00D43281" w:rsidRDefault="003F4DF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45" w:name="_Ref215054370"/>
      <w:r w:rsidRPr="00D43281">
        <w:rPr>
          <w:rFonts w:ascii="Times New Roman" w:hAnsi="Times New Roman" w:cs="Times New Roman"/>
          <w:color w:val="000000" w:themeColor="text1"/>
          <w:sz w:val="24"/>
          <w:szCs w:val="24"/>
          <w:lang w:val="ru-RU"/>
        </w:rPr>
        <w:t>Банки, получившие разрешение, предусмотренное пунктом 56, на использование собственных оценок LGD и собственных коэффициентов конверсии, не возвращаются к использованию значений LGD и коэффициентов конверсии, указанных в пунктах 54 и 55, за исключением случаев, когда выполняются следующие условия</w:t>
      </w:r>
      <w:r w:rsidR="008153EF" w:rsidRPr="00D43281">
        <w:rPr>
          <w:rFonts w:ascii="Times New Roman" w:hAnsi="Times New Roman" w:cs="Times New Roman"/>
          <w:color w:val="000000" w:themeColor="text1"/>
          <w:sz w:val="24"/>
          <w:szCs w:val="24"/>
          <w:lang w:val="ru-RU"/>
        </w:rPr>
        <w:t>:</w:t>
      </w:r>
      <w:bookmarkEnd w:id="45"/>
    </w:p>
    <w:p w14:paraId="0FD679C2" w14:textId="22867140" w:rsidR="008153EF" w:rsidRPr="00D43281" w:rsidRDefault="003F4DFD"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Банк убедительно доказал Национальному банку Молдовы, что использование LGD и коэффициентов конверсии, предусмотренных в пунктах 54 и 55, в отношении определенного класса </w:t>
      </w:r>
      <w:r w:rsidRPr="00D43281">
        <w:rPr>
          <w:rFonts w:ascii="Times New Roman" w:hAnsi="Times New Roman" w:cs="Times New Roman"/>
          <w:color w:val="000000" w:themeColor="text1"/>
          <w:sz w:val="24"/>
          <w:szCs w:val="24"/>
          <w:lang w:val="ru-MD"/>
        </w:rPr>
        <w:t>подверженностей</w:t>
      </w:r>
      <w:r w:rsidRPr="00D43281">
        <w:rPr>
          <w:rFonts w:ascii="Times New Roman" w:hAnsi="Times New Roman" w:cs="Times New Roman"/>
          <w:color w:val="000000" w:themeColor="text1"/>
          <w:sz w:val="24"/>
          <w:szCs w:val="24"/>
          <w:lang w:val="ru-RU"/>
        </w:rPr>
        <w:t xml:space="preserve"> или определенного вида </w:t>
      </w:r>
      <w:r w:rsidRPr="00D43281">
        <w:rPr>
          <w:rFonts w:ascii="Times New Roman" w:hAnsi="Times New Roman" w:cs="Times New Roman"/>
          <w:color w:val="000000" w:themeColor="text1"/>
          <w:sz w:val="24"/>
          <w:szCs w:val="24"/>
          <w:lang w:val="ru-MD"/>
        </w:rPr>
        <w:t>подверженности</w:t>
      </w:r>
      <w:r w:rsidRPr="00D43281">
        <w:rPr>
          <w:rFonts w:ascii="Times New Roman" w:hAnsi="Times New Roman" w:cs="Times New Roman"/>
          <w:color w:val="000000" w:themeColor="text1"/>
          <w:sz w:val="24"/>
          <w:szCs w:val="24"/>
          <w:lang w:val="ru-RU"/>
        </w:rPr>
        <w:t xml:space="preserve"> не предлагается с целью снижения требований к собственным средствам банка, а является необходимой с учетом характера и сложности совокупных рисков данного типа банка и не окажет существенного негативного влияния на платежеспособность банка или на его способность эффективно управлять рисками</w:t>
      </w:r>
      <w:r w:rsidR="008153EF" w:rsidRPr="00D43281">
        <w:rPr>
          <w:rFonts w:ascii="Times New Roman" w:hAnsi="Times New Roman" w:cs="Times New Roman"/>
          <w:color w:val="000000" w:themeColor="text1"/>
          <w:sz w:val="24"/>
          <w:szCs w:val="24"/>
          <w:lang w:val="ru-RU"/>
        </w:rPr>
        <w:t>;</w:t>
      </w:r>
    </w:p>
    <w:p w14:paraId="3DC45660" w14:textId="1223EADD" w:rsidR="008153EF" w:rsidRPr="00D43281" w:rsidRDefault="003F4DFD"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 получил предварительное разрешение Национального банка Молдовы</w:t>
      </w:r>
      <w:r w:rsidR="008153EF" w:rsidRPr="00D43281">
        <w:rPr>
          <w:rFonts w:ascii="Times New Roman" w:hAnsi="Times New Roman" w:cs="Times New Roman"/>
          <w:color w:val="000000" w:themeColor="text1"/>
          <w:sz w:val="24"/>
          <w:szCs w:val="24"/>
          <w:lang w:val="ru-RU"/>
        </w:rPr>
        <w:t>.</w:t>
      </w:r>
    </w:p>
    <w:p w14:paraId="14D0CE74" w14:textId="06F5E54C" w:rsidR="0050706C" w:rsidRPr="00D43281" w:rsidRDefault="00107197"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Применение пунктов 40 и 41 зависит от условий постепенного внедрения подхода IRB, установленных Национальным банком Молдовы в соответствии с пунктами 36–39, а также от разрешения на постоянное частичное использование, упомянутого в пунктах 43–47</w:t>
      </w:r>
      <w:r w:rsidR="008153EF" w:rsidRPr="00D43281">
        <w:rPr>
          <w:rFonts w:ascii="Times New Roman" w:hAnsi="Times New Roman" w:cs="Times New Roman"/>
          <w:color w:val="000000" w:themeColor="text1"/>
          <w:sz w:val="24"/>
          <w:szCs w:val="24"/>
          <w:lang w:val="ru-RU"/>
        </w:rPr>
        <w:t>.</w:t>
      </w:r>
    </w:p>
    <w:p w14:paraId="6A431F92" w14:textId="4E021144" w:rsidR="00DC1B37" w:rsidRPr="00D43281" w:rsidRDefault="00107197" w:rsidP="00DC1B37">
      <w:pPr>
        <w:pStyle w:val="ListParagraph"/>
        <w:shd w:val="clear" w:color="auto" w:fill="FFFFFF"/>
        <w:tabs>
          <w:tab w:val="left" w:pos="0"/>
          <w:tab w:val="left" w:pos="567"/>
        </w:tabs>
        <w:spacing w:before="120" w:after="0" w:line="240" w:lineRule="auto"/>
        <w:ind w:left="0"/>
        <w:contextualSpacing w:val="0"/>
        <w:jc w:val="center"/>
        <w:rPr>
          <w:sz w:val="24"/>
          <w:szCs w:val="24"/>
        </w:rPr>
      </w:pPr>
      <w:r w:rsidRPr="00D43281">
        <w:rPr>
          <w:rFonts w:ascii="Times New Roman" w:hAnsi="Times New Roman" w:cs="Times New Roman"/>
          <w:b/>
          <w:bCs/>
          <w:i/>
          <w:iCs/>
          <w:color w:val="000000" w:themeColor="text1"/>
          <w:sz w:val="24"/>
          <w:szCs w:val="24"/>
          <w:lang w:val="ru-RU"/>
        </w:rPr>
        <w:t>Часть</w:t>
      </w:r>
      <w:r w:rsidR="00DC1B37" w:rsidRPr="00D43281">
        <w:rPr>
          <w:rFonts w:ascii="Times New Roman" w:hAnsi="Times New Roman" w:cs="Times New Roman"/>
          <w:b/>
          <w:bCs/>
          <w:i/>
          <w:iCs/>
          <w:color w:val="000000" w:themeColor="text1"/>
          <w:sz w:val="24"/>
          <w:szCs w:val="24"/>
          <w:lang w:val="ro-RO"/>
        </w:rPr>
        <w:t xml:space="preserve"> 7</w:t>
      </w:r>
    </w:p>
    <w:p w14:paraId="2C1F121C" w14:textId="64089265" w:rsidR="00DC1B37" w:rsidRPr="00D43281" w:rsidRDefault="00107197" w:rsidP="00DC1B37">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b/>
          <w:bCs/>
          <w:i/>
          <w:iCs/>
          <w:color w:val="000000" w:themeColor="text1"/>
          <w:sz w:val="24"/>
          <w:szCs w:val="24"/>
          <w:lang w:val="ru-MD"/>
        </w:rPr>
      </w:pPr>
      <w:r w:rsidRPr="00D43281">
        <w:rPr>
          <w:rFonts w:ascii="Times New Roman" w:hAnsi="Times New Roman" w:cs="Times New Roman"/>
          <w:b/>
          <w:bCs/>
          <w:i/>
          <w:iCs/>
          <w:color w:val="000000" w:themeColor="text1"/>
          <w:sz w:val="24"/>
          <w:szCs w:val="24"/>
          <w:lang w:val="ru-MD"/>
        </w:rPr>
        <w:t>Условия частичного постоянного использования</w:t>
      </w:r>
    </w:p>
    <w:p w14:paraId="2C6A5BD0" w14:textId="359816A9" w:rsidR="00DC1B37" w:rsidRPr="00D43281" w:rsidRDefault="00940A5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46" w:name="_Ref215053995"/>
      <w:r w:rsidRPr="00D43281">
        <w:rPr>
          <w:rFonts w:ascii="Times New Roman" w:hAnsi="Times New Roman" w:cs="Times New Roman"/>
          <w:color w:val="000000" w:themeColor="text1"/>
          <w:sz w:val="24"/>
          <w:szCs w:val="24"/>
          <w:lang w:val="ru-MD"/>
        </w:rPr>
        <w:t>Банки применяют стандартизированный подход в отношении всех следующих подверженностей</w:t>
      </w:r>
      <w:r w:rsidR="00DC1B37" w:rsidRPr="00D43281">
        <w:rPr>
          <w:rFonts w:ascii="Times New Roman" w:hAnsi="Times New Roman" w:cs="Times New Roman"/>
          <w:color w:val="000000" w:themeColor="text1"/>
          <w:sz w:val="24"/>
          <w:szCs w:val="24"/>
          <w:lang w:val="ru-MD"/>
        </w:rPr>
        <w:t>:</w:t>
      </w:r>
      <w:bookmarkEnd w:id="46"/>
    </w:p>
    <w:p w14:paraId="78CAAED8" w14:textId="37E505DB" w:rsidR="00BF52D8" w:rsidRPr="00D43281" w:rsidRDefault="00940A5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Подверженности, относящиеся к классу подверженностей, связанных с капитальными ценными бумагами, указанному в подпункте 19.6 пункта 19</w:t>
      </w:r>
      <w:r w:rsidR="00DC1B37" w:rsidRPr="00D43281">
        <w:rPr>
          <w:rFonts w:ascii="Times New Roman" w:hAnsi="Times New Roman" w:cs="Times New Roman"/>
          <w:color w:val="000000" w:themeColor="text1"/>
          <w:sz w:val="24"/>
          <w:szCs w:val="24"/>
          <w:lang w:val="ru-MD"/>
        </w:rPr>
        <w:t>;</w:t>
      </w:r>
    </w:p>
    <w:p w14:paraId="58A2F234" w14:textId="681E823D" w:rsidR="00DC1B37" w:rsidRPr="00D43281" w:rsidRDefault="00940A58" w:rsidP="00A12688">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lastRenderedPageBreak/>
        <w:t>Подверженности, относящиеся к классам подверженностей или принадлежащие к типам подверженностей в рамках класса подверженностей, в отношении которых банки не получили предварительного разрешения Национального банка Молдовы на использование подхода IRB для расчета взвешенных по риску сумм подверженностей и сумм ожидаемых убытков</w:t>
      </w:r>
      <w:r w:rsidR="00DC1B37" w:rsidRPr="00D43281">
        <w:rPr>
          <w:rFonts w:ascii="Times New Roman" w:hAnsi="Times New Roman" w:cs="Times New Roman"/>
          <w:color w:val="000000" w:themeColor="text1"/>
          <w:sz w:val="24"/>
          <w:szCs w:val="24"/>
          <w:lang w:val="ru-MD"/>
        </w:rPr>
        <w:t>.</w:t>
      </w:r>
    </w:p>
    <w:p w14:paraId="77EA6774" w14:textId="75775CA3" w:rsidR="00DC1B37" w:rsidRPr="00D43281" w:rsidRDefault="00716FF8" w:rsidP="005E7D92">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47" w:name="_Ref215057228"/>
      <w:r w:rsidRPr="00D43281">
        <w:rPr>
          <w:rFonts w:ascii="Times New Roman" w:hAnsi="Times New Roman" w:cs="Times New Roman"/>
          <w:color w:val="000000" w:themeColor="text1"/>
          <w:sz w:val="24"/>
          <w:szCs w:val="24"/>
          <w:lang w:val="ru-MD"/>
        </w:rPr>
        <w:t>Банк, которому разрешено использовать подход IRB для расчета взвешенных по риску сумм подверженностей и сумм ожидаемых убытков по определенному классу подверженностей, может, при условии предварительного разрешения Национальным банком Молдовы, применять стандартизированный подход к определенным видам подверженностей в рамках данного класса подверженностей, включая подверженности иностранных отделений и различных групп подверженностей, если данные виды подверженностей не являются значимыми с точки зрения объема и профиля риска</w:t>
      </w:r>
      <w:r w:rsidR="00DC1B37" w:rsidRPr="00D43281">
        <w:rPr>
          <w:rFonts w:ascii="Times New Roman" w:hAnsi="Times New Roman" w:cs="Times New Roman"/>
          <w:color w:val="000000" w:themeColor="text1"/>
          <w:sz w:val="24"/>
          <w:szCs w:val="24"/>
          <w:lang w:val="ru-MD"/>
        </w:rPr>
        <w:t>.</w:t>
      </w:r>
      <w:bookmarkEnd w:id="47"/>
    </w:p>
    <w:p w14:paraId="30821F7E" w14:textId="7F29CA6E" w:rsidR="00DC1B37" w:rsidRPr="00D43281" w:rsidRDefault="00716FF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48" w:name="_Ref215058719"/>
      <w:r w:rsidRPr="00D43281">
        <w:rPr>
          <w:rFonts w:ascii="Times New Roman" w:hAnsi="Times New Roman" w:cs="Times New Roman"/>
          <w:color w:val="000000" w:themeColor="text1"/>
          <w:sz w:val="24"/>
          <w:szCs w:val="24"/>
          <w:lang w:val="ru-MD"/>
        </w:rPr>
        <w:t>В дополнение к подверженностям, указанным в пунктах 43 и 44, банк может, при условии предварительного разрешения Национального банка Молдовы, применять стандартизированный подход к следующим подверженностям, если подход IRB применяется к другим видам подверженностей из того же класса подверженностей</w:t>
      </w:r>
      <w:r w:rsidR="00DC1B37" w:rsidRPr="00D43281">
        <w:rPr>
          <w:rFonts w:ascii="Times New Roman" w:hAnsi="Times New Roman" w:cs="Times New Roman"/>
          <w:color w:val="000000" w:themeColor="text1"/>
          <w:sz w:val="24"/>
          <w:szCs w:val="24"/>
          <w:lang w:val="ru-MD"/>
        </w:rPr>
        <w:t>:</w:t>
      </w:r>
      <w:bookmarkEnd w:id="48"/>
    </w:p>
    <w:p w14:paraId="7377BED5" w14:textId="0147C97D" w:rsidR="00DC1B37" w:rsidRPr="001F0E1A" w:rsidRDefault="007E794B" w:rsidP="001F0E1A">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MD"/>
        </w:rPr>
        <w:t>Подверженности</w:t>
      </w:r>
      <w:r w:rsidRPr="00D43281">
        <w:rPr>
          <w:rFonts w:ascii="Times New Roman" w:hAnsi="Times New Roman" w:cs="Times New Roman"/>
          <w:color w:val="000000" w:themeColor="text1"/>
          <w:sz w:val="24"/>
          <w:szCs w:val="24"/>
          <w:lang w:val="ro-RO"/>
        </w:rPr>
        <w:t xml:space="preserve"> </w:t>
      </w:r>
      <w:r w:rsidRPr="00D43281">
        <w:rPr>
          <w:rFonts w:ascii="Times New Roman" w:hAnsi="Times New Roman" w:cs="Times New Roman"/>
          <w:color w:val="000000" w:themeColor="text1"/>
          <w:sz w:val="24"/>
          <w:szCs w:val="24"/>
          <w:lang w:val="ru-RU"/>
        </w:rPr>
        <w:t>перед</w:t>
      </w:r>
      <w:r w:rsidRPr="00D43281">
        <w:rPr>
          <w:rFonts w:ascii="Times New Roman" w:hAnsi="Times New Roman" w:cs="Times New Roman"/>
          <w:color w:val="000000" w:themeColor="text1"/>
          <w:sz w:val="24"/>
          <w:szCs w:val="24"/>
          <w:lang w:val="ru-MD"/>
        </w:rPr>
        <w:t xml:space="preserve"> </w:t>
      </w:r>
      <w:r w:rsidR="001F0E1A" w:rsidRPr="001F0E1A">
        <w:rPr>
          <w:rFonts w:ascii="Times New Roman" w:hAnsi="Times New Roman" w:cs="Times New Roman"/>
          <w:color w:val="000000" w:themeColor="text1"/>
          <w:sz w:val="24"/>
          <w:szCs w:val="24"/>
          <w:lang w:val="ru-MD"/>
        </w:rPr>
        <w:t xml:space="preserve">центральной администрацией Республики Молдова и Национальным банком Молдовы, а также перед центральными администрациями и центральными банками государств-членов Европейского </w:t>
      </w:r>
      <w:r w:rsidRPr="001F0E1A">
        <w:rPr>
          <w:rFonts w:ascii="Times New Roman" w:hAnsi="Times New Roman" w:cs="Times New Roman"/>
          <w:color w:val="000000" w:themeColor="text1"/>
          <w:sz w:val="24"/>
          <w:szCs w:val="24"/>
          <w:lang w:val="ru-RU"/>
        </w:rPr>
        <w:t>Союза, а также с их региональными органами власти, местными органами и субъектами публичного сектора при соблюдении следующих условий</w:t>
      </w:r>
      <w:r w:rsidR="00DC1B37" w:rsidRPr="001F0E1A">
        <w:rPr>
          <w:rFonts w:ascii="Times New Roman" w:hAnsi="Times New Roman" w:cs="Times New Roman"/>
          <w:color w:val="000000" w:themeColor="text1"/>
          <w:sz w:val="24"/>
          <w:szCs w:val="24"/>
          <w:lang w:val="ro-RO"/>
        </w:rPr>
        <w:t>:</w:t>
      </w:r>
    </w:p>
    <w:p w14:paraId="06728082" w14:textId="15B5B3E7" w:rsidR="00DC1B37" w:rsidRPr="00D43281" w:rsidRDefault="006C6E43" w:rsidP="00E90A53">
      <w:pPr>
        <w:pStyle w:val="ListParagraph"/>
        <w:numPr>
          <w:ilvl w:val="2"/>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С точки зрения риска, в силу наличия специфических публичных соглашений, не существует различий между обязательствами перед центральной администрацией и соответствующим центральным банком и другими указанными обязательствами; и</w:t>
      </w:r>
    </w:p>
    <w:p w14:paraId="766AAA4A" w14:textId="76C35FCF" w:rsidR="00DC1B37" w:rsidRPr="00D43281" w:rsidRDefault="006C6E43" w:rsidP="00E90A53">
      <w:pPr>
        <w:pStyle w:val="ListParagraph"/>
        <w:numPr>
          <w:ilvl w:val="2"/>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Подверженности перед центральными администрациями и центральными банками получают весовой коэффициент риска </w:t>
      </w:r>
      <w:r w:rsidR="00DC1B37" w:rsidRPr="00D43281">
        <w:rPr>
          <w:rFonts w:ascii="Times New Roman" w:hAnsi="Times New Roman" w:cs="Times New Roman"/>
          <w:color w:val="000000" w:themeColor="text1"/>
          <w:sz w:val="24"/>
          <w:szCs w:val="24"/>
          <w:lang w:val="ru-MD"/>
        </w:rPr>
        <w:t xml:space="preserve">0% </w:t>
      </w:r>
      <w:r w:rsidRPr="00D43281">
        <w:rPr>
          <w:rFonts w:ascii="Times New Roman" w:hAnsi="Times New Roman" w:cs="Times New Roman"/>
          <w:color w:val="000000" w:themeColor="text1"/>
          <w:sz w:val="24"/>
          <w:szCs w:val="24"/>
          <w:lang w:val="ru-MD"/>
        </w:rPr>
        <w:t xml:space="preserve">в соответствии с Регламентом № </w:t>
      </w:r>
      <w:r w:rsidR="00A35265" w:rsidRPr="00D43281">
        <w:rPr>
          <w:rFonts w:ascii="Times New Roman" w:hAnsi="Times New Roman" w:cs="Times New Roman"/>
          <w:color w:val="000000" w:themeColor="text1"/>
          <w:sz w:val="24"/>
          <w:szCs w:val="24"/>
          <w:lang w:val="ru-MD"/>
        </w:rPr>
        <w:t>111/2018</w:t>
      </w:r>
      <w:r w:rsidR="00DC1B37" w:rsidRPr="00D43281">
        <w:rPr>
          <w:rFonts w:ascii="Times New Roman" w:hAnsi="Times New Roman" w:cs="Times New Roman"/>
          <w:color w:val="000000" w:themeColor="text1"/>
          <w:sz w:val="24"/>
          <w:szCs w:val="24"/>
          <w:lang w:val="ru-MD"/>
        </w:rPr>
        <w:t>;</w:t>
      </w:r>
    </w:p>
    <w:p w14:paraId="43584D42" w14:textId="5F0D786C" w:rsidR="00DC1B37" w:rsidRPr="00D43281" w:rsidRDefault="00E4241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Подверженности банка перед контрагентом, являющимся материнским предприятием, его дочерним предприятием  или дочерним предприятием материнского предприятия, при условии, что контрагент является банком или финансовой холдинговой компанией, смешанной финансовой холдинговой компанией, небанковской финансовой компанией, управляющей компанией или предприятием, оказывающим вспомогательные услуги, которое подпадает под действие надлежащих пруденциальных требований, либо предприятием, связанным отношениями в значении Закона о бухгалтерском учете и финансовой отчетности № </w:t>
      </w:r>
      <w:r w:rsidR="00A35265" w:rsidRPr="00D43281">
        <w:rPr>
          <w:rFonts w:ascii="Times New Roman" w:hAnsi="Times New Roman" w:cs="Times New Roman"/>
          <w:color w:val="000000" w:themeColor="text1"/>
          <w:sz w:val="24"/>
          <w:szCs w:val="24"/>
          <w:lang w:val="ru-MD"/>
        </w:rPr>
        <w:t>287/2017</w:t>
      </w:r>
      <w:r w:rsidR="00DC1B37" w:rsidRPr="00D43281">
        <w:rPr>
          <w:rFonts w:ascii="Times New Roman" w:hAnsi="Times New Roman" w:cs="Times New Roman"/>
          <w:color w:val="000000" w:themeColor="text1"/>
          <w:sz w:val="24"/>
          <w:szCs w:val="24"/>
          <w:lang w:val="ru-MD"/>
        </w:rPr>
        <w:t>;</w:t>
      </w:r>
    </w:p>
    <w:p w14:paraId="17469848" w14:textId="22D1C185" w:rsidR="00DC1B37" w:rsidRPr="00D43281" w:rsidRDefault="006440B0" w:rsidP="007906A5">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Подверженности перед банками в государствах-членах Европейского Союза, которые соответствуют требованиям для получения предварительных разрешений, выдаваемых компетентными органами соответствующих государств-членов, не подлежат применению требований по подверженностям, взвешенным по рискам, для подверженностей перед контрагентами, с которыми банки вступили в институциональную систему защиты, состоящую из соглашения о договорном или законодательном установлении обязательств, защищающих соответствующие банки и обеспечивающих, в частности, их ликвидность и платежеспособность для предотвращения </w:t>
      </w:r>
      <w:r w:rsidR="001F0E1A" w:rsidRPr="001F0E1A">
        <w:rPr>
          <w:rFonts w:ascii="Times New Roman" w:hAnsi="Times New Roman" w:cs="Times New Roman"/>
          <w:color w:val="000000" w:themeColor="text1"/>
          <w:sz w:val="24"/>
          <w:szCs w:val="24"/>
          <w:lang w:val="ru-MD"/>
        </w:rPr>
        <w:t>процедуры несостоятельности</w:t>
      </w:r>
      <w:r w:rsidRPr="00D43281">
        <w:rPr>
          <w:rFonts w:ascii="Times New Roman" w:hAnsi="Times New Roman" w:cs="Times New Roman"/>
          <w:color w:val="000000" w:themeColor="text1"/>
          <w:sz w:val="24"/>
          <w:szCs w:val="24"/>
          <w:lang w:val="ru-MD"/>
        </w:rPr>
        <w:t>, в случае необходимости</w:t>
      </w:r>
      <w:r w:rsidR="0061025E" w:rsidRPr="00D43281">
        <w:rPr>
          <w:rFonts w:ascii="Times New Roman" w:hAnsi="Times New Roman" w:cs="Times New Roman"/>
          <w:color w:val="000000" w:themeColor="text1"/>
          <w:sz w:val="24"/>
          <w:szCs w:val="24"/>
          <w:lang w:val="ru-MD"/>
        </w:rPr>
        <w:t>.</w:t>
      </w:r>
    </w:p>
    <w:p w14:paraId="3BD55A0B" w14:textId="63F9CF93" w:rsidR="00DC1B37" w:rsidRPr="00D43281" w:rsidRDefault="006440B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49" w:name="_Ref215058728"/>
      <w:r w:rsidRPr="00D43281">
        <w:rPr>
          <w:rFonts w:ascii="Times New Roman" w:hAnsi="Times New Roman" w:cs="Times New Roman"/>
          <w:color w:val="000000" w:themeColor="text1"/>
          <w:sz w:val="24"/>
          <w:szCs w:val="24"/>
          <w:lang w:val="ru-MD"/>
        </w:rPr>
        <w:t>Банк, которому разрешено использовать подход IRB для расчета взвешенных по риску сумм подверженностей только в отношении определенных типов подверженностей в рамках одного класса подверженностей, применяет стандартизированный подход к остальным типам подверженностей в данном классе подверженностей</w:t>
      </w:r>
      <w:r w:rsidR="00DC1B37" w:rsidRPr="00D43281">
        <w:rPr>
          <w:rFonts w:ascii="Times New Roman" w:hAnsi="Times New Roman" w:cs="Times New Roman"/>
          <w:color w:val="000000" w:themeColor="text1"/>
          <w:sz w:val="24"/>
          <w:szCs w:val="24"/>
          <w:lang w:val="ru-MD"/>
        </w:rPr>
        <w:t>.</w:t>
      </w:r>
      <w:bookmarkEnd w:id="49"/>
    </w:p>
    <w:p w14:paraId="5AAC8854" w14:textId="019D2674" w:rsidR="0050706C" w:rsidRPr="00D43281" w:rsidRDefault="006440B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50" w:name="_Ref215054304"/>
      <w:r w:rsidRPr="00D43281">
        <w:rPr>
          <w:rFonts w:ascii="Times New Roman" w:hAnsi="Times New Roman" w:cs="Times New Roman"/>
          <w:color w:val="000000" w:themeColor="text1"/>
          <w:sz w:val="24"/>
          <w:szCs w:val="24"/>
          <w:lang w:val="ru-MD"/>
        </w:rPr>
        <w:t xml:space="preserve">В дополнение к подверженностям, упомянутым в пункте 44 и пунктах 45–46, банк может применять стандартизированный подход к подверженностям перед церквями и религиозными общинами, которые соответствуют требованиям, предусмотренным в Регламенте № </w:t>
      </w:r>
      <w:r w:rsidR="0072648B" w:rsidRPr="00D43281">
        <w:rPr>
          <w:rFonts w:ascii="Times New Roman" w:hAnsi="Times New Roman" w:cs="Times New Roman"/>
          <w:color w:val="000000" w:themeColor="text1"/>
          <w:sz w:val="24"/>
          <w:szCs w:val="24"/>
          <w:lang w:val="ru-MD"/>
        </w:rPr>
        <w:t>111/2018</w:t>
      </w:r>
      <w:r w:rsidR="00DC1B37" w:rsidRPr="00D43281">
        <w:rPr>
          <w:rFonts w:ascii="Times New Roman" w:hAnsi="Times New Roman" w:cs="Times New Roman"/>
          <w:color w:val="000000" w:themeColor="text1"/>
          <w:sz w:val="24"/>
          <w:szCs w:val="24"/>
          <w:lang w:val="ru-MD"/>
        </w:rPr>
        <w:t>.</w:t>
      </w:r>
      <w:bookmarkEnd w:id="50"/>
    </w:p>
    <w:p w14:paraId="17625471" w14:textId="46AC7294" w:rsidR="001B4733" w:rsidRPr="00D43281" w:rsidRDefault="006440B0" w:rsidP="001B4733">
      <w:pPr>
        <w:pStyle w:val="ListParagraph"/>
        <w:shd w:val="clear" w:color="auto" w:fill="FFFFFF"/>
        <w:tabs>
          <w:tab w:val="left" w:pos="0"/>
          <w:tab w:val="left" w:pos="567"/>
        </w:tabs>
        <w:spacing w:before="120" w:after="0" w:line="240" w:lineRule="auto"/>
        <w:ind w:left="0"/>
        <w:contextualSpacing w:val="0"/>
        <w:jc w:val="center"/>
        <w:rPr>
          <w:rFonts w:ascii="Times New Roman" w:hAnsi="Times New Roman" w:cs="Times New Roman"/>
          <w:b/>
          <w:bCs/>
          <w:color w:val="000000" w:themeColor="text1"/>
          <w:sz w:val="24"/>
          <w:szCs w:val="24"/>
          <w:lang w:val="ru-RU"/>
        </w:rPr>
      </w:pPr>
      <w:r w:rsidRPr="00D43281">
        <w:rPr>
          <w:rFonts w:ascii="Times New Roman" w:hAnsi="Times New Roman" w:cs="Times New Roman"/>
          <w:b/>
          <w:bCs/>
          <w:color w:val="000000" w:themeColor="text1"/>
          <w:sz w:val="24"/>
          <w:szCs w:val="24"/>
          <w:lang w:val="ru-MD"/>
        </w:rPr>
        <w:lastRenderedPageBreak/>
        <w:t>Глава</w:t>
      </w:r>
      <w:r w:rsidR="001B4733" w:rsidRPr="00D43281">
        <w:rPr>
          <w:rFonts w:ascii="Times New Roman" w:hAnsi="Times New Roman" w:cs="Times New Roman"/>
          <w:b/>
          <w:bCs/>
          <w:color w:val="000000" w:themeColor="text1"/>
          <w:sz w:val="24"/>
          <w:szCs w:val="24"/>
          <w:lang w:val="ru-RU"/>
        </w:rPr>
        <w:t xml:space="preserve"> </w:t>
      </w:r>
      <w:r w:rsidR="001B4733" w:rsidRPr="00D43281">
        <w:rPr>
          <w:rFonts w:ascii="Times New Roman" w:hAnsi="Times New Roman" w:cs="Times New Roman"/>
          <w:b/>
          <w:bCs/>
          <w:color w:val="000000" w:themeColor="text1"/>
          <w:sz w:val="24"/>
          <w:szCs w:val="24"/>
          <w:lang w:val="en-US"/>
        </w:rPr>
        <w:t>I</w:t>
      </w:r>
      <w:r w:rsidR="00B15B00" w:rsidRPr="00D43281">
        <w:rPr>
          <w:rFonts w:ascii="Times New Roman" w:hAnsi="Times New Roman" w:cs="Times New Roman"/>
          <w:b/>
          <w:bCs/>
          <w:color w:val="000000" w:themeColor="text1"/>
          <w:sz w:val="24"/>
          <w:szCs w:val="24"/>
          <w:lang w:val="en-US"/>
        </w:rPr>
        <w:t>I</w:t>
      </w:r>
      <w:r w:rsidR="001B4733" w:rsidRPr="00D43281">
        <w:rPr>
          <w:rFonts w:ascii="Times New Roman" w:hAnsi="Times New Roman" w:cs="Times New Roman"/>
          <w:b/>
          <w:bCs/>
          <w:color w:val="000000" w:themeColor="text1"/>
          <w:sz w:val="24"/>
          <w:szCs w:val="24"/>
          <w:lang w:val="en-US"/>
        </w:rPr>
        <w:t>I</w:t>
      </w:r>
    </w:p>
    <w:p w14:paraId="324E2242" w14:textId="518BA073" w:rsidR="001B4733" w:rsidRPr="00D43281" w:rsidRDefault="00AC30B2" w:rsidP="001B4733">
      <w:pPr>
        <w:pStyle w:val="ListParagraph"/>
        <w:shd w:val="clear" w:color="auto" w:fill="FFFFFF"/>
        <w:tabs>
          <w:tab w:val="left" w:pos="0"/>
          <w:tab w:val="left" w:pos="567"/>
        </w:tabs>
        <w:spacing w:before="60" w:after="0" w:line="240" w:lineRule="auto"/>
        <w:ind w:left="0"/>
        <w:jc w:val="center"/>
        <w:rPr>
          <w:rFonts w:ascii="Times New Roman" w:hAnsi="Times New Roman" w:cs="Times New Roman"/>
          <w:b/>
          <w:bCs/>
          <w:color w:val="000000" w:themeColor="text1"/>
          <w:sz w:val="24"/>
          <w:szCs w:val="24"/>
          <w:lang w:val="ru-RU"/>
        </w:rPr>
      </w:pPr>
      <w:r w:rsidRPr="00D43281">
        <w:rPr>
          <w:rFonts w:ascii="Times New Roman" w:hAnsi="Times New Roman" w:cs="Times New Roman"/>
          <w:b/>
          <w:bCs/>
          <w:color w:val="000000" w:themeColor="text1"/>
          <w:sz w:val="24"/>
          <w:szCs w:val="24"/>
          <w:lang w:val="ru-RU"/>
        </w:rPr>
        <w:t xml:space="preserve">РАСЧЕТ СТОИМОСТИ ПОДВЕРЖЕННОСТЕЙ С УЧЕТОМ РИСКА </w:t>
      </w:r>
    </w:p>
    <w:p w14:paraId="447B2A57" w14:textId="34424DE6" w:rsidR="001B4733" w:rsidRPr="00D43281" w:rsidRDefault="00AC30B2" w:rsidP="001B4733">
      <w:pPr>
        <w:pStyle w:val="ListParagraph"/>
        <w:shd w:val="clear" w:color="auto" w:fill="FFFFFF"/>
        <w:tabs>
          <w:tab w:val="left" w:pos="0"/>
          <w:tab w:val="left" w:pos="567"/>
        </w:tabs>
        <w:spacing w:before="120" w:after="0" w:line="240" w:lineRule="auto"/>
        <w:ind w:left="0"/>
        <w:contextualSpacing w:val="0"/>
        <w:jc w:val="center"/>
        <w:rPr>
          <w:sz w:val="24"/>
          <w:szCs w:val="24"/>
          <w:lang w:val="ru-RU"/>
        </w:rPr>
      </w:pPr>
      <w:r w:rsidRPr="00D43281">
        <w:rPr>
          <w:rFonts w:ascii="Times New Roman" w:hAnsi="Times New Roman" w:cs="Times New Roman"/>
          <w:b/>
          <w:bCs/>
          <w:i/>
          <w:iCs/>
          <w:color w:val="000000" w:themeColor="text1"/>
          <w:sz w:val="24"/>
          <w:szCs w:val="24"/>
          <w:lang w:val="ru-RU"/>
        </w:rPr>
        <w:t>Часть</w:t>
      </w:r>
      <w:r w:rsidR="001B4733" w:rsidRPr="00D43281">
        <w:rPr>
          <w:rFonts w:ascii="Times New Roman" w:hAnsi="Times New Roman" w:cs="Times New Roman"/>
          <w:b/>
          <w:bCs/>
          <w:i/>
          <w:iCs/>
          <w:color w:val="000000" w:themeColor="text1"/>
          <w:sz w:val="24"/>
          <w:szCs w:val="24"/>
          <w:lang w:val="ru-RU"/>
        </w:rPr>
        <w:t xml:space="preserve"> 1</w:t>
      </w:r>
    </w:p>
    <w:p w14:paraId="47F7BA79" w14:textId="5F6651D6" w:rsidR="001B4733" w:rsidRPr="00D43281" w:rsidRDefault="00AC30B2" w:rsidP="001B4733">
      <w:pPr>
        <w:shd w:val="clear" w:color="auto" w:fill="FFFFFF"/>
        <w:tabs>
          <w:tab w:val="left" w:pos="0"/>
          <w:tab w:val="left" w:pos="567"/>
        </w:tabs>
        <w:spacing w:after="120" w:line="240" w:lineRule="auto"/>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Учет по типу класса подверженностей</w:t>
      </w:r>
    </w:p>
    <w:p w14:paraId="780249CD" w14:textId="78FC41D5" w:rsidR="00E551C5" w:rsidRPr="00D43281" w:rsidRDefault="00AC30B2" w:rsidP="00E551C5">
      <w:pPr>
        <w:pStyle w:val="ListParagraph"/>
        <w:shd w:val="clear" w:color="auto" w:fill="FFFFFF"/>
        <w:tabs>
          <w:tab w:val="left" w:pos="0"/>
          <w:tab w:val="left" w:pos="567"/>
        </w:tabs>
        <w:spacing w:before="120" w:after="0" w:line="240" w:lineRule="auto"/>
        <w:ind w:left="0"/>
        <w:contextualSpacing w:val="0"/>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Подчасть</w:t>
      </w:r>
      <w:r w:rsidR="00E551C5" w:rsidRPr="00D43281">
        <w:rPr>
          <w:rFonts w:ascii="Times New Roman" w:hAnsi="Times New Roman" w:cs="Times New Roman"/>
          <w:b/>
          <w:bCs/>
          <w:i/>
          <w:iCs/>
          <w:color w:val="000000" w:themeColor="text1"/>
          <w:sz w:val="24"/>
          <w:szCs w:val="24"/>
          <w:lang w:val="ru-RU"/>
        </w:rPr>
        <w:t xml:space="preserve"> 1</w:t>
      </w:r>
    </w:p>
    <w:p w14:paraId="31DE0786" w14:textId="0FA01237" w:rsidR="00E551C5" w:rsidRPr="00D43281" w:rsidRDefault="00AC30B2" w:rsidP="00E551C5">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Учет по классам подверженностей</w:t>
      </w:r>
    </w:p>
    <w:p w14:paraId="7FE3BE84" w14:textId="51B58988" w:rsidR="003029A2" w:rsidRPr="00D43281" w:rsidRDefault="003029A2" w:rsidP="00632C28">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51" w:name="_Ref215084080"/>
      <w:r w:rsidRPr="00D43281">
        <w:rPr>
          <w:rFonts w:ascii="Times New Roman" w:hAnsi="Times New Roman" w:cs="Times New Roman"/>
          <w:color w:val="000000" w:themeColor="text1"/>
          <w:sz w:val="24"/>
          <w:szCs w:val="24"/>
          <w:lang w:val="ru-MD"/>
        </w:rPr>
        <w:t>Взвешенные по риску суммы подверженностей для кредитного риска в случае подверженностей, относящихся к одному из классов подверженностей, указанных в подпунктах 19.1–19.5 или подпункте 19. 9  пункта 19, рассчитываются в соответствии с пунктами 71–93, за исключением случаев, когда соответствующие подверженности вычитаются из собственных средств или подлежат учету, предусмотренному пунктом 1921 Регламента № 109/2018.</w:t>
      </w:r>
    </w:p>
    <w:bookmarkEnd w:id="51"/>
    <w:p w14:paraId="421FD25C" w14:textId="02476213" w:rsidR="00E6235F" w:rsidRPr="00D43281" w:rsidRDefault="00E6235F" w:rsidP="00E6235F">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Взвешенные по риску суммы подверженностей для риска снижения стоимости приобретенных требований рассчитываются в соответствии с пунктами 89–93. Если банк обладает полным правом регресса в отношении продавца приобретенных требований, в отношении риска невыполнения обязательств и риска снижения стоимости требования положения настоящей части, пунктов 59–70 и пунктов 94–97 в отношении приобретенных требований не применяются, и данная подверженность рассматривается как подверженность, обеспеченная вещным залогом.</w:t>
      </w:r>
    </w:p>
    <w:p w14:paraId="5129E576" w14:textId="04D8E0C6" w:rsidR="00417CBF" w:rsidRPr="00D43281" w:rsidRDefault="00164C39"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Взвешенные по риску суммы подверженностей для кредитного риска и </w:t>
      </w:r>
      <w:r w:rsidRPr="00D43281">
        <w:rPr>
          <w:rFonts w:ascii="Times New Roman" w:hAnsi="Times New Roman" w:cs="Times New Roman"/>
          <w:color w:val="000000" w:themeColor="text1"/>
          <w:sz w:val="24"/>
          <w:szCs w:val="24"/>
          <w:lang w:val="ru-RU"/>
        </w:rPr>
        <w:t xml:space="preserve">риска снижения </w:t>
      </w:r>
      <w:r w:rsidRPr="00D43281">
        <w:rPr>
          <w:rFonts w:ascii="Times New Roman" w:hAnsi="Times New Roman" w:cs="Times New Roman"/>
          <w:color w:val="000000" w:themeColor="text1"/>
          <w:sz w:val="24"/>
          <w:szCs w:val="24"/>
          <w:lang w:val="ru-MD"/>
        </w:rPr>
        <w:t xml:space="preserve">стоимости </w:t>
      </w:r>
      <w:r w:rsidR="001C16CC" w:rsidRPr="00D43281">
        <w:rPr>
          <w:rFonts w:ascii="Times New Roman" w:hAnsi="Times New Roman" w:cs="Times New Roman"/>
          <w:color w:val="000000" w:themeColor="text1"/>
          <w:sz w:val="24"/>
          <w:szCs w:val="24"/>
          <w:lang w:val="ru-MD"/>
        </w:rPr>
        <w:t>рассчитываются на основе соответствующих параметров, относящихся к данным подверженностям. Указанные параметры включают PD, LGD, срок погашения (далее «M») и сумму подверженности. PD и LGD могут учитываться по отдельности или совместно в соответствии с главой IV</w:t>
      </w:r>
      <w:r w:rsidR="00417CBF" w:rsidRPr="00D43281">
        <w:rPr>
          <w:rFonts w:ascii="Times New Roman" w:hAnsi="Times New Roman" w:cs="Times New Roman"/>
          <w:color w:val="000000" w:themeColor="text1"/>
          <w:sz w:val="24"/>
          <w:szCs w:val="24"/>
          <w:lang w:val="ru-MD"/>
        </w:rPr>
        <w:t>.</w:t>
      </w:r>
    </w:p>
    <w:p w14:paraId="5793F357" w14:textId="4E993D94" w:rsidR="00417CBF" w:rsidRPr="00D43281" w:rsidRDefault="001C16CC"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MD"/>
        </w:rPr>
        <w:t xml:space="preserve">Взвешенные по риску суммы подверженностей для кредитного риска в случае подверженностей из </w:t>
      </w:r>
      <w:r w:rsidR="00D80F24" w:rsidRPr="00D43281">
        <w:rPr>
          <w:rFonts w:ascii="Times New Roman" w:hAnsi="Times New Roman" w:cs="Times New Roman"/>
          <w:color w:val="000000" w:themeColor="text1"/>
          <w:sz w:val="24"/>
          <w:szCs w:val="24"/>
          <w:lang w:val="ru-MD"/>
        </w:rPr>
        <w:t>специализированного</w:t>
      </w:r>
      <w:r w:rsidRPr="00D43281">
        <w:rPr>
          <w:rFonts w:ascii="Times New Roman" w:hAnsi="Times New Roman" w:cs="Times New Roman"/>
          <w:color w:val="000000" w:themeColor="text1"/>
          <w:sz w:val="24"/>
          <w:szCs w:val="24"/>
          <w:lang w:val="ru-MD"/>
        </w:rPr>
        <w:t xml:space="preserve"> финансирования </w:t>
      </w:r>
      <w:r w:rsidR="00D80F24" w:rsidRPr="00D43281">
        <w:rPr>
          <w:rFonts w:ascii="Times New Roman" w:hAnsi="Times New Roman" w:cs="Times New Roman"/>
          <w:color w:val="000000" w:themeColor="text1"/>
          <w:sz w:val="24"/>
          <w:szCs w:val="24"/>
          <w:lang w:val="ru-RU"/>
        </w:rPr>
        <w:t>рассчитываются в соответствии с пунктами</w:t>
      </w:r>
      <w:r w:rsidR="00417CBF" w:rsidRPr="00D43281">
        <w:rPr>
          <w:rFonts w:ascii="Times New Roman" w:hAnsi="Times New Roman" w:cs="Times New Roman"/>
          <w:color w:val="000000" w:themeColor="text1"/>
          <w:sz w:val="24"/>
          <w:szCs w:val="24"/>
          <w:lang w:val="ro-RO"/>
        </w:rPr>
        <w:t xml:space="preserve"> </w:t>
      </w:r>
      <w:r w:rsidR="006D2469" w:rsidRPr="00D43281">
        <w:rPr>
          <w:rFonts w:ascii="Times New Roman" w:hAnsi="Times New Roman" w:cs="Times New Roman"/>
          <w:color w:val="000000" w:themeColor="text1"/>
          <w:sz w:val="24"/>
          <w:szCs w:val="24"/>
          <w:lang w:val="ro-RO"/>
        </w:rPr>
        <w:fldChar w:fldCharType="begin"/>
      </w:r>
      <w:r w:rsidR="006D2469" w:rsidRPr="00D43281">
        <w:rPr>
          <w:rFonts w:ascii="Times New Roman" w:hAnsi="Times New Roman" w:cs="Times New Roman"/>
          <w:color w:val="000000" w:themeColor="text1"/>
          <w:sz w:val="24"/>
          <w:szCs w:val="24"/>
          <w:lang w:val="ro-RO"/>
        </w:rPr>
        <w:instrText xml:space="preserve"> REF _Ref215086557 \r \h </w:instrText>
      </w:r>
      <w:r w:rsidR="00690224" w:rsidRPr="00D43281">
        <w:rPr>
          <w:rFonts w:ascii="Times New Roman" w:hAnsi="Times New Roman" w:cs="Times New Roman"/>
          <w:color w:val="000000" w:themeColor="text1"/>
          <w:sz w:val="24"/>
          <w:szCs w:val="24"/>
          <w:lang w:val="ro-RO"/>
        </w:rPr>
        <w:instrText xml:space="preserve"> \* MERGEFORMAT </w:instrText>
      </w:r>
      <w:r w:rsidR="006D2469" w:rsidRPr="00D43281">
        <w:rPr>
          <w:rFonts w:ascii="Times New Roman" w:hAnsi="Times New Roman" w:cs="Times New Roman"/>
          <w:color w:val="000000" w:themeColor="text1"/>
          <w:sz w:val="24"/>
          <w:szCs w:val="24"/>
          <w:lang w:val="ro-RO"/>
        </w:rPr>
      </w:r>
      <w:r w:rsidR="006D2469" w:rsidRPr="00D43281">
        <w:rPr>
          <w:rFonts w:ascii="Times New Roman" w:hAnsi="Times New Roman" w:cs="Times New Roman"/>
          <w:color w:val="000000" w:themeColor="text1"/>
          <w:sz w:val="24"/>
          <w:szCs w:val="24"/>
          <w:lang w:val="ro-RO"/>
        </w:rPr>
        <w:fldChar w:fldCharType="separate"/>
      </w:r>
      <w:r w:rsidR="00361BB1" w:rsidRPr="00D43281">
        <w:rPr>
          <w:rFonts w:ascii="Times New Roman" w:hAnsi="Times New Roman" w:cs="Times New Roman"/>
          <w:color w:val="000000" w:themeColor="text1"/>
          <w:sz w:val="24"/>
          <w:szCs w:val="24"/>
          <w:lang w:val="ro-RO"/>
        </w:rPr>
        <w:t>75</w:t>
      </w:r>
      <w:r w:rsidR="006D2469" w:rsidRPr="00D43281">
        <w:rPr>
          <w:rFonts w:ascii="Times New Roman" w:hAnsi="Times New Roman" w:cs="Times New Roman"/>
          <w:color w:val="000000" w:themeColor="text1"/>
          <w:sz w:val="24"/>
          <w:szCs w:val="24"/>
          <w:lang w:val="ro-RO"/>
        </w:rPr>
        <w:fldChar w:fldCharType="end"/>
      </w:r>
      <w:r w:rsidR="006D2469" w:rsidRPr="00D43281">
        <w:rPr>
          <w:rFonts w:ascii="Times New Roman" w:hAnsi="Times New Roman" w:cs="Times New Roman"/>
          <w:color w:val="000000" w:themeColor="text1"/>
          <w:sz w:val="24"/>
          <w:szCs w:val="24"/>
          <w:lang w:val="ro-RO"/>
        </w:rPr>
        <w:t>-</w:t>
      </w:r>
      <w:r w:rsidR="006D2469" w:rsidRPr="00D43281">
        <w:rPr>
          <w:rFonts w:ascii="Times New Roman" w:hAnsi="Times New Roman" w:cs="Times New Roman"/>
          <w:color w:val="000000" w:themeColor="text1"/>
          <w:sz w:val="24"/>
          <w:szCs w:val="24"/>
          <w:lang w:val="ro-RO"/>
        </w:rPr>
        <w:fldChar w:fldCharType="begin"/>
      </w:r>
      <w:r w:rsidR="006D2469" w:rsidRPr="00D43281">
        <w:rPr>
          <w:rFonts w:ascii="Times New Roman" w:hAnsi="Times New Roman" w:cs="Times New Roman"/>
          <w:color w:val="000000" w:themeColor="text1"/>
          <w:sz w:val="24"/>
          <w:szCs w:val="24"/>
          <w:lang w:val="ro-RO"/>
        </w:rPr>
        <w:instrText xml:space="preserve"> REF _Ref215086567 \r \h </w:instrText>
      </w:r>
      <w:r w:rsidR="00690224" w:rsidRPr="00D43281">
        <w:rPr>
          <w:rFonts w:ascii="Times New Roman" w:hAnsi="Times New Roman" w:cs="Times New Roman"/>
          <w:color w:val="000000" w:themeColor="text1"/>
          <w:sz w:val="24"/>
          <w:szCs w:val="24"/>
          <w:lang w:val="ro-RO"/>
        </w:rPr>
        <w:instrText xml:space="preserve"> \* MERGEFORMAT </w:instrText>
      </w:r>
      <w:r w:rsidR="006D2469" w:rsidRPr="00D43281">
        <w:rPr>
          <w:rFonts w:ascii="Times New Roman" w:hAnsi="Times New Roman" w:cs="Times New Roman"/>
          <w:color w:val="000000" w:themeColor="text1"/>
          <w:sz w:val="24"/>
          <w:szCs w:val="24"/>
          <w:lang w:val="ro-RO"/>
        </w:rPr>
      </w:r>
      <w:r w:rsidR="006D2469" w:rsidRPr="00D43281">
        <w:rPr>
          <w:rFonts w:ascii="Times New Roman" w:hAnsi="Times New Roman" w:cs="Times New Roman"/>
          <w:color w:val="000000" w:themeColor="text1"/>
          <w:sz w:val="24"/>
          <w:szCs w:val="24"/>
          <w:lang w:val="ro-RO"/>
        </w:rPr>
        <w:fldChar w:fldCharType="separate"/>
      </w:r>
      <w:r w:rsidR="00361BB1" w:rsidRPr="00D43281">
        <w:rPr>
          <w:rFonts w:ascii="Times New Roman" w:hAnsi="Times New Roman" w:cs="Times New Roman"/>
          <w:color w:val="000000" w:themeColor="text1"/>
          <w:sz w:val="24"/>
          <w:szCs w:val="24"/>
          <w:lang w:val="ro-RO"/>
        </w:rPr>
        <w:t>76</w:t>
      </w:r>
      <w:r w:rsidR="006D2469" w:rsidRPr="00D43281">
        <w:rPr>
          <w:rFonts w:ascii="Times New Roman" w:hAnsi="Times New Roman" w:cs="Times New Roman"/>
          <w:color w:val="000000" w:themeColor="text1"/>
          <w:sz w:val="24"/>
          <w:szCs w:val="24"/>
          <w:lang w:val="ro-RO"/>
        </w:rPr>
        <w:fldChar w:fldCharType="end"/>
      </w:r>
      <w:r w:rsidR="00417CBF" w:rsidRPr="00D43281">
        <w:rPr>
          <w:rFonts w:ascii="Times New Roman" w:hAnsi="Times New Roman" w:cs="Times New Roman"/>
          <w:color w:val="000000" w:themeColor="text1"/>
          <w:sz w:val="24"/>
          <w:szCs w:val="24"/>
          <w:lang w:val="ro-RO"/>
        </w:rPr>
        <w:t>.</w:t>
      </w:r>
    </w:p>
    <w:p w14:paraId="3E2E5E15" w14:textId="67DC4424" w:rsidR="00417CBF" w:rsidRPr="00D43281" w:rsidRDefault="005E5DF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 отношении подверженностей, относящихся к классам подверженностей, указанным в подпунктах 19.1–19.5</w:t>
      </w:r>
      <w:r w:rsidR="007A3250" w:rsidRPr="00D43281">
        <w:rPr>
          <w:rFonts w:ascii="Times New Roman" w:hAnsi="Times New Roman" w:cs="Times New Roman"/>
          <w:color w:val="000000" w:themeColor="text1"/>
          <w:sz w:val="24"/>
          <w:szCs w:val="24"/>
          <w:lang w:val="ru-RU"/>
        </w:rPr>
        <w:t xml:space="preserve"> пункта 19</w:t>
      </w:r>
      <w:r w:rsidRPr="00D43281">
        <w:rPr>
          <w:rFonts w:ascii="Times New Roman" w:hAnsi="Times New Roman" w:cs="Times New Roman"/>
          <w:color w:val="000000" w:themeColor="text1"/>
          <w:sz w:val="24"/>
          <w:szCs w:val="24"/>
          <w:lang w:val="ru-RU"/>
        </w:rPr>
        <w:t>, банки предоставляют собственные оценки PD в соответствии с пунктами 4–7 и главой VI</w:t>
      </w:r>
      <w:r w:rsidR="00417CBF" w:rsidRPr="00D43281">
        <w:rPr>
          <w:rFonts w:ascii="Times New Roman" w:hAnsi="Times New Roman" w:cs="Times New Roman"/>
          <w:color w:val="000000" w:themeColor="text1"/>
          <w:sz w:val="24"/>
          <w:szCs w:val="24"/>
          <w:lang w:val="ru-RU"/>
        </w:rPr>
        <w:t>.</w:t>
      </w:r>
    </w:p>
    <w:p w14:paraId="13DC2326" w14:textId="082F0248" w:rsidR="00417CBF" w:rsidRPr="00D43281" w:rsidRDefault="00405DC2"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m-CH"/>
        </w:rPr>
      </w:pPr>
      <w:r w:rsidRPr="00D43281">
        <w:rPr>
          <w:rFonts w:ascii="Times New Roman" w:hAnsi="Times New Roman" w:cs="Times New Roman"/>
          <w:color w:val="000000" w:themeColor="text1"/>
          <w:sz w:val="24"/>
          <w:szCs w:val="24"/>
          <w:lang w:val="rm-CH"/>
        </w:rPr>
        <w:t>В случае розничных подверженностей банки предоставляют собственные оценки LGD, а также CCF на основе IRB, если это применимо, в соответствии с пунктами 151–154 и 156–157, в соответствии с пунктами 4–7 и главой VI. Банки используют CCF на основе SA в случае, если положения пунктов 151–154 и 156–157 не позволяют использовать CCF на основе IRB</w:t>
      </w:r>
      <w:r w:rsidR="00417CBF" w:rsidRPr="00D43281">
        <w:rPr>
          <w:rFonts w:ascii="Times New Roman" w:hAnsi="Times New Roman" w:cs="Times New Roman"/>
          <w:color w:val="000000" w:themeColor="text1"/>
          <w:sz w:val="24"/>
          <w:szCs w:val="24"/>
          <w:lang w:val="rm-CH"/>
        </w:rPr>
        <w:t>.</w:t>
      </w:r>
    </w:p>
    <w:p w14:paraId="7F3D2245" w14:textId="0E773889" w:rsidR="00417CBF" w:rsidRPr="00D43281" w:rsidRDefault="00405DC2"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52" w:name="_Ref215053812"/>
      <w:r w:rsidRPr="00D43281">
        <w:rPr>
          <w:rFonts w:ascii="Times New Roman" w:hAnsi="Times New Roman" w:cs="Times New Roman"/>
          <w:color w:val="000000" w:themeColor="text1"/>
          <w:sz w:val="24"/>
          <w:szCs w:val="24"/>
          <w:lang w:val="ru-MD"/>
        </w:rPr>
        <w:t>Банки применяют значения LGD, предусмотренные в пункте 114, и CCF на основе SA в соответствии с пунктами 151–154, 155 и 156–157 в отношении следующих подверженностей</w:t>
      </w:r>
      <w:r w:rsidR="00417CBF" w:rsidRPr="00D43281">
        <w:rPr>
          <w:rFonts w:ascii="Times New Roman" w:hAnsi="Times New Roman" w:cs="Times New Roman"/>
          <w:color w:val="000000" w:themeColor="text1"/>
          <w:sz w:val="24"/>
          <w:szCs w:val="24"/>
          <w:lang w:val="ru-MD"/>
        </w:rPr>
        <w:t>:</w:t>
      </w:r>
      <w:bookmarkEnd w:id="52"/>
    </w:p>
    <w:p w14:paraId="526A00CF" w14:textId="5C11A432" w:rsidR="00417CBF" w:rsidRPr="00D43281" w:rsidRDefault="00AE7BE4"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bookmarkStart w:id="53" w:name="_Ref215071534"/>
      <w:r w:rsidRPr="00D43281">
        <w:rPr>
          <w:rFonts w:ascii="Times New Roman" w:hAnsi="Times New Roman" w:cs="Times New Roman"/>
          <w:color w:val="000000" w:themeColor="text1"/>
          <w:sz w:val="24"/>
          <w:szCs w:val="24"/>
          <w:lang w:val="ru-MD"/>
        </w:rPr>
        <w:t>Подверженности, относящиеся к классу подверженностей перед банками, указанному в подпункте 19.3 пункта 19</w:t>
      </w:r>
      <w:r w:rsidR="00417CBF" w:rsidRPr="00D43281">
        <w:rPr>
          <w:rFonts w:ascii="Times New Roman" w:hAnsi="Times New Roman" w:cs="Times New Roman"/>
          <w:color w:val="000000" w:themeColor="text1"/>
          <w:sz w:val="24"/>
          <w:szCs w:val="24"/>
          <w:lang w:val="ru-MD"/>
        </w:rPr>
        <w:t>;</w:t>
      </w:r>
      <w:bookmarkEnd w:id="53"/>
    </w:p>
    <w:p w14:paraId="31318C95" w14:textId="0EC091FA" w:rsidR="00417CBF" w:rsidRPr="00D43281" w:rsidRDefault="004E70A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Подверженности перед организациями финансового сектора, кроме тех, которые указаны в </w:t>
      </w:r>
      <w:r w:rsidR="00A14DB4" w:rsidRPr="00D43281">
        <w:rPr>
          <w:rFonts w:ascii="Times New Roman" w:hAnsi="Times New Roman" w:cs="Times New Roman"/>
          <w:color w:val="000000" w:themeColor="text1"/>
          <w:sz w:val="24"/>
          <w:szCs w:val="24"/>
          <w:lang w:val="ru-MD"/>
        </w:rPr>
        <w:t>подпункте 54.1</w:t>
      </w:r>
      <w:r w:rsidR="00417CBF" w:rsidRPr="00D43281">
        <w:rPr>
          <w:rFonts w:ascii="Times New Roman" w:hAnsi="Times New Roman" w:cs="Times New Roman"/>
          <w:color w:val="000000" w:themeColor="text1"/>
          <w:sz w:val="24"/>
          <w:szCs w:val="24"/>
          <w:lang w:val="ru-MD"/>
        </w:rPr>
        <w:t>;</w:t>
      </w:r>
    </w:p>
    <w:p w14:paraId="238F9DD8" w14:textId="0CACCBC3" w:rsidR="00417CBF" w:rsidRPr="00D43281" w:rsidRDefault="00550839"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Подверженности перед крупными обществами, не относящиеся к классу подверженностей, связанных со специализированным финансированием, указанному в подпункте 19.4.2 пункта 19</w:t>
      </w:r>
      <w:r w:rsidR="00417CBF" w:rsidRPr="00D43281">
        <w:rPr>
          <w:rFonts w:ascii="Times New Roman" w:hAnsi="Times New Roman" w:cs="Times New Roman"/>
          <w:color w:val="000000" w:themeColor="text1"/>
          <w:sz w:val="24"/>
          <w:szCs w:val="24"/>
          <w:lang w:val="ru-MD"/>
        </w:rPr>
        <w:t>.</w:t>
      </w:r>
    </w:p>
    <w:p w14:paraId="4211D874" w14:textId="2F502EB2" w:rsidR="00417CBF" w:rsidRPr="00D43281" w:rsidRDefault="00482EB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54" w:name="_Ref215053773"/>
      <w:r w:rsidRPr="00D43281">
        <w:rPr>
          <w:rFonts w:ascii="Times New Roman" w:hAnsi="Times New Roman" w:cs="Times New Roman"/>
          <w:color w:val="000000" w:themeColor="text1"/>
          <w:sz w:val="24"/>
          <w:szCs w:val="24"/>
          <w:lang w:val="ru-RU"/>
        </w:rPr>
        <w:t>В случае подверженностей, относящихся к классам подверженностей, указанным в подпунктах 19.1, 19.2 или 19.4 пункта 19, за исключением подверженностей, указанных в пункте 54, банки применяют значения LGD, предусмотренные в пункте 114, и CCF на основе SA в соответствии с пунктами 151–154, 155 и 156–157, за исключением случаев, когда им было разрешено использовать собственные оценки LGD и CCF на основе IRB для соответствующих подверженностей в соответствии с пунктом 56</w:t>
      </w:r>
      <w:r w:rsidR="00417CBF" w:rsidRPr="00D43281">
        <w:rPr>
          <w:rFonts w:ascii="Times New Roman" w:hAnsi="Times New Roman" w:cs="Times New Roman"/>
          <w:color w:val="000000" w:themeColor="text1"/>
          <w:sz w:val="24"/>
          <w:szCs w:val="24"/>
          <w:lang w:val="ru-RU"/>
        </w:rPr>
        <w:t>.</w:t>
      </w:r>
      <w:bookmarkEnd w:id="54"/>
    </w:p>
    <w:p w14:paraId="28D47A0D" w14:textId="2BD50063" w:rsidR="00417CBF" w:rsidRPr="00D43281" w:rsidRDefault="00113C7A"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55" w:name="_Ref215053732"/>
      <w:r w:rsidRPr="00D43281">
        <w:rPr>
          <w:rFonts w:ascii="Times New Roman" w:hAnsi="Times New Roman" w:cs="Times New Roman"/>
          <w:color w:val="000000" w:themeColor="text1"/>
          <w:sz w:val="24"/>
          <w:szCs w:val="24"/>
          <w:lang w:val="ru-MD"/>
        </w:rPr>
        <w:lastRenderedPageBreak/>
        <w:t>В случае подверженностей, указанных в пункте 55, Национальный банк Молдовы разрешает банкам использовать собственные оценки LGD, а также CCF на основе подхода IRB, если это уместно, в соответствии с пунктами 151–154 и 156–157, а также пунктами 4–7 и главой VI</w:t>
      </w:r>
      <w:r w:rsidR="00417CBF" w:rsidRPr="00D43281">
        <w:rPr>
          <w:rFonts w:ascii="Times New Roman" w:hAnsi="Times New Roman" w:cs="Times New Roman"/>
          <w:color w:val="000000" w:themeColor="text1"/>
          <w:sz w:val="24"/>
          <w:szCs w:val="24"/>
          <w:lang w:val="ru-MD"/>
        </w:rPr>
        <w:t>.</w:t>
      </w:r>
      <w:bookmarkEnd w:id="55"/>
    </w:p>
    <w:p w14:paraId="49BC56DB" w14:textId="257C90DC" w:rsidR="00417CBF" w:rsidRPr="00D43281" w:rsidRDefault="00113C7A"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В отношении </w:t>
      </w:r>
      <w:r w:rsidR="0087322D" w:rsidRPr="00D43281">
        <w:rPr>
          <w:rFonts w:ascii="Times New Roman" w:hAnsi="Times New Roman" w:cs="Times New Roman"/>
          <w:color w:val="000000" w:themeColor="text1"/>
          <w:sz w:val="24"/>
          <w:szCs w:val="24"/>
          <w:lang w:val="ru-MD"/>
        </w:rPr>
        <w:t xml:space="preserve">подверженностей из </w:t>
      </w:r>
      <w:r w:rsidRPr="00D43281">
        <w:rPr>
          <w:rFonts w:ascii="Times New Roman" w:hAnsi="Times New Roman" w:cs="Times New Roman"/>
          <w:color w:val="000000" w:themeColor="text1"/>
          <w:sz w:val="24"/>
          <w:szCs w:val="24"/>
          <w:lang w:val="ru-MD"/>
        </w:rPr>
        <w:t>секьюритизаци</w:t>
      </w:r>
      <w:r w:rsidR="0087322D" w:rsidRPr="00D43281">
        <w:rPr>
          <w:rFonts w:ascii="Times New Roman" w:hAnsi="Times New Roman" w:cs="Times New Roman"/>
          <w:color w:val="000000" w:themeColor="text1"/>
          <w:sz w:val="24"/>
          <w:szCs w:val="24"/>
          <w:lang w:val="ru-MD"/>
        </w:rPr>
        <w:t>и</w:t>
      </w:r>
      <w:r w:rsidRPr="00D43281">
        <w:rPr>
          <w:rFonts w:ascii="Times New Roman" w:hAnsi="Times New Roman" w:cs="Times New Roman"/>
          <w:color w:val="000000" w:themeColor="text1"/>
          <w:sz w:val="24"/>
          <w:szCs w:val="24"/>
          <w:lang w:val="ru-MD"/>
        </w:rPr>
        <w:t xml:space="preserve">, а также </w:t>
      </w:r>
      <w:r w:rsidR="0087322D" w:rsidRPr="00D43281">
        <w:rPr>
          <w:rFonts w:ascii="Times New Roman" w:hAnsi="Times New Roman" w:cs="Times New Roman"/>
          <w:color w:val="000000" w:themeColor="text1"/>
          <w:sz w:val="24"/>
          <w:szCs w:val="24"/>
          <w:lang w:val="ru-MD"/>
        </w:rPr>
        <w:t>подверженностей</w:t>
      </w:r>
      <w:r w:rsidRPr="00D43281">
        <w:rPr>
          <w:rFonts w:ascii="Times New Roman" w:hAnsi="Times New Roman" w:cs="Times New Roman"/>
          <w:color w:val="000000" w:themeColor="text1"/>
          <w:sz w:val="24"/>
          <w:szCs w:val="24"/>
          <w:lang w:val="ru-MD"/>
        </w:rPr>
        <w:t xml:space="preserve">, относящихся к классу </w:t>
      </w:r>
      <w:r w:rsidR="0087322D" w:rsidRPr="00D43281">
        <w:rPr>
          <w:rFonts w:ascii="Times New Roman" w:hAnsi="Times New Roman" w:cs="Times New Roman"/>
          <w:color w:val="000000" w:themeColor="text1"/>
          <w:sz w:val="24"/>
          <w:szCs w:val="24"/>
          <w:lang w:val="ru-MD"/>
        </w:rPr>
        <w:t xml:space="preserve">подверженностей </w:t>
      </w:r>
      <w:r w:rsidRPr="00D43281">
        <w:rPr>
          <w:rFonts w:ascii="Times New Roman" w:hAnsi="Times New Roman" w:cs="Times New Roman"/>
          <w:color w:val="000000" w:themeColor="text1"/>
          <w:sz w:val="24"/>
          <w:szCs w:val="24"/>
          <w:lang w:val="ru-MD"/>
        </w:rPr>
        <w:t xml:space="preserve">«элементы, представляющие позиции в секьюритизации», упомянутому в пункте 19 подпункте 19. 8, взвешенные по риску суммы </w:t>
      </w:r>
      <w:r w:rsidR="0087322D" w:rsidRPr="00D43281">
        <w:rPr>
          <w:rFonts w:ascii="Times New Roman" w:hAnsi="Times New Roman" w:cs="Times New Roman"/>
          <w:color w:val="000000" w:themeColor="text1"/>
          <w:sz w:val="24"/>
          <w:szCs w:val="24"/>
          <w:lang w:val="ru-MD"/>
        </w:rPr>
        <w:t xml:space="preserve">подверженностей </w:t>
      </w:r>
      <w:r w:rsidRPr="00D43281">
        <w:rPr>
          <w:rFonts w:ascii="Times New Roman" w:hAnsi="Times New Roman" w:cs="Times New Roman"/>
          <w:color w:val="000000" w:themeColor="text1"/>
          <w:sz w:val="24"/>
          <w:szCs w:val="24"/>
          <w:lang w:val="ru-MD"/>
        </w:rPr>
        <w:t>рассчитываются в соответствии с нормативными актами Национального банка Молдовы, касающимися пруденциального регулирования секьюритизации</w:t>
      </w:r>
      <w:r w:rsidR="00417CBF" w:rsidRPr="00D43281">
        <w:rPr>
          <w:rFonts w:ascii="Times New Roman" w:hAnsi="Times New Roman" w:cs="Times New Roman"/>
          <w:color w:val="000000" w:themeColor="text1"/>
          <w:sz w:val="24"/>
          <w:szCs w:val="24"/>
          <w:lang w:val="ru-MD"/>
        </w:rPr>
        <w:t>.</w:t>
      </w:r>
    </w:p>
    <w:p w14:paraId="4F8E135D" w14:textId="36CE18EC" w:rsidR="0050706C" w:rsidRPr="00D43281" w:rsidRDefault="00417CB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 </w:t>
      </w:r>
      <w:bookmarkStart w:id="56" w:name="_Ref215084092"/>
      <w:r w:rsidR="00C725BC" w:rsidRPr="00D43281">
        <w:rPr>
          <w:rFonts w:ascii="Times New Roman" w:hAnsi="Times New Roman" w:cs="Times New Roman"/>
          <w:color w:val="000000" w:themeColor="text1"/>
          <w:sz w:val="24"/>
          <w:szCs w:val="24"/>
          <w:lang w:val="ru-RU"/>
        </w:rPr>
        <w:t>В случае подверженностей в виде акций или единиц, удерживаемых в ОКИ, относящихся к классу подверженностей, указанному в пункте 19 подпункте 19.7, банки применяют порядок, предусмотренный в пунктах 59–70, за исключением случаев, когда такие подверженности вычитаются из собственных средств или подлежат вычету из приемлемых пассивов в соответствии с Регламентом № 109/2018</w:t>
      </w:r>
      <w:r w:rsidRPr="00D43281">
        <w:rPr>
          <w:rFonts w:ascii="Times New Roman" w:hAnsi="Times New Roman" w:cs="Times New Roman"/>
          <w:color w:val="000000" w:themeColor="text1"/>
          <w:sz w:val="24"/>
          <w:szCs w:val="24"/>
          <w:lang w:val="ru-RU"/>
        </w:rPr>
        <w:t>.</w:t>
      </w:r>
      <w:bookmarkEnd w:id="56"/>
    </w:p>
    <w:p w14:paraId="60651AB7" w14:textId="18199213" w:rsidR="00E551C5" w:rsidRPr="00D43281" w:rsidRDefault="00C725BC" w:rsidP="00E551C5">
      <w:pPr>
        <w:pStyle w:val="ListParagraph"/>
        <w:shd w:val="clear" w:color="auto" w:fill="FFFFFF"/>
        <w:tabs>
          <w:tab w:val="left" w:pos="0"/>
          <w:tab w:val="left" w:pos="567"/>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Подчасть</w:t>
      </w:r>
      <w:r w:rsidR="00E551C5" w:rsidRPr="00D43281">
        <w:rPr>
          <w:rFonts w:ascii="Times New Roman" w:hAnsi="Times New Roman" w:cs="Times New Roman"/>
          <w:b/>
          <w:bCs/>
          <w:i/>
          <w:iCs/>
          <w:color w:val="000000" w:themeColor="text1"/>
          <w:sz w:val="24"/>
          <w:szCs w:val="24"/>
          <w:lang w:val="ro-RO"/>
        </w:rPr>
        <w:t xml:space="preserve"> 2</w:t>
      </w:r>
    </w:p>
    <w:p w14:paraId="5C310A4D" w14:textId="1D3C30FF" w:rsidR="00E551C5" w:rsidRPr="00D43281" w:rsidRDefault="00227F70" w:rsidP="00C65C34">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color w:val="000000" w:themeColor="text1"/>
          <w:sz w:val="24"/>
          <w:szCs w:val="24"/>
          <w:lang w:val="ru-RU"/>
        </w:rPr>
      </w:pPr>
      <w:r w:rsidRPr="00D43281">
        <w:rPr>
          <w:rFonts w:ascii="Times New Roman" w:hAnsi="Times New Roman" w:cs="Times New Roman"/>
          <w:b/>
          <w:bCs/>
          <w:i/>
          <w:iCs/>
          <w:color w:val="000000" w:themeColor="text1"/>
          <w:sz w:val="24"/>
          <w:szCs w:val="24"/>
          <w:lang w:val="ru-RU"/>
        </w:rPr>
        <w:t>Учет подверженностей в виде единиц или акций, удерживаемых в ОКИ</w:t>
      </w:r>
    </w:p>
    <w:p w14:paraId="45BEABAC" w14:textId="1B9ED6C6" w:rsidR="008A7745" w:rsidRPr="00D43281" w:rsidRDefault="00886586" w:rsidP="00120DF6">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57" w:name="_Ref215041959"/>
      <w:r w:rsidRPr="00D43281">
        <w:rPr>
          <w:rFonts w:ascii="Times New Roman" w:hAnsi="Times New Roman" w:cs="Times New Roman"/>
          <w:color w:val="000000" w:themeColor="text1"/>
          <w:sz w:val="24"/>
          <w:szCs w:val="24"/>
          <w:lang w:val="ru-MD"/>
        </w:rPr>
        <w:t xml:space="preserve">Банки рассчитывают взвешенные по риску суммы подверженностей для своих подверженностей в виде единиц или акций, удерживаемых в ОКИ, путем умножения </w:t>
      </w:r>
      <w:r w:rsidR="00D77675" w:rsidRPr="00D43281">
        <w:rPr>
          <w:rFonts w:ascii="Times New Roman" w:hAnsi="Times New Roman" w:cs="Times New Roman"/>
          <w:color w:val="000000" w:themeColor="text1"/>
          <w:sz w:val="24"/>
          <w:szCs w:val="24"/>
          <w:lang w:val="ru-MD"/>
        </w:rPr>
        <w:t>взвешенных по риску суммы подверженностей</w:t>
      </w:r>
      <w:r w:rsidRPr="00D43281">
        <w:rPr>
          <w:rFonts w:ascii="Times New Roman" w:hAnsi="Times New Roman" w:cs="Times New Roman"/>
          <w:color w:val="000000" w:themeColor="text1"/>
          <w:sz w:val="24"/>
          <w:szCs w:val="24"/>
          <w:lang w:val="ru-MD"/>
        </w:rPr>
        <w:t xml:space="preserve"> для ОКИ, рассчитанн</w:t>
      </w:r>
      <w:r w:rsidR="00D77675" w:rsidRPr="00D43281">
        <w:rPr>
          <w:rFonts w:ascii="Times New Roman" w:hAnsi="Times New Roman" w:cs="Times New Roman"/>
          <w:color w:val="000000" w:themeColor="text1"/>
          <w:sz w:val="24"/>
          <w:szCs w:val="24"/>
          <w:lang w:val="ru-MD"/>
        </w:rPr>
        <w:t>ой</w:t>
      </w:r>
      <w:r w:rsidRPr="00D43281">
        <w:rPr>
          <w:rFonts w:ascii="Times New Roman" w:hAnsi="Times New Roman" w:cs="Times New Roman"/>
          <w:color w:val="000000" w:themeColor="text1"/>
          <w:sz w:val="24"/>
          <w:szCs w:val="24"/>
          <w:lang w:val="ru-MD"/>
        </w:rPr>
        <w:t xml:space="preserve"> в соответствии с подходами, предусмотренными в пунктах 60 и 64, на процентную долю единиц или акций, удерживаемых соответствующими банками</w:t>
      </w:r>
      <w:r w:rsidR="008A7745" w:rsidRPr="00D43281">
        <w:rPr>
          <w:rFonts w:ascii="Times New Roman" w:hAnsi="Times New Roman" w:cs="Times New Roman"/>
          <w:color w:val="000000" w:themeColor="text1"/>
          <w:sz w:val="24"/>
          <w:szCs w:val="24"/>
          <w:lang w:val="ru-MD"/>
        </w:rPr>
        <w:t>.</w:t>
      </w:r>
      <w:bookmarkEnd w:id="57"/>
    </w:p>
    <w:p w14:paraId="107961AC" w14:textId="5D2D68BE" w:rsidR="00710305" w:rsidRPr="00D43281" w:rsidRDefault="00710305" w:rsidP="0071030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58" w:name="_Ref215041769"/>
      <w:bookmarkStart w:id="59" w:name="_Ref215041980"/>
      <w:r w:rsidRPr="00D43281">
        <w:rPr>
          <w:rFonts w:ascii="Times New Roman" w:hAnsi="Times New Roman" w:cs="Times New Roman"/>
          <w:color w:val="000000" w:themeColor="text1"/>
          <w:sz w:val="24"/>
          <w:szCs w:val="24"/>
          <w:lang w:val="ru-RU"/>
        </w:rPr>
        <w:t>В случае если выполняются условия для определения значения взвешенной по риску суммы подверженност</w:t>
      </w:r>
      <w:r w:rsidR="00855F8F" w:rsidRPr="00D43281">
        <w:rPr>
          <w:rFonts w:ascii="Times New Roman" w:hAnsi="Times New Roman" w:cs="Times New Roman"/>
          <w:color w:val="000000" w:themeColor="text1"/>
          <w:sz w:val="24"/>
          <w:szCs w:val="24"/>
          <w:lang w:val="ru-RU"/>
        </w:rPr>
        <w:t>ей</w:t>
      </w:r>
      <w:r w:rsidRPr="00D43281">
        <w:rPr>
          <w:rFonts w:ascii="Times New Roman" w:hAnsi="Times New Roman" w:cs="Times New Roman"/>
          <w:color w:val="000000" w:themeColor="text1"/>
          <w:sz w:val="24"/>
          <w:szCs w:val="24"/>
          <w:lang w:val="ru-RU"/>
        </w:rPr>
        <w:t xml:space="preserve"> ОКИ, предусмотренн</w:t>
      </w:r>
      <w:r w:rsidR="00855F8F" w:rsidRPr="00D43281">
        <w:rPr>
          <w:rFonts w:ascii="Times New Roman" w:hAnsi="Times New Roman" w:cs="Times New Roman"/>
          <w:color w:val="000000" w:themeColor="text1"/>
          <w:sz w:val="24"/>
          <w:szCs w:val="24"/>
          <w:lang w:val="ru-RU"/>
        </w:rPr>
        <w:t>ых</w:t>
      </w:r>
      <w:r w:rsidRPr="00D43281">
        <w:rPr>
          <w:rFonts w:ascii="Times New Roman" w:hAnsi="Times New Roman" w:cs="Times New Roman"/>
          <w:color w:val="000000" w:themeColor="text1"/>
          <w:sz w:val="24"/>
          <w:szCs w:val="24"/>
          <w:lang w:val="ru-RU"/>
        </w:rPr>
        <w:t xml:space="preserve"> Регламентом № 111/2018, банки, располагающие достаточной информацией об отдельных базовых подверженност</w:t>
      </w:r>
      <w:r w:rsidR="00EA37E8" w:rsidRPr="00D43281">
        <w:rPr>
          <w:rFonts w:ascii="Times New Roman" w:hAnsi="Times New Roman" w:cs="Times New Roman"/>
          <w:color w:val="000000" w:themeColor="text1"/>
          <w:sz w:val="24"/>
          <w:szCs w:val="24"/>
          <w:lang w:val="ru-RU"/>
        </w:rPr>
        <w:t>ях</w:t>
      </w:r>
      <w:r w:rsidRPr="00D43281">
        <w:rPr>
          <w:rFonts w:ascii="Times New Roman" w:hAnsi="Times New Roman" w:cs="Times New Roman"/>
          <w:color w:val="000000" w:themeColor="text1"/>
          <w:sz w:val="24"/>
          <w:szCs w:val="24"/>
          <w:lang w:val="ru-RU"/>
        </w:rPr>
        <w:t xml:space="preserve"> О</w:t>
      </w:r>
      <w:r w:rsidR="00EA37E8" w:rsidRPr="00D43281">
        <w:rPr>
          <w:rFonts w:ascii="Times New Roman" w:hAnsi="Times New Roman" w:cs="Times New Roman"/>
          <w:color w:val="000000" w:themeColor="text1"/>
          <w:sz w:val="24"/>
          <w:szCs w:val="24"/>
          <w:lang w:val="ru-RU"/>
        </w:rPr>
        <w:t>КИ</w:t>
      </w:r>
      <w:r w:rsidRPr="00D43281">
        <w:rPr>
          <w:rFonts w:ascii="Times New Roman" w:hAnsi="Times New Roman" w:cs="Times New Roman"/>
          <w:color w:val="000000" w:themeColor="text1"/>
          <w:sz w:val="24"/>
          <w:szCs w:val="24"/>
          <w:lang w:val="ru-RU"/>
        </w:rPr>
        <w:t xml:space="preserve">, учитывают эти базовые </w:t>
      </w:r>
      <w:r w:rsidR="00EA37E8" w:rsidRPr="00D43281">
        <w:rPr>
          <w:rFonts w:ascii="Times New Roman" w:hAnsi="Times New Roman" w:cs="Times New Roman"/>
          <w:color w:val="000000" w:themeColor="text1"/>
          <w:sz w:val="24"/>
          <w:szCs w:val="24"/>
          <w:lang w:val="ru-RU"/>
        </w:rPr>
        <w:t>подверженности</w:t>
      </w:r>
      <w:r w:rsidRPr="00D43281">
        <w:rPr>
          <w:rFonts w:ascii="Times New Roman" w:hAnsi="Times New Roman" w:cs="Times New Roman"/>
          <w:color w:val="000000" w:themeColor="text1"/>
          <w:sz w:val="24"/>
          <w:szCs w:val="24"/>
          <w:lang w:val="ru-RU"/>
        </w:rPr>
        <w:t xml:space="preserve"> при расчете значения взвешенн</w:t>
      </w:r>
      <w:r w:rsidR="00EA37E8" w:rsidRPr="00D43281">
        <w:rPr>
          <w:rFonts w:ascii="Times New Roman" w:hAnsi="Times New Roman" w:cs="Times New Roman"/>
          <w:color w:val="000000" w:themeColor="text1"/>
          <w:sz w:val="24"/>
          <w:szCs w:val="24"/>
          <w:lang w:val="ru-RU"/>
        </w:rPr>
        <w:t>ых по риску</w:t>
      </w:r>
      <w:r w:rsidRPr="00D43281">
        <w:rPr>
          <w:rFonts w:ascii="Times New Roman" w:hAnsi="Times New Roman" w:cs="Times New Roman"/>
          <w:color w:val="000000" w:themeColor="text1"/>
          <w:sz w:val="24"/>
          <w:szCs w:val="24"/>
          <w:lang w:val="ru-RU"/>
        </w:rPr>
        <w:t xml:space="preserve"> сумм для О</w:t>
      </w:r>
      <w:r w:rsidR="00FC0C49" w:rsidRPr="00D43281">
        <w:rPr>
          <w:rFonts w:ascii="Times New Roman" w:hAnsi="Times New Roman" w:cs="Times New Roman"/>
          <w:color w:val="000000" w:themeColor="text1"/>
          <w:sz w:val="24"/>
          <w:szCs w:val="24"/>
          <w:lang w:val="ru-RU"/>
        </w:rPr>
        <w:t>КИ</w:t>
      </w:r>
      <w:r w:rsidRPr="00D43281">
        <w:rPr>
          <w:rFonts w:ascii="Times New Roman" w:hAnsi="Times New Roman" w:cs="Times New Roman"/>
          <w:color w:val="000000" w:themeColor="text1"/>
          <w:sz w:val="24"/>
          <w:szCs w:val="24"/>
          <w:lang w:val="ru-RU"/>
        </w:rPr>
        <w:t xml:space="preserve">, взвешивая по риску все базовые </w:t>
      </w:r>
      <w:r w:rsidR="00FC0C49" w:rsidRPr="00D43281">
        <w:rPr>
          <w:rFonts w:ascii="Times New Roman" w:hAnsi="Times New Roman" w:cs="Times New Roman"/>
          <w:color w:val="000000" w:themeColor="text1"/>
          <w:sz w:val="24"/>
          <w:szCs w:val="24"/>
          <w:lang w:val="ru-RU"/>
        </w:rPr>
        <w:t xml:space="preserve">подверженности </w:t>
      </w:r>
      <w:r w:rsidRPr="00D43281">
        <w:rPr>
          <w:rFonts w:ascii="Times New Roman" w:hAnsi="Times New Roman" w:cs="Times New Roman"/>
          <w:color w:val="000000" w:themeColor="text1"/>
          <w:sz w:val="24"/>
          <w:szCs w:val="24"/>
          <w:lang w:val="ru-RU"/>
        </w:rPr>
        <w:t>О</w:t>
      </w:r>
      <w:r w:rsidR="00FC0C49" w:rsidRPr="00D43281">
        <w:rPr>
          <w:rFonts w:ascii="Times New Roman" w:hAnsi="Times New Roman" w:cs="Times New Roman"/>
          <w:color w:val="000000" w:themeColor="text1"/>
          <w:sz w:val="24"/>
          <w:szCs w:val="24"/>
          <w:lang w:val="ru-RU"/>
        </w:rPr>
        <w:t>КИ</w:t>
      </w:r>
      <w:r w:rsidRPr="00D43281">
        <w:rPr>
          <w:rFonts w:ascii="Times New Roman" w:hAnsi="Times New Roman" w:cs="Times New Roman"/>
          <w:color w:val="000000" w:themeColor="text1"/>
          <w:sz w:val="24"/>
          <w:szCs w:val="24"/>
          <w:lang w:val="ru-RU"/>
        </w:rPr>
        <w:t xml:space="preserve"> так, как если бы они принадлежали непосредственно данным банкам</w:t>
      </w:r>
      <w:r w:rsidR="00487882" w:rsidRPr="00D43281">
        <w:rPr>
          <w:rFonts w:ascii="Times New Roman" w:hAnsi="Times New Roman" w:cs="Times New Roman"/>
          <w:color w:val="000000" w:themeColor="text1"/>
          <w:sz w:val="24"/>
          <w:szCs w:val="24"/>
          <w:lang w:val="ru-RU"/>
        </w:rPr>
        <w:t>.</w:t>
      </w:r>
    </w:p>
    <w:p w14:paraId="2864F06B" w14:textId="405B551F" w:rsidR="00DD4BE3" w:rsidRPr="00D43281" w:rsidRDefault="00DD4BE3" w:rsidP="00DD4BE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60" w:name="_Ref215042582"/>
      <w:bookmarkEnd w:id="58"/>
      <w:bookmarkEnd w:id="59"/>
      <w:r w:rsidRPr="00D43281">
        <w:rPr>
          <w:rFonts w:ascii="Times New Roman" w:hAnsi="Times New Roman" w:cs="Times New Roman"/>
          <w:color w:val="000000" w:themeColor="text1"/>
          <w:sz w:val="24"/>
          <w:szCs w:val="24"/>
          <w:lang w:val="ru-MD"/>
        </w:rPr>
        <w:t xml:space="preserve">В отступление от подпункта 5) пункта 132 Регламента № 109/2018, банки, рассчитывающие взвешенные по риску суммы подверженностей для ОКИ в соответствии с пунктами 59 или 60, могут рассчитывать требование к собственным средствам в отношении риска, связанного с корректировками кредитной оценки, для </w:t>
      </w:r>
      <w:r w:rsidR="00955637" w:rsidRPr="00D43281">
        <w:rPr>
          <w:rFonts w:ascii="Times New Roman" w:hAnsi="Times New Roman" w:cs="Times New Roman"/>
          <w:color w:val="000000" w:themeColor="text1"/>
          <w:sz w:val="24"/>
          <w:szCs w:val="24"/>
          <w:lang w:val="ru-MD"/>
        </w:rPr>
        <w:t>подверженностей</w:t>
      </w:r>
      <w:r w:rsidRPr="00D43281">
        <w:rPr>
          <w:rFonts w:ascii="Times New Roman" w:hAnsi="Times New Roman" w:cs="Times New Roman"/>
          <w:color w:val="000000" w:themeColor="text1"/>
          <w:sz w:val="24"/>
          <w:szCs w:val="24"/>
          <w:lang w:val="ru-MD"/>
        </w:rPr>
        <w:t xml:space="preserve"> по производным финансовым инструментам данного О</w:t>
      </w:r>
      <w:r w:rsidR="00857125" w:rsidRPr="00D43281">
        <w:rPr>
          <w:rFonts w:ascii="Times New Roman" w:hAnsi="Times New Roman" w:cs="Times New Roman"/>
          <w:color w:val="000000" w:themeColor="text1"/>
          <w:sz w:val="24"/>
          <w:szCs w:val="24"/>
          <w:lang w:val="ru-MD"/>
        </w:rPr>
        <w:t>КИ</w:t>
      </w:r>
      <w:r w:rsidRPr="00D43281">
        <w:rPr>
          <w:rFonts w:ascii="Times New Roman" w:hAnsi="Times New Roman" w:cs="Times New Roman"/>
          <w:color w:val="000000" w:themeColor="text1"/>
          <w:sz w:val="24"/>
          <w:szCs w:val="24"/>
          <w:lang w:val="ru-MD"/>
        </w:rPr>
        <w:t xml:space="preserve"> как сумму, равную</w:t>
      </w:r>
      <w:r w:rsidR="00857125" w:rsidRPr="00D43281">
        <w:rPr>
          <w:rFonts w:ascii="Times New Roman" w:hAnsi="Times New Roman" w:cs="Times New Roman"/>
          <w:color w:val="000000" w:themeColor="text1"/>
          <w:sz w:val="24"/>
          <w:szCs w:val="24"/>
          <w:lang w:val="ru-MD"/>
        </w:rPr>
        <w:t xml:space="preserve"> </w:t>
      </w:r>
      <w:r w:rsidRPr="00D43281">
        <w:rPr>
          <w:rFonts w:ascii="Times New Roman" w:hAnsi="Times New Roman" w:cs="Times New Roman"/>
          <w:color w:val="000000" w:themeColor="text1"/>
          <w:sz w:val="24"/>
          <w:szCs w:val="24"/>
          <w:lang w:val="ru-MD"/>
        </w:rPr>
        <w:t xml:space="preserve">50% требования к собственным средствам по соответствующим </w:t>
      </w:r>
      <w:r w:rsidR="00857125" w:rsidRPr="00D43281">
        <w:rPr>
          <w:rFonts w:ascii="Times New Roman" w:hAnsi="Times New Roman" w:cs="Times New Roman"/>
          <w:color w:val="000000" w:themeColor="text1"/>
          <w:sz w:val="24"/>
          <w:szCs w:val="24"/>
          <w:lang w:val="ru-MD"/>
        </w:rPr>
        <w:t>подверженностям</w:t>
      </w:r>
      <w:r w:rsidRPr="00D43281">
        <w:rPr>
          <w:rFonts w:ascii="Times New Roman" w:hAnsi="Times New Roman" w:cs="Times New Roman"/>
          <w:color w:val="000000" w:themeColor="text1"/>
          <w:sz w:val="24"/>
          <w:szCs w:val="24"/>
          <w:lang w:val="ru-MD"/>
        </w:rPr>
        <w:t xml:space="preserve"> по производным финансовым инструментам, рассчитанной в соответствии с подходами и методами, предусмотренными в нормативных актах Национального банка Молдовы, касающихся </w:t>
      </w:r>
      <w:r w:rsidR="003B34A0" w:rsidRPr="00D43281">
        <w:rPr>
          <w:rFonts w:ascii="Times New Roman" w:hAnsi="Times New Roman" w:cs="Times New Roman"/>
          <w:color w:val="000000" w:themeColor="text1"/>
          <w:sz w:val="24"/>
          <w:szCs w:val="24"/>
          <w:lang w:val="ru-MD"/>
        </w:rPr>
        <w:t>подхода к кредитному</w:t>
      </w:r>
      <w:r w:rsidRPr="00D43281">
        <w:rPr>
          <w:rFonts w:ascii="Times New Roman" w:hAnsi="Times New Roman" w:cs="Times New Roman"/>
          <w:color w:val="000000" w:themeColor="text1"/>
          <w:sz w:val="24"/>
          <w:szCs w:val="24"/>
          <w:lang w:val="ru-MD"/>
        </w:rPr>
        <w:t xml:space="preserve"> риска контрагента, в зависимости от обстоятельств</w:t>
      </w:r>
      <w:r w:rsidR="003B34A0" w:rsidRPr="00D43281">
        <w:rPr>
          <w:rFonts w:ascii="Times New Roman" w:hAnsi="Times New Roman" w:cs="Times New Roman"/>
          <w:color w:val="000000" w:themeColor="text1"/>
          <w:sz w:val="24"/>
          <w:szCs w:val="24"/>
          <w:lang w:val="ru-MD"/>
        </w:rPr>
        <w:t>.</w:t>
      </w:r>
    </w:p>
    <w:p w14:paraId="4F46C652" w14:textId="37A236E2" w:rsidR="008A7745" w:rsidRPr="00D43281" w:rsidRDefault="00D472D4"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61" w:name="_Ref215043349"/>
      <w:bookmarkEnd w:id="60"/>
      <w:r w:rsidRPr="00D43281">
        <w:rPr>
          <w:rFonts w:ascii="Times New Roman" w:hAnsi="Times New Roman" w:cs="Times New Roman"/>
          <w:color w:val="000000" w:themeColor="text1"/>
          <w:sz w:val="24"/>
          <w:szCs w:val="24"/>
          <w:lang w:val="ru-RU"/>
        </w:rPr>
        <w:t>В отступление от пункта 61 банк может исключить из расчета требования к собственным средствам в отношении риска, связанного с корректировками оценки кредита, подверженности по производным финансовым инструментам, которые не подлежали бы этому требованию, если бы они были приняты на себя непосредственно банком</w:t>
      </w:r>
      <w:r w:rsidR="008A7745" w:rsidRPr="00D43281">
        <w:rPr>
          <w:rFonts w:ascii="Times New Roman" w:hAnsi="Times New Roman" w:cs="Times New Roman"/>
          <w:color w:val="000000" w:themeColor="text1"/>
          <w:sz w:val="24"/>
          <w:szCs w:val="24"/>
          <w:lang w:val="ru-RU"/>
        </w:rPr>
        <w:t>.</w:t>
      </w:r>
      <w:bookmarkEnd w:id="61"/>
    </w:p>
    <w:p w14:paraId="69331958" w14:textId="6520447B" w:rsidR="008A7745" w:rsidRPr="00D43281" w:rsidRDefault="000A008A" w:rsidP="00CB4236">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62" w:name="_Ref215044416"/>
      <w:r w:rsidRPr="00D43281">
        <w:rPr>
          <w:rFonts w:ascii="Times New Roman" w:hAnsi="Times New Roman" w:cs="Times New Roman"/>
          <w:color w:val="000000" w:themeColor="text1"/>
          <w:sz w:val="24"/>
          <w:szCs w:val="24"/>
          <w:lang w:val="ru-MD"/>
        </w:rPr>
        <w:t>Банки, применяющие прозрачный подход «</w:t>
      </w:r>
      <w:proofErr w:type="spellStart"/>
      <w:r w:rsidRPr="00D43281">
        <w:rPr>
          <w:rFonts w:ascii="Times New Roman" w:hAnsi="Times New Roman" w:cs="Times New Roman"/>
          <w:color w:val="000000" w:themeColor="text1"/>
          <w:sz w:val="24"/>
          <w:szCs w:val="24"/>
          <w:lang w:val="ru-MD"/>
        </w:rPr>
        <w:t>look</w:t>
      </w:r>
      <w:proofErr w:type="spellEnd"/>
      <w:r w:rsidRPr="00D43281">
        <w:rPr>
          <w:rFonts w:ascii="Times New Roman" w:hAnsi="Times New Roman" w:cs="Times New Roman"/>
          <w:color w:val="000000" w:themeColor="text1"/>
          <w:sz w:val="24"/>
          <w:szCs w:val="24"/>
          <w:lang w:val="ru-MD"/>
        </w:rPr>
        <w:t xml:space="preserve"> </w:t>
      </w:r>
      <w:proofErr w:type="spellStart"/>
      <w:r w:rsidRPr="00D43281">
        <w:rPr>
          <w:rFonts w:ascii="Times New Roman" w:hAnsi="Times New Roman" w:cs="Times New Roman"/>
          <w:color w:val="000000" w:themeColor="text1"/>
          <w:sz w:val="24"/>
          <w:szCs w:val="24"/>
          <w:lang w:val="ru-MD"/>
        </w:rPr>
        <w:t>through</w:t>
      </w:r>
      <w:proofErr w:type="spellEnd"/>
      <w:r w:rsidRPr="00D43281">
        <w:rPr>
          <w:rFonts w:ascii="Times New Roman" w:hAnsi="Times New Roman" w:cs="Times New Roman"/>
          <w:color w:val="000000" w:themeColor="text1"/>
          <w:sz w:val="24"/>
          <w:szCs w:val="24"/>
          <w:lang w:val="ru-MD"/>
        </w:rPr>
        <w:t>» в соответствии с пунктами 60, 61 и 62 и не использующие методы, предусмотренные настоящим регламентом или, в соответствующих случаях, нормативными актами Национального банка Молдовы, касающимися пруденциального учета секьюритизации, в отношении всех базовых подверженностей ОКИ или их части рассчитывают взвешенные по риску суммы подверженностей и величины ожидаемых убытков для всех соответствующих базовых подверженностей или их соответствующей части в соответствии со следующими принципами</w:t>
      </w:r>
      <w:r w:rsidR="008A7745" w:rsidRPr="00D43281">
        <w:rPr>
          <w:rFonts w:ascii="Times New Roman" w:hAnsi="Times New Roman" w:cs="Times New Roman"/>
          <w:color w:val="000000" w:themeColor="text1"/>
          <w:sz w:val="24"/>
          <w:szCs w:val="24"/>
          <w:lang w:val="ro-RO"/>
        </w:rPr>
        <w:t>:</w:t>
      </w:r>
      <w:bookmarkEnd w:id="62"/>
    </w:p>
    <w:p w14:paraId="4D64DC06" w14:textId="21F00E5C" w:rsidR="008A7745" w:rsidRPr="00D43281" w:rsidRDefault="00B7293F" w:rsidP="009248E4">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bookmarkStart w:id="63" w:name="_Ref215044396"/>
      <w:r w:rsidRPr="00D43281">
        <w:rPr>
          <w:rFonts w:ascii="Times New Roman" w:hAnsi="Times New Roman" w:cs="Times New Roman"/>
          <w:color w:val="000000" w:themeColor="text1"/>
          <w:sz w:val="24"/>
          <w:szCs w:val="24"/>
          <w:lang w:val="ru-MD"/>
        </w:rPr>
        <w:t>В случае базовых подверженностей, которые классифицируются как подверженности из капитальных ценных бумаг, как указано в подпункте 19.6</w:t>
      </w:r>
      <w:r w:rsidR="00A42EAD" w:rsidRPr="00D43281">
        <w:rPr>
          <w:rFonts w:ascii="Times New Roman" w:hAnsi="Times New Roman" w:cs="Times New Roman"/>
          <w:color w:val="000000" w:themeColor="text1"/>
          <w:sz w:val="24"/>
          <w:szCs w:val="24"/>
          <w:lang w:val="ru-MD"/>
        </w:rPr>
        <w:t xml:space="preserve"> пункта 19</w:t>
      </w:r>
      <w:r w:rsidRPr="00D43281">
        <w:rPr>
          <w:rFonts w:ascii="Times New Roman" w:hAnsi="Times New Roman" w:cs="Times New Roman"/>
          <w:color w:val="000000" w:themeColor="text1"/>
          <w:sz w:val="24"/>
          <w:szCs w:val="24"/>
          <w:lang w:val="ru-MD"/>
        </w:rPr>
        <w:t xml:space="preserve">, </w:t>
      </w:r>
      <w:r w:rsidRPr="00D43281">
        <w:rPr>
          <w:rFonts w:ascii="Times New Roman" w:hAnsi="Times New Roman" w:cs="Times New Roman"/>
          <w:color w:val="000000" w:themeColor="text1"/>
          <w:sz w:val="24"/>
          <w:szCs w:val="24"/>
          <w:lang w:val="ru-MD"/>
        </w:rPr>
        <w:lastRenderedPageBreak/>
        <w:t>банки должны применять стандартизированный подход, предусмотренный Регламентом № 111/2018</w:t>
      </w:r>
      <w:r w:rsidR="008A7745" w:rsidRPr="00D43281">
        <w:rPr>
          <w:rFonts w:ascii="Times New Roman" w:hAnsi="Times New Roman" w:cs="Times New Roman"/>
          <w:color w:val="000000" w:themeColor="text1"/>
          <w:sz w:val="24"/>
          <w:szCs w:val="24"/>
          <w:lang w:val="ru-MD"/>
        </w:rPr>
        <w:t>;</w:t>
      </w:r>
      <w:bookmarkEnd w:id="63"/>
    </w:p>
    <w:p w14:paraId="40286E6B" w14:textId="11639393" w:rsidR="008A7745" w:rsidRPr="00D43281" w:rsidRDefault="0018779D" w:rsidP="0018518C">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63.2. В случае подверженностей, отнесенных к категории активов, представляющих собой позиции по секьюритизации, указанные в подпункте 19.8 пункта 19, банки должны применять порядок применения иерархии методов, предусмотренный нормативными актами Национального банка Молдовы, касающимися пруденциального регулирования секьюритизации, как если бы соответствующие </w:t>
      </w:r>
      <w:r w:rsidR="008362C5" w:rsidRPr="00D43281">
        <w:rPr>
          <w:rFonts w:ascii="Times New Roman" w:hAnsi="Times New Roman" w:cs="Times New Roman"/>
          <w:color w:val="000000" w:themeColor="text1"/>
          <w:sz w:val="24"/>
          <w:szCs w:val="24"/>
          <w:lang w:val="ru-MD"/>
        </w:rPr>
        <w:t>подверженности</w:t>
      </w:r>
      <w:r w:rsidRPr="00D43281">
        <w:rPr>
          <w:rFonts w:ascii="Times New Roman" w:hAnsi="Times New Roman" w:cs="Times New Roman"/>
          <w:color w:val="000000" w:themeColor="text1"/>
          <w:sz w:val="24"/>
          <w:szCs w:val="24"/>
          <w:lang w:val="ru-MD"/>
        </w:rPr>
        <w:t xml:space="preserve"> находились в непосредственном владении этих банков</w:t>
      </w:r>
      <w:r w:rsidR="008362C5" w:rsidRPr="00D43281">
        <w:rPr>
          <w:rFonts w:ascii="Times New Roman" w:hAnsi="Times New Roman" w:cs="Times New Roman"/>
          <w:color w:val="000000" w:themeColor="text1"/>
          <w:sz w:val="24"/>
          <w:szCs w:val="24"/>
          <w:lang w:val="ru-MD"/>
        </w:rPr>
        <w:t>;</w:t>
      </w:r>
    </w:p>
    <w:p w14:paraId="1B6227DB" w14:textId="34213210" w:rsidR="008A7745" w:rsidRPr="00D43281" w:rsidRDefault="002673C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bookmarkStart w:id="64" w:name="_Ref215044408"/>
      <w:r w:rsidRPr="00D43281">
        <w:rPr>
          <w:rFonts w:ascii="Times New Roman" w:hAnsi="Times New Roman" w:cs="Times New Roman"/>
          <w:color w:val="000000" w:themeColor="text1"/>
          <w:sz w:val="24"/>
          <w:szCs w:val="24"/>
          <w:lang w:val="ru-MD"/>
        </w:rPr>
        <w:t>В отношении всех прочих базовых подверженностей банки применяют стандартизированный подход, предусмотренный в Регламенте № 111/2018</w:t>
      </w:r>
      <w:r w:rsidR="008A7745" w:rsidRPr="00D43281">
        <w:rPr>
          <w:rFonts w:ascii="Times New Roman" w:hAnsi="Times New Roman" w:cs="Times New Roman"/>
          <w:color w:val="000000" w:themeColor="text1"/>
          <w:sz w:val="24"/>
          <w:szCs w:val="24"/>
          <w:lang w:val="ru-MD"/>
        </w:rPr>
        <w:t>.</w:t>
      </w:r>
      <w:bookmarkEnd w:id="64"/>
    </w:p>
    <w:p w14:paraId="3F7FE2DB" w14:textId="5F810143" w:rsidR="008A7745" w:rsidRPr="00D43281" w:rsidRDefault="009A630C" w:rsidP="0086392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65" w:name="_Ref215041869"/>
      <w:bookmarkStart w:id="66" w:name="_Ref215044675"/>
      <w:r w:rsidRPr="00D43281">
        <w:rPr>
          <w:rFonts w:ascii="Times New Roman" w:hAnsi="Times New Roman" w:cs="Times New Roman"/>
          <w:color w:val="000000" w:themeColor="text1"/>
          <w:sz w:val="24"/>
          <w:szCs w:val="24"/>
          <w:lang w:val="ru-RU"/>
        </w:rPr>
        <w:t xml:space="preserve">В случае если выполняются условия для определения </w:t>
      </w:r>
      <w:r w:rsidR="005C7183" w:rsidRPr="00D43281">
        <w:rPr>
          <w:rFonts w:ascii="Times New Roman" w:hAnsi="Times New Roman" w:cs="Times New Roman"/>
          <w:color w:val="000000" w:themeColor="text1"/>
          <w:sz w:val="24"/>
          <w:szCs w:val="24"/>
          <w:lang w:val="ru-RU"/>
        </w:rPr>
        <w:t xml:space="preserve">значения взвешенной по риску суммы подверженностей ОКИ, </w:t>
      </w:r>
      <w:r w:rsidRPr="00D43281">
        <w:rPr>
          <w:rFonts w:ascii="Times New Roman" w:hAnsi="Times New Roman" w:cs="Times New Roman"/>
          <w:color w:val="000000" w:themeColor="text1"/>
          <w:sz w:val="24"/>
          <w:szCs w:val="24"/>
          <w:lang w:val="ru-RU"/>
        </w:rPr>
        <w:t>предусмотренны</w:t>
      </w:r>
      <w:r w:rsidR="00454353" w:rsidRPr="00D43281">
        <w:rPr>
          <w:rFonts w:ascii="Times New Roman" w:hAnsi="Times New Roman" w:cs="Times New Roman"/>
          <w:color w:val="000000" w:themeColor="text1"/>
          <w:sz w:val="24"/>
          <w:szCs w:val="24"/>
          <w:lang w:val="ru-RU"/>
        </w:rPr>
        <w:t>х</w:t>
      </w:r>
      <w:r w:rsidRPr="00D43281">
        <w:rPr>
          <w:rFonts w:ascii="Times New Roman" w:hAnsi="Times New Roman" w:cs="Times New Roman"/>
          <w:color w:val="000000" w:themeColor="text1"/>
          <w:sz w:val="24"/>
          <w:szCs w:val="24"/>
          <w:lang w:val="ru-RU"/>
        </w:rPr>
        <w:t xml:space="preserve"> Регламентом № 111/2018, банки, не располагающие достаточной информацией об отдельных базовых </w:t>
      </w:r>
      <w:proofErr w:type="spellStart"/>
      <w:r w:rsidR="00454353" w:rsidRPr="00D43281">
        <w:rPr>
          <w:rFonts w:ascii="Times New Roman" w:hAnsi="Times New Roman" w:cs="Times New Roman"/>
          <w:color w:val="000000" w:themeColor="text1"/>
          <w:sz w:val="24"/>
          <w:szCs w:val="24"/>
          <w:lang w:val="ru-RU"/>
        </w:rPr>
        <w:t>подверженостях</w:t>
      </w:r>
      <w:proofErr w:type="spellEnd"/>
      <w:r w:rsidRPr="00D43281">
        <w:rPr>
          <w:rFonts w:ascii="Times New Roman" w:hAnsi="Times New Roman" w:cs="Times New Roman"/>
          <w:color w:val="000000" w:themeColor="text1"/>
          <w:sz w:val="24"/>
          <w:szCs w:val="24"/>
          <w:lang w:val="ru-RU"/>
        </w:rPr>
        <w:t xml:space="preserve"> О</w:t>
      </w:r>
      <w:r w:rsidR="00454353" w:rsidRPr="00D43281">
        <w:rPr>
          <w:rFonts w:ascii="Times New Roman" w:hAnsi="Times New Roman" w:cs="Times New Roman"/>
          <w:color w:val="000000" w:themeColor="text1"/>
          <w:sz w:val="24"/>
          <w:szCs w:val="24"/>
          <w:lang w:val="ru-RU"/>
        </w:rPr>
        <w:t>КИ</w:t>
      </w:r>
      <w:r w:rsidRPr="00D43281">
        <w:rPr>
          <w:rFonts w:ascii="Times New Roman" w:hAnsi="Times New Roman" w:cs="Times New Roman"/>
          <w:color w:val="000000" w:themeColor="text1"/>
          <w:sz w:val="24"/>
          <w:szCs w:val="24"/>
          <w:lang w:val="ru-RU"/>
        </w:rPr>
        <w:t xml:space="preserve">, могут рассчитывать </w:t>
      </w:r>
      <w:r w:rsidR="00454353" w:rsidRPr="00D43281">
        <w:rPr>
          <w:rFonts w:ascii="Times New Roman" w:hAnsi="Times New Roman" w:cs="Times New Roman"/>
          <w:color w:val="000000" w:themeColor="text1"/>
          <w:sz w:val="24"/>
          <w:szCs w:val="24"/>
          <w:lang w:val="ru-RU"/>
        </w:rPr>
        <w:t>значение</w:t>
      </w:r>
      <w:r w:rsidRPr="00D43281">
        <w:rPr>
          <w:rFonts w:ascii="Times New Roman" w:hAnsi="Times New Roman" w:cs="Times New Roman"/>
          <w:color w:val="000000" w:themeColor="text1"/>
          <w:sz w:val="24"/>
          <w:szCs w:val="24"/>
          <w:lang w:val="ru-RU"/>
        </w:rPr>
        <w:t xml:space="preserve"> </w:t>
      </w:r>
      <w:r w:rsidR="00626A17" w:rsidRPr="00D43281">
        <w:rPr>
          <w:rFonts w:ascii="Times New Roman" w:hAnsi="Times New Roman" w:cs="Times New Roman"/>
          <w:color w:val="000000" w:themeColor="text1"/>
          <w:sz w:val="24"/>
          <w:szCs w:val="24"/>
          <w:lang w:val="ru-RU"/>
        </w:rPr>
        <w:t xml:space="preserve">взвешенной по риску суммы подверженностей </w:t>
      </w:r>
      <w:r w:rsidRPr="00D43281">
        <w:rPr>
          <w:rFonts w:ascii="Times New Roman" w:hAnsi="Times New Roman" w:cs="Times New Roman"/>
          <w:color w:val="000000" w:themeColor="text1"/>
          <w:sz w:val="24"/>
          <w:szCs w:val="24"/>
          <w:lang w:val="ru-RU"/>
        </w:rPr>
        <w:t xml:space="preserve">для соответствующих </w:t>
      </w:r>
      <w:r w:rsidR="00626A17" w:rsidRPr="00D43281">
        <w:rPr>
          <w:rFonts w:ascii="Times New Roman" w:hAnsi="Times New Roman" w:cs="Times New Roman"/>
          <w:color w:val="000000" w:themeColor="text1"/>
          <w:sz w:val="24"/>
          <w:szCs w:val="24"/>
          <w:lang w:val="ru-RU"/>
        </w:rPr>
        <w:t xml:space="preserve">подверженностей </w:t>
      </w:r>
      <w:r w:rsidRPr="00D43281">
        <w:rPr>
          <w:rFonts w:ascii="Times New Roman" w:hAnsi="Times New Roman" w:cs="Times New Roman"/>
          <w:color w:val="000000" w:themeColor="text1"/>
          <w:sz w:val="24"/>
          <w:szCs w:val="24"/>
          <w:lang w:val="ru-RU"/>
        </w:rPr>
        <w:t>в соответствии с пределами, установленными в подходе на основе мандата, предусмотренном пунктами 82</w:t>
      </w:r>
      <w:r w:rsidR="00626A17" w:rsidRPr="00D43281">
        <w:rPr>
          <w:rFonts w:ascii="Times New Roman" w:hAnsi="Times New Roman" w:cs="Times New Roman"/>
          <w:color w:val="000000" w:themeColor="text1"/>
          <w:sz w:val="24"/>
          <w:szCs w:val="24"/>
          <w:vertAlign w:val="superscript"/>
          <w:lang w:val="ru-RU"/>
        </w:rPr>
        <w:t>15</w:t>
      </w:r>
      <w:r w:rsidRPr="00D43281">
        <w:rPr>
          <w:rFonts w:ascii="Times New Roman" w:hAnsi="Times New Roman" w:cs="Times New Roman"/>
          <w:color w:val="000000" w:themeColor="text1"/>
          <w:sz w:val="24"/>
          <w:szCs w:val="24"/>
          <w:lang w:val="ru-RU"/>
        </w:rPr>
        <w:t>–82</w:t>
      </w:r>
      <w:r w:rsidR="00626A17" w:rsidRPr="00D43281">
        <w:rPr>
          <w:rFonts w:ascii="Times New Roman" w:hAnsi="Times New Roman" w:cs="Times New Roman"/>
          <w:color w:val="000000" w:themeColor="text1"/>
          <w:sz w:val="24"/>
          <w:szCs w:val="24"/>
          <w:vertAlign w:val="superscript"/>
          <w:lang w:val="ru-RU"/>
        </w:rPr>
        <w:t>17</w:t>
      </w:r>
      <w:r w:rsidRPr="00D43281">
        <w:rPr>
          <w:rFonts w:ascii="Times New Roman" w:hAnsi="Times New Roman" w:cs="Times New Roman"/>
          <w:color w:val="000000" w:themeColor="text1"/>
          <w:sz w:val="24"/>
          <w:szCs w:val="24"/>
          <w:lang w:val="ru-RU"/>
        </w:rPr>
        <w:t xml:space="preserve"> Регламента № 111/2018. Тем не менее, в отношении </w:t>
      </w:r>
      <w:r w:rsidR="00F86407" w:rsidRPr="00D43281">
        <w:rPr>
          <w:rFonts w:ascii="Times New Roman" w:hAnsi="Times New Roman" w:cs="Times New Roman"/>
          <w:color w:val="000000" w:themeColor="text1"/>
          <w:sz w:val="24"/>
          <w:szCs w:val="24"/>
          <w:lang w:val="ru-RU"/>
        </w:rPr>
        <w:t>подверженностей</w:t>
      </w:r>
      <w:r w:rsidRPr="00D43281">
        <w:rPr>
          <w:rFonts w:ascii="Times New Roman" w:hAnsi="Times New Roman" w:cs="Times New Roman"/>
          <w:color w:val="000000" w:themeColor="text1"/>
          <w:sz w:val="24"/>
          <w:szCs w:val="24"/>
          <w:lang w:val="ru-RU"/>
        </w:rPr>
        <w:t>, перечисленных в подпунктах 63.1–63.3</w:t>
      </w:r>
      <w:r w:rsidR="00F86407" w:rsidRPr="00D43281">
        <w:rPr>
          <w:rFonts w:ascii="Times New Roman" w:hAnsi="Times New Roman" w:cs="Times New Roman"/>
          <w:color w:val="000000" w:themeColor="text1"/>
          <w:sz w:val="24"/>
          <w:szCs w:val="24"/>
          <w:lang w:val="ru-RU"/>
        </w:rPr>
        <w:t xml:space="preserve"> пункта 63</w:t>
      </w:r>
      <w:r w:rsidRPr="00D43281">
        <w:rPr>
          <w:rFonts w:ascii="Times New Roman" w:hAnsi="Times New Roman" w:cs="Times New Roman"/>
          <w:color w:val="000000" w:themeColor="text1"/>
          <w:sz w:val="24"/>
          <w:szCs w:val="24"/>
          <w:lang w:val="ru-RU"/>
        </w:rPr>
        <w:t>, банки применяют подходы, установленные в соответствующих подпунктах</w:t>
      </w:r>
      <w:bookmarkEnd w:id="65"/>
      <w:bookmarkEnd w:id="66"/>
      <w:r w:rsidR="00F86407" w:rsidRPr="00D43281">
        <w:rPr>
          <w:rFonts w:ascii="Times New Roman" w:hAnsi="Times New Roman" w:cs="Times New Roman"/>
          <w:color w:val="000000" w:themeColor="text1"/>
          <w:sz w:val="24"/>
          <w:szCs w:val="24"/>
          <w:lang w:val="ru-RU"/>
        </w:rPr>
        <w:t>.</w:t>
      </w:r>
    </w:p>
    <w:p w14:paraId="4F83372F" w14:textId="27FCDC19" w:rsidR="00205C6B" w:rsidRPr="00D43281" w:rsidRDefault="00205C6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С учетом пункта 82</w:t>
      </w:r>
      <w:r w:rsidRPr="00D43281">
        <w:rPr>
          <w:rFonts w:ascii="Times New Roman" w:hAnsi="Times New Roman" w:cs="Times New Roman"/>
          <w:color w:val="000000" w:themeColor="text1"/>
          <w:sz w:val="24"/>
          <w:szCs w:val="24"/>
          <w:vertAlign w:val="superscript"/>
          <w:lang w:val="ru-MD"/>
        </w:rPr>
        <w:t>21</w:t>
      </w:r>
      <w:r w:rsidRPr="00D43281">
        <w:rPr>
          <w:rFonts w:ascii="Times New Roman" w:hAnsi="Times New Roman" w:cs="Times New Roman"/>
          <w:color w:val="000000" w:themeColor="text1"/>
          <w:sz w:val="24"/>
          <w:szCs w:val="24"/>
          <w:lang w:val="ru-MD"/>
        </w:rPr>
        <w:t xml:space="preserve"> Регламента № 111/2018, банки, которые не применяют прозрачный подход «</w:t>
      </w:r>
      <w:r w:rsidRPr="00321C53">
        <w:rPr>
          <w:rFonts w:ascii="Times New Roman" w:hAnsi="Times New Roman" w:cs="Times New Roman"/>
          <w:color w:val="000000" w:themeColor="text1"/>
          <w:sz w:val="24"/>
          <w:szCs w:val="24"/>
          <w:lang w:val="en-GB"/>
        </w:rPr>
        <w:t>look</w:t>
      </w:r>
      <w:r w:rsidRPr="00BB1E28">
        <w:rPr>
          <w:rFonts w:ascii="Times New Roman" w:hAnsi="Times New Roman" w:cs="Times New Roman"/>
          <w:color w:val="000000" w:themeColor="text1"/>
          <w:sz w:val="24"/>
          <w:szCs w:val="24"/>
          <w:lang w:val="ru-RU"/>
        </w:rPr>
        <w:t>-</w:t>
      </w:r>
      <w:r w:rsidRPr="00321C53">
        <w:rPr>
          <w:rFonts w:ascii="Times New Roman" w:hAnsi="Times New Roman" w:cs="Times New Roman"/>
          <w:color w:val="000000" w:themeColor="text1"/>
          <w:sz w:val="24"/>
          <w:szCs w:val="24"/>
          <w:lang w:val="en-GB"/>
        </w:rPr>
        <w:t>through</w:t>
      </w:r>
      <w:r w:rsidRPr="00D43281">
        <w:rPr>
          <w:rFonts w:ascii="Times New Roman" w:hAnsi="Times New Roman" w:cs="Times New Roman"/>
          <w:color w:val="000000" w:themeColor="text1"/>
          <w:sz w:val="24"/>
          <w:szCs w:val="24"/>
          <w:lang w:val="ru-MD"/>
        </w:rPr>
        <w:t>» в соответствии с пунктами 60–62 или подход на основе мандата в соответствии с пунктом 64, применяют резервный подход (</w:t>
      </w:r>
      <w:r w:rsidRPr="00321C53">
        <w:rPr>
          <w:rFonts w:ascii="Times New Roman" w:hAnsi="Times New Roman" w:cs="Times New Roman"/>
          <w:color w:val="000000" w:themeColor="text1"/>
          <w:sz w:val="24"/>
          <w:szCs w:val="24"/>
          <w:lang w:val="en-GB"/>
        </w:rPr>
        <w:t>fall</w:t>
      </w:r>
      <w:r w:rsidRPr="00BB1E28">
        <w:rPr>
          <w:rFonts w:ascii="Times New Roman" w:hAnsi="Times New Roman" w:cs="Times New Roman"/>
          <w:color w:val="000000" w:themeColor="text1"/>
          <w:sz w:val="24"/>
          <w:szCs w:val="24"/>
          <w:lang w:val="ru-RU"/>
        </w:rPr>
        <w:t>-</w:t>
      </w:r>
      <w:r w:rsidRPr="00321C53">
        <w:rPr>
          <w:rFonts w:ascii="Times New Roman" w:hAnsi="Times New Roman" w:cs="Times New Roman"/>
          <w:color w:val="000000" w:themeColor="text1"/>
          <w:sz w:val="24"/>
          <w:szCs w:val="24"/>
          <w:lang w:val="en-GB"/>
        </w:rPr>
        <w:t>back</w:t>
      </w:r>
      <w:r w:rsidRPr="00D43281">
        <w:rPr>
          <w:rFonts w:ascii="Times New Roman" w:hAnsi="Times New Roman" w:cs="Times New Roman"/>
          <w:color w:val="000000" w:themeColor="text1"/>
          <w:sz w:val="24"/>
          <w:szCs w:val="24"/>
          <w:lang w:val="ru-MD"/>
        </w:rPr>
        <w:t>), упомянутый в пунктах 82</w:t>
      </w:r>
      <w:r w:rsidRPr="00D43281">
        <w:rPr>
          <w:rFonts w:ascii="Times New Roman" w:hAnsi="Times New Roman" w:cs="Times New Roman"/>
          <w:color w:val="000000" w:themeColor="text1"/>
          <w:sz w:val="24"/>
          <w:szCs w:val="24"/>
          <w:vertAlign w:val="superscript"/>
          <w:lang w:val="ru-MD"/>
        </w:rPr>
        <w:t>1</w:t>
      </w:r>
      <w:r w:rsidRPr="00D43281">
        <w:rPr>
          <w:rFonts w:ascii="Times New Roman" w:hAnsi="Times New Roman" w:cs="Times New Roman"/>
          <w:color w:val="000000" w:themeColor="text1"/>
          <w:sz w:val="24"/>
          <w:szCs w:val="24"/>
          <w:lang w:val="ru-MD"/>
        </w:rPr>
        <w:t>–82</w:t>
      </w:r>
      <w:r w:rsidRPr="00D43281">
        <w:rPr>
          <w:rFonts w:ascii="Times New Roman" w:hAnsi="Times New Roman" w:cs="Times New Roman"/>
          <w:color w:val="000000" w:themeColor="text1"/>
          <w:sz w:val="24"/>
          <w:szCs w:val="24"/>
          <w:vertAlign w:val="superscript"/>
          <w:lang w:val="ru-MD"/>
        </w:rPr>
        <w:t>3</w:t>
      </w:r>
      <w:r w:rsidRPr="00D43281">
        <w:rPr>
          <w:rFonts w:ascii="Times New Roman" w:hAnsi="Times New Roman" w:cs="Times New Roman"/>
          <w:color w:val="000000" w:themeColor="text1"/>
          <w:sz w:val="24"/>
          <w:szCs w:val="24"/>
          <w:lang w:val="ru-MD"/>
        </w:rPr>
        <w:t xml:space="preserve"> Регламента № 111/2018.</w:t>
      </w:r>
    </w:p>
    <w:p w14:paraId="246076DA" w14:textId="788A6A79" w:rsidR="008A7745" w:rsidRPr="00D43281" w:rsidRDefault="00E644A8" w:rsidP="008A1C84">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Банки могут рассчитывать величину взвешенной по риску суммы подверженностей для своих подверженностей в виде </w:t>
      </w:r>
      <w:r w:rsidR="00B52EB2" w:rsidRPr="00D43281">
        <w:rPr>
          <w:rFonts w:ascii="Times New Roman" w:hAnsi="Times New Roman" w:cs="Times New Roman"/>
          <w:color w:val="000000" w:themeColor="text1"/>
          <w:sz w:val="24"/>
          <w:szCs w:val="24"/>
          <w:lang w:val="ru-MD"/>
        </w:rPr>
        <w:t>единиц</w:t>
      </w:r>
      <w:r w:rsidRPr="00D43281">
        <w:rPr>
          <w:rFonts w:ascii="Times New Roman" w:hAnsi="Times New Roman" w:cs="Times New Roman"/>
          <w:color w:val="000000" w:themeColor="text1"/>
          <w:sz w:val="24"/>
          <w:szCs w:val="24"/>
          <w:lang w:val="ru-MD"/>
        </w:rPr>
        <w:t xml:space="preserve"> или акций в </w:t>
      </w:r>
      <w:r w:rsidR="00B52EB2" w:rsidRPr="00D43281">
        <w:rPr>
          <w:rFonts w:ascii="Times New Roman" w:hAnsi="Times New Roman" w:cs="Times New Roman"/>
          <w:color w:val="000000" w:themeColor="text1"/>
          <w:sz w:val="24"/>
          <w:szCs w:val="24"/>
          <w:lang w:val="ru-MD"/>
        </w:rPr>
        <w:t>ОКИ</w:t>
      </w:r>
      <w:r w:rsidRPr="00D43281">
        <w:rPr>
          <w:rFonts w:ascii="Times New Roman" w:hAnsi="Times New Roman" w:cs="Times New Roman"/>
          <w:color w:val="000000" w:themeColor="text1"/>
          <w:sz w:val="24"/>
          <w:szCs w:val="24"/>
          <w:lang w:val="ru-MD"/>
        </w:rPr>
        <w:t>, с использованием комбинации подходов, указанных в настояще</w:t>
      </w:r>
      <w:r w:rsidR="00B52EB2" w:rsidRPr="00D43281">
        <w:rPr>
          <w:rFonts w:ascii="Times New Roman" w:hAnsi="Times New Roman" w:cs="Times New Roman"/>
          <w:color w:val="000000" w:themeColor="text1"/>
          <w:sz w:val="24"/>
          <w:szCs w:val="24"/>
          <w:lang w:val="ru-MD"/>
        </w:rPr>
        <w:t>й части</w:t>
      </w:r>
      <w:r w:rsidRPr="00D43281">
        <w:rPr>
          <w:rFonts w:ascii="Times New Roman" w:hAnsi="Times New Roman" w:cs="Times New Roman"/>
          <w:color w:val="000000" w:themeColor="text1"/>
          <w:sz w:val="24"/>
          <w:szCs w:val="24"/>
          <w:lang w:val="ru-MD"/>
        </w:rPr>
        <w:t>, при условии соблюдения требований к применению этих подходов</w:t>
      </w:r>
      <w:r w:rsidR="008A7745" w:rsidRPr="00D43281">
        <w:rPr>
          <w:rFonts w:ascii="Times New Roman" w:hAnsi="Times New Roman" w:cs="Times New Roman"/>
          <w:color w:val="000000" w:themeColor="text1"/>
          <w:sz w:val="24"/>
          <w:szCs w:val="24"/>
          <w:lang w:val="ru-MD"/>
        </w:rPr>
        <w:t>.</w:t>
      </w:r>
    </w:p>
    <w:p w14:paraId="23BC455D" w14:textId="71239BEA" w:rsidR="008A7745" w:rsidRPr="00D43281" w:rsidRDefault="007E6CD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Банки, не располагающие данными или информацией, необходимыми для расчета взвешенной по риску стоимости ОКИ в соответствии с подходами, описанными в пунктах 60–64, могут опираться на расчеты, выполненные третьей стороной, при условии, что совокупно выполняются следующие условия</w:t>
      </w:r>
      <w:r w:rsidR="008A7745" w:rsidRPr="00D43281">
        <w:rPr>
          <w:rFonts w:ascii="Times New Roman" w:hAnsi="Times New Roman" w:cs="Times New Roman"/>
          <w:color w:val="000000" w:themeColor="text1"/>
          <w:sz w:val="24"/>
          <w:szCs w:val="24"/>
          <w:lang w:val="ru-RU"/>
        </w:rPr>
        <w:t>:</w:t>
      </w:r>
    </w:p>
    <w:p w14:paraId="75A7273C" w14:textId="4751D906" w:rsidR="008A7745" w:rsidRPr="00D43281" w:rsidRDefault="007E6CD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Третьей стороной является</w:t>
      </w:r>
      <w:r w:rsidR="008A7745" w:rsidRPr="00D43281">
        <w:rPr>
          <w:rFonts w:ascii="Times New Roman" w:hAnsi="Times New Roman" w:cs="Times New Roman"/>
          <w:color w:val="000000" w:themeColor="text1"/>
          <w:sz w:val="24"/>
          <w:szCs w:val="24"/>
          <w:lang w:val="ru-MD"/>
        </w:rPr>
        <w:t>:</w:t>
      </w:r>
    </w:p>
    <w:p w14:paraId="666CC162" w14:textId="7E2158DD" w:rsidR="008A7745" w:rsidRPr="00D43281" w:rsidRDefault="00FC1B89" w:rsidP="00E90A53">
      <w:pPr>
        <w:pStyle w:val="ListParagraph"/>
        <w:numPr>
          <w:ilvl w:val="2"/>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bookmarkStart w:id="67" w:name="_Ref215045179"/>
      <w:r w:rsidRPr="00D43281">
        <w:rPr>
          <w:rFonts w:ascii="Times New Roman" w:hAnsi="Times New Roman" w:cs="Times New Roman"/>
          <w:color w:val="000000" w:themeColor="text1"/>
          <w:sz w:val="24"/>
          <w:szCs w:val="24"/>
          <w:lang w:val="ru-MD"/>
        </w:rPr>
        <w:t>Депозитарное учреждение или финансовое учреждение, выступающее в качестве депозитария ОКИ, при условии, что ОКИ инвестирует исключительно в ценные бумаги и хранит все ценные бумаги в этом депозитарном учреждении или финансовом учреждении, выступающим в качестве депозитария</w:t>
      </w:r>
      <w:r w:rsidR="008A7745" w:rsidRPr="00D43281">
        <w:rPr>
          <w:rFonts w:ascii="Times New Roman" w:hAnsi="Times New Roman" w:cs="Times New Roman"/>
          <w:color w:val="000000" w:themeColor="text1"/>
          <w:sz w:val="24"/>
          <w:szCs w:val="24"/>
          <w:lang w:val="ru-MD"/>
        </w:rPr>
        <w:t>;</w:t>
      </w:r>
      <w:bookmarkEnd w:id="67"/>
    </w:p>
    <w:p w14:paraId="30822D25" w14:textId="1503779B" w:rsidR="008A7745" w:rsidRPr="00D43281" w:rsidRDefault="005D593F" w:rsidP="00E90A53">
      <w:pPr>
        <w:pStyle w:val="ListParagraph"/>
        <w:numPr>
          <w:ilvl w:val="2"/>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Для ОКИ, не подпадающих под подпункт 67.1.1, управляющая компания ОКИ, при условии, что управляющая компания ОКИ соответствует критериям, предусмотренным в подпункте 1) пункта 82</w:t>
      </w:r>
      <w:r w:rsidRPr="00D43281">
        <w:rPr>
          <w:rFonts w:ascii="Times New Roman" w:hAnsi="Times New Roman" w:cs="Times New Roman"/>
          <w:color w:val="000000" w:themeColor="text1"/>
          <w:sz w:val="24"/>
          <w:szCs w:val="24"/>
          <w:vertAlign w:val="superscript"/>
          <w:lang w:val="ru-MD"/>
        </w:rPr>
        <w:t>14</w:t>
      </w:r>
      <w:r w:rsidRPr="00D43281">
        <w:rPr>
          <w:rFonts w:ascii="Times New Roman" w:hAnsi="Times New Roman" w:cs="Times New Roman"/>
          <w:color w:val="000000" w:themeColor="text1"/>
          <w:sz w:val="24"/>
          <w:szCs w:val="24"/>
          <w:lang w:val="ru-MD"/>
        </w:rPr>
        <w:t xml:space="preserve"> Регламента № 111/2018</w:t>
      </w:r>
      <w:r w:rsidR="008A7745" w:rsidRPr="00D43281">
        <w:rPr>
          <w:rFonts w:ascii="Times New Roman" w:hAnsi="Times New Roman" w:cs="Times New Roman"/>
          <w:color w:val="000000" w:themeColor="text1"/>
          <w:sz w:val="24"/>
          <w:szCs w:val="24"/>
          <w:lang w:val="ru-MD"/>
        </w:rPr>
        <w:t>;</w:t>
      </w:r>
      <w:r w:rsidR="00605BB2" w:rsidRPr="00D43281">
        <w:rPr>
          <w:rFonts w:ascii="Times New Roman" w:hAnsi="Times New Roman" w:cs="Times New Roman"/>
          <w:color w:val="000000" w:themeColor="text1"/>
          <w:sz w:val="24"/>
          <w:szCs w:val="24"/>
          <w:highlight w:val="lightGray"/>
          <w:lang w:val="ru-MD"/>
        </w:rPr>
        <w:t xml:space="preserve"> </w:t>
      </w:r>
    </w:p>
    <w:p w14:paraId="44FFCFE2" w14:textId="411041A0" w:rsidR="00B57F69" w:rsidRPr="00D43281" w:rsidRDefault="00B57F69"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В отношении подверженностей, отличных от указанных </w:t>
      </w:r>
      <w:r w:rsidR="0036471A" w:rsidRPr="00D43281">
        <w:rPr>
          <w:rFonts w:ascii="Times New Roman" w:hAnsi="Times New Roman" w:cs="Times New Roman"/>
          <w:color w:val="000000" w:themeColor="text1"/>
          <w:sz w:val="24"/>
          <w:szCs w:val="24"/>
          <w:lang w:val="ru-MD"/>
        </w:rPr>
        <w:t xml:space="preserve">в </w:t>
      </w:r>
      <w:r w:rsidRPr="00D43281">
        <w:rPr>
          <w:rFonts w:ascii="Times New Roman" w:hAnsi="Times New Roman" w:cs="Times New Roman"/>
          <w:color w:val="000000" w:themeColor="text1"/>
          <w:sz w:val="24"/>
          <w:szCs w:val="24"/>
          <w:lang w:val="ru-MD"/>
        </w:rPr>
        <w:t>подпунктах 63.1–63.3</w:t>
      </w:r>
      <w:r w:rsidR="0036471A" w:rsidRPr="00D43281">
        <w:rPr>
          <w:rFonts w:ascii="Times New Roman" w:hAnsi="Times New Roman" w:cs="Times New Roman"/>
          <w:color w:val="000000" w:themeColor="text1"/>
          <w:sz w:val="24"/>
          <w:szCs w:val="24"/>
          <w:lang w:val="ru-MD"/>
        </w:rPr>
        <w:t xml:space="preserve"> пункта 63</w:t>
      </w:r>
      <w:r w:rsidRPr="00D43281">
        <w:rPr>
          <w:rFonts w:ascii="Times New Roman" w:hAnsi="Times New Roman" w:cs="Times New Roman"/>
          <w:color w:val="000000" w:themeColor="text1"/>
          <w:sz w:val="24"/>
          <w:szCs w:val="24"/>
          <w:lang w:val="ru-MD"/>
        </w:rPr>
        <w:t>, третье лицо производит расчет в соответствии с подходом «</w:t>
      </w:r>
      <w:r w:rsidRPr="00321C53">
        <w:rPr>
          <w:rFonts w:ascii="Times New Roman" w:hAnsi="Times New Roman" w:cs="Times New Roman"/>
          <w:color w:val="000000" w:themeColor="text1"/>
          <w:sz w:val="24"/>
          <w:szCs w:val="24"/>
          <w:lang w:val="en-GB"/>
        </w:rPr>
        <w:t>look</w:t>
      </w:r>
      <w:r w:rsidRPr="00BB1E28">
        <w:rPr>
          <w:rFonts w:ascii="Times New Roman" w:hAnsi="Times New Roman" w:cs="Times New Roman"/>
          <w:color w:val="000000" w:themeColor="text1"/>
          <w:sz w:val="24"/>
          <w:szCs w:val="24"/>
          <w:lang w:val="ru-RU"/>
        </w:rPr>
        <w:t>-</w:t>
      </w:r>
      <w:r w:rsidRPr="00321C53">
        <w:rPr>
          <w:rFonts w:ascii="Times New Roman" w:hAnsi="Times New Roman" w:cs="Times New Roman"/>
          <w:color w:val="000000" w:themeColor="text1"/>
          <w:sz w:val="24"/>
          <w:szCs w:val="24"/>
          <w:lang w:val="en-GB"/>
        </w:rPr>
        <w:t>through</w:t>
      </w:r>
      <w:r w:rsidRPr="00D43281">
        <w:rPr>
          <w:rFonts w:ascii="Times New Roman" w:hAnsi="Times New Roman" w:cs="Times New Roman"/>
          <w:color w:val="000000" w:themeColor="text1"/>
          <w:sz w:val="24"/>
          <w:szCs w:val="24"/>
          <w:lang w:val="ru-MD"/>
        </w:rPr>
        <w:t>», предусмотренным в пункте 82</w:t>
      </w:r>
      <w:r w:rsidR="0036471A" w:rsidRPr="00D43281">
        <w:rPr>
          <w:rFonts w:ascii="Times New Roman" w:hAnsi="Times New Roman" w:cs="Times New Roman"/>
          <w:color w:val="000000" w:themeColor="text1"/>
          <w:sz w:val="24"/>
          <w:szCs w:val="24"/>
          <w:vertAlign w:val="superscript"/>
          <w:lang w:val="ru-MD"/>
        </w:rPr>
        <w:t>14</w:t>
      </w:r>
      <w:r w:rsidRPr="00D43281">
        <w:rPr>
          <w:rFonts w:ascii="Times New Roman" w:hAnsi="Times New Roman" w:cs="Times New Roman"/>
          <w:color w:val="000000" w:themeColor="text1"/>
          <w:sz w:val="24"/>
          <w:szCs w:val="24"/>
          <w:lang w:val="ru-MD"/>
        </w:rPr>
        <w:t xml:space="preserve"> Регламента № 111/2018;</w:t>
      </w:r>
    </w:p>
    <w:p w14:paraId="3F394D55" w14:textId="72836802" w:rsidR="0036471A" w:rsidRPr="00D43281" w:rsidRDefault="0036471A"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В отношении</w:t>
      </w:r>
      <w:r w:rsidR="002A37BC" w:rsidRPr="00D43281">
        <w:rPr>
          <w:rFonts w:ascii="Times New Roman" w:hAnsi="Times New Roman" w:cs="Times New Roman"/>
          <w:color w:val="000000" w:themeColor="text1"/>
          <w:sz w:val="24"/>
          <w:szCs w:val="24"/>
          <w:lang w:val="ru-MD"/>
        </w:rPr>
        <w:t xml:space="preserve"> подверженностей</w:t>
      </w:r>
      <w:r w:rsidR="00FE0244" w:rsidRPr="00D43281">
        <w:rPr>
          <w:rFonts w:ascii="Times New Roman" w:hAnsi="Times New Roman" w:cs="Times New Roman"/>
          <w:color w:val="000000" w:themeColor="text1"/>
          <w:sz w:val="24"/>
          <w:szCs w:val="24"/>
          <w:lang w:val="ru-MD"/>
        </w:rPr>
        <w:t>, указанных в подпунктах 63.1–63.3 пункта 63, третье лицо производит расчет в соответствии с подходами, предусмотренными в соответствующих подпунктах</w:t>
      </w:r>
      <w:r w:rsidR="002A37BC" w:rsidRPr="00D43281">
        <w:rPr>
          <w:rFonts w:ascii="Times New Roman" w:hAnsi="Times New Roman" w:cs="Times New Roman"/>
          <w:color w:val="000000" w:themeColor="text1"/>
          <w:sz w:val="24"/>
          <w:szCs w:val="24"/>
          <w:lang w:val="ru-MD"/>
        </w:rPr>
        <w:t>;</w:t>
      </w:r>
    </w:p>
    <w:p w14:paraId="5BADFA44" w14:textId="2FD7EE12" w:rsidR="008A7745" w:rsidRPr="00D43281" w:rsidRDefault="0063133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Внешний аудитор подтвердил правильность расчётов, произведённых третьей стороной</w:t>
      </w:r>
      <w:r w:rsidR="008A7745" w:rsidRPr="00D43281">
        <w:rPr>
          <w:rFonts w:ascii="Times New Roman" w:hAnsi="Times New Roman" w:cs="Times New Roman"/>
          <w:color w:val="000000" w:themeColor="text1"/>
          <w:sz w:val="24"/>
          <w:szCs w:val="24"/>
          <w:lang w:val="ru-MD"/>
        </w:rPr>
        <w:t>.</w:t>
      </w:r>
      <w:r w:rsidR="00605BB2" w:rsidRPr="00D43281">
        <w:rPr>
          <w:rFonts w:ascii="Times New Roman" w:hAnsi="Times New Roman" w:cs="Times New Roman"/>
          <w:color w:val="000000" w:themeColor="text1"/>
          <w:sz w:val="24"/>
          <w:szCs w:val="24"/>
          <w:highlight w:val="lightGray"/>
          <w:lang w:val="ru-MD"/>
        </w:rPr>
        <w:t xml:space="preserve"> </w:t>
      </w:r>
    </w:p>
    <w:p w14:paraId="546C0C88" w14:textId="21A8439B" w:rsidR="008A7745" w:rsidRPr="00D43281" w:rsidRDefault="000D7232"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68" w:name="_Ref215045615"/>
      <w:r w:rsidRPr="00D43281">
        <w:rPr>
          <w:rFonts w:ascii="Times New Roman" w:hAnsi="Times New Roman" w:cs="Times New Roman"/>
          <w:color w:val="000000" w:themeColor="text1"/>
          <w:sz w:val="24"/>
          <w:szCs w:val="24"/>
          <w:lang w:val="ru-RU"/>
        </w:rPr>
        <w:t>Банки, которые опираются на расчёты, выполненные третьими сторонами, умножают величину взвешенной по риску суммы подверженностей ОКИ, полученную в результате этих расчётов, на коэффициент</w:t>
      </w:r>
      <w:r w:rsidR="009560F3" w:rsidRPr="00BB1E28">
        <w:rPr>
          <w:rFonts w:ascii="Times New Roman" w:hAnsi="Times New Roman" w:cs="Times New Roman"/>
          <w:color w:val="000000" w:themeColor="text1"/>
          <w:sz w:val="24"/>
          <w:szCs w:val="24"/>
          <w:lang w:val="ru-RU"/>
        </w:rPr>
        <w:t xml:space="preserve"> </w:t>
      </w:r>
      <w:r w:rsidR="008A7745" w:rsidRPr="00D43281">
        <w:rPr>
          <w:rFonts w:ascii="Times New Roman" w:hAnsi="Times New Roman" w:cs="Times New Roman"/>
          <w:color w:val="000000" w:themeColor="text1"/>
          <w:sz w:val="24"/>
          <w:szCs w:val="24"/>
          <w:lang w:val="ru-RU"/>
        </w:rPr>
        <w:t>1,2.</w:t>
      </w:r>
      <w:bookmarkEnd w:id="68"/>
    </w:p>
    <w:p w14:paraId="6ACC4D51" w14:textId="6E44F1C7" w:rsidR="008A7745" w:rsidRPr="00D43281" w:rsidRDefault="00167D4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RU"/>
        </w:rPr>
        <w:t xml:space="preserve">В отступление от пункта 68, если банк имеет неограниченный доступ к подробным расчетам, выполненным третьей стороной, коэффициент 1,2 не применяется. Банк предоставляет по </w:t>
      </w:r>
      <w:r w:rsidRPr="00D43281">
        <w:rPr>
          <w:rFonts w:ascii="Times New Roman" w:hAnsi="Times New Roman" w:cs="Times New Roman"/>
          <w:color w:val="000000" w:themeColor="text1"/>
          <w:sz w:val="24"/>
          <w:szCs w:val="24"/>
          <w:lang w:val="ru-MD"/>
        </w:rPr>
        <w:t>запросу соответствующие расчеты Национальному банку Молдовы</w:t>
      </w:r>
      <w:r w:rsidR="008A7745" w:rsidRPr="00D43281">
        <w:rPr>
          <w:rFonts w:ascii="Times New Roman" w:hAnsi="Times New Roman" w:cs="Times New Roman"/>
          <w:color w:val="000000" w:themeColor="text1"/>
          <w:sz w:val="24"/>
          <w:szCs w:val="24"/>
          <w:lang w:val="ru-MD"/>
        </w:rPr>
        <w:t>.</w:t>
      </w:r>
      <w:r w:rsidR="003C00E3" w:rsidRPr="00D43281">
        <w:rPr>
          <w:rFonts w:ascii="Times New Roman" w:hAnsi="Times New Roman" w:cs="Times New Roman"/>
          <w:color w:val="000000" w:themeColor="text1"/>
          <w:sz w:val="24"/>
          <w:szCs w:val="24"/>
          <w:highlight w:val="lightGray"/>
          <w:lang w:val="ru-MD"/>
        </w:rPr>
        <w:t xml:space="preserve"> </w:t>
      </w:r>
    </w:p>
    <w:p w14:paraId="6A696340" w14:textId="605B1609" w:rsidR="0050706C" w:rsidRPr="00D43281" w:rsidRDefault="00167D45" w:rsidP="001E101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69" w:name="_Ref215069159"/>
      <w:r w:rsidRPr="00D43281">
        <w:rPr>
          <w:rFonts w:ascii="Times New Roman" w:hAnsi="Times New Roman" w:cs="Times New Roman"/>
          <w:color w:val="000000" w:themeColor="text1"/>
          <w:sz w:val="24"/>
          <w:szCs w:val="24"/>
          <w:lang w:val="ru-MD"/>
        </w:rPr>
        <w:lastRenderedPageBreak/>
        <w:t xml:space="preserve">В целях настоящей подчасти применяются исключения из подходов к расчету значений </w:t>
      </w:r>
      <w:r w:rsidR="003067D0" w:rsidRPr="00D43281">
        <w:rPr>
          <w:rFonts w:ascii="Times New Roman" w:hAnsi="Times New Roman" w:cs="Times New Roman"/>
          <w:color w:val="000000" w:themeColor="text1"/>
          <w:sz w:val="24"/>
          <w:szCs w:val="24"/>
          <w:lang w:val="ru-MD"/>
        </w:rPr>
        <w:t xml:space="preserve">взвешенных по риску сумм подверженностей для </w:t>
      </w:r>
      <w:r w:rsidRPr="00D43281">
        <w:rPr>
          <w:rFonts w:ascii="Times New Roman" w:hAnsi="Times New Roman" w:cs="Times New Roman"/>
          <w:color w:val="000000" w:themeColor="text1"/>
          <w:sz w:val="24"/>
          <w:szCs w:val="24"/>
          <w:lang w:val="ru-MD"/>
        </w:rPr>
        <w:t>О</w:t>
      </w:r>
      <w:r w:rsidR="003067D0" w:rsidRPr="00D43281">
        <w:rPr>
          <w:rFonts w:ascii="Times New Roman" w:hAnsi="Times New Roman" w:cs="Times New Roman"/>
          <w:color w:val="000000" w:themeColor="text1"/>
          <w:sz w:val="24"/>
          <w:szCs w:val="24"/>
          <w:lang w:val="ru-MD"/>
        </w:rPr>
        <w:t>КИ</w:t>
      </w:r>
      <w:r w:rsidRPr="00D43281">
        <w:rPr>
          <w:rFonts w:ascii="Times New Roman" w:hAnsi="Times New Roman" w:cs="Times New Roman"/>
          <w:color w:val="000000" w:themeColor="text1"/>
          <w:sz w:val="24"/>
          <w:szCs w:val="24"/>
          <w:lang w:val="ru-MD"/>
        </w:rPr>
        <w:t>, а также пункты 82</w:t>
      </w:r>
      <w:r w:rsidR="003067D0" w:rsidRPr="00D43281">
        <w:rPr>
          <w:rFonts w:ascii="Times New Roman" w:hAnsi="Times New Roman" w:cs="Times New Roman"/>
          <w:color w:val="000000" w:themeColor="text1"/>
          <w:sz w:val="24"/>
          <w:szCs w:val="24"/>
          <w:vertAlign w:val="superscript"/>
          <w:lang w:val="ru-MD"/>
        </w:rPr>
        <w:t>11</w:t>
      </w:r>
      <w:r w:rsidRPr="00D43281">
        <w:rPr>
          <w:rFonts w:ascii="Times New Roman" w:hAnsi="Times New Roman" w:cs="Times New Roman"/>
          <w:color w:val="000000" w:themeColor="text1"/>
          <w:sz w:val="24"/>
          <w:szCs w:val="24"/>
          <w:lang w:val="ru-MD"/>
        </w:rPr>
        <w:t>–82</w:t>
      </w:r>
      <w:r w:rsidR="00DA1B5B" w:rsidRPr="00D43281">
        <w:rPr>
          <w:rFonts w:ascii="Times New Roman" w:hAnsi="Times New Roman" w:cs="Times New Roman"/>
          <w:color w:val="000000" w:themeColor="text1"/>
          <w:sz w:val="24"/>
          <w:szCs w:val="24"/>
          <w:vertAlign w:val="superscript"/>
          <w:lang w:val="ru-MD"/>
        </w:rPr>
        <w:t>12</w:t>
      </w:r>
      <w:r w:rsidRPr="00D43281">
        <w:rPr>
          <w:rFonts w:ascii="Times New Roman" w:hAnsi="Times New Roman" w:cs="Times New Roman"/>
          <w:color w:val="000000" w:themeColor="text1"/>
          <w:sz w:val="24"/>
          <w:szCs w:val="24"/>
          <w:lang w:val="ru-MD"/>
        </w:rPr>
        <w:t xml:space="preserve"> Регламента № 111/2018. В целях настояще</w:t>
      </w:r>
      <w:r w:rsidR="00DA1B5B" w:rsidRPr="00D43281">
        <w:rPr>
          <w:rFonts w:ascii="Times New Roman" w:hAnsi="Times New Roman" w:cs="Times New Roman"/>
          <w:color w:val="000000" w:themeColor="text1"/>
          <w:sz w:val="24"/>
          <w:szCs w:val="24"/>
          <w:lang w:val="ru-MD"/>
        </w:rPr>
        <w:t>й подчасти</w:t>
      </w:r>
      <w:r w:rsidRPr="00D43281">
        <w:rPr>
          <w:rFonts w:ascii="Times New Roman" w:hAnsi="Times New Roman" w:cs="Times New Roman"/>
          <w:color w:val="000000" w:themeColor="text1"/>
          <w:sz w:val="24"/>
          <w:szCs w:val="24"/>
          <w:lang w:val="ru-MD"/>
        </w:rPr>
        <w:t xml:space="preserve"> </w:t>
      </w:r>
      <w:r w:rsidR="00F540C6" w:rsidRPr="00D43281">
        <w:rPr>
          <w:rFonts w:ascii="Times New Roman" w:hAnsi="Times New Roman" w:cs="Times New Roman"/>
          <w:color w:val="000000" w:themeColor="text1"/>
          <w:sz w:val="24"/>
          <w:szCs w:val="24"/>
          <w:lang w:val="ru-MD"/>
        </w:rPr>
        <w:t>к</w:t>
      </w:r>
      <w:r w:rsidR="00DA1B5B" w:rsidRPr="00D43281">
        <w:rPr>
          <w:rFonts w:ascii="Times New Roman" w:hAnsi="Times New Roman" w:cs="Times New Roman"/>
          <w:color w:val="000000" w:themeColor="text1"/>
          <w:sz w:val="24"/>
          <w:szCs w:val="24"/>
          <w:lang w:val="ru-MD"/>
        </w:rPr>
        <w:t xml:space="preserve"> </w:t>
      </w:r>
      <w:r w:rsidRPr="00D43281">
        <w:rPr>
          <w:rFonts w:ascii="Times New Roman" w:hAnsi="Times New Roman" w:cs="Times New Roman"/>
          <w:color w:val="000000" w:themeColor="text1"/>
          <w:sz w:val="24"/>
          <w:szCs w:val="24"/>
          <w:lang w:val="ru-MD"/>
        </w:rPr>
        <w:t>внебалансовы</w:t>
      </w:r>
      <w:r w:rsidR="00F540C6" w:rsidRPr="00D43281">
        <w:rPr>
          <w:rFonts w:ascii="Times New Roman" w:hAnsi="Times New Roman" w:cs="Times New Roman"/>
          <w:color w:val="000000" w:themeColor="text1"/>
          <w:sz w:val="24"/>
          <w:szCs w:val="24"/>
          <w:lang w:val="ru-MD"/>
        </w:rPr>
        <w:t>м</w:t>
      </w:r>
      <w:r w:rsidR="000B7F98" w:rsidRPr="00D43281">
        <w:rPr>
          <w:rFonts w:ascii="Times New Roman" w:hAnsi="Times New Roman" w:cs="Times New Roman"/>
          <w:color w:val="000000" w:themeColor="text1"/>
          <w:sz w:val="24"/>
          <w:szCs w:val="24"/>
          <w:lang w:val="ru-MD"/>
        </w:rPr>
        <w:t xml:space="preserve"> подверженност</w:t>
      </w:r>
      <w:r w:rsidR="00F540C6" w:rsidRPr="00D43281">
        <w:rPr>
          <w:rFonts w:ascii="Times New Roman" w:hAnsi="Times New Roman" w:cs="Times New Roman"/>
          <w:color w:val="000000" w:themeColor="text1"/>
          <w:sz w:val="24"/>
          <w:szCs w:val="24"/>
          <w:lang w:val="ru-MD"/>
        </w:rPr>
        <w:t>ям</w:t>
      </w:r>
      <w:r w:rsidR="000B7F98" w:rsidRPr="00D43281">
        <w:rPr>
          <w:rFonts w:ascii="Times New Roman" w:hAnsi="Times New Roman" w:cs="Times New Roman"/>
          <w:color w:val="000000" w:themeColor="text1"/>
          <w:sz w:val="24"/>
          <w:szCs w:val="24"/>
          <w:lang w:val="ru-MD"/>
        </w:rPr>
        <w:t xml:space="preserve"> перед</w:t>
      </w:r>
      <w:r w:rsidRPr="00D43281">
        <w:rPr>
          <w:rFonts w:ascii="Times New Roman" w:hAnsi="Times New Roman" w:cs="Times New Roman"/>
          <w:color w:val="000000" w:themeColor="text1"/>
          <w:sz w:val="24"/>
          <w:szCs w:val="24"/>
          <w:lang w:val="ru-MD"/>
        </w:rPr>
        <w:t xml:space="preserve"> О</w:t>
      </w:r>
      <w:r w:rsidR="000B7F98" w:rsidRPr="00D43281">
        <w:rPr>
          <w:rFonts w:ascii="Times New Roman" w:hAnsi="Times New Roman" w:cs="Times New Roman"/>
          <w:color w:val="000000" w:themeColor="text1"/>
          <w:sz w:val="24"/>
          <w:szCs w:val="24"/>
          <w:lang w:val="ru-MD"/>
        </w:rPr>
        <w:t>КИ</w:t>
      </w:r>
      <w:r w:rsidRPr="00D43281">
        <w:rPr>
          <w:rFonts w:ascii="Times New Roman" w:hAnsi="Times New Roman" w:cs="Times New Roman"/>
          <w:color w:val="000000" w:themeColor="text1"/>
          <w:sz w:val="24"/>
          <w:szCs w:val="24"/>
          <w:lang w:val="ru-MD"/>
        </w:rPr>
        <w:t xml:space="preserve"> применяется порядок, предусмотренный в Регламенте № 111/2018, с использованием весовых коэффициентов риска, рассчитанных в соответствии с настоящим Регламентом</w:t>
      </w:r>
      <w:r w:rsidR="008A7745" w:rsidRPr="00D43281">
        <w:rPr>
          <w:rFonts w:ascii="Times New Roman" w:hAnsi="Times New Roman" w:cs="Times New Roman"/>
          <w:color w:val="000000" w:themeColor="text1"/>
          <w:sz w:val="24"/>
          <w:szCs w:val="24"/>
          <w:lang w:val="ru-MD"/>
        </w:rPr>
        <w:t>.</w:t>
      </w:r>
      <w:bookmarkEnd w:id="69"/>
    </w:p>
    <w:p w14:paraId="37736A3C" w14:textId="544EB440" w:rsidR="0088616F" w:rsidRPr="00D43281" w:rsidRDefault="00BD5085" w:rsidP="0088616F">
      <w:pPr>
        <w:pStyle w:val="ListParagraph"/>
        <w:shd w:val="clear" w:color="auto" w:fill="FFFFFF"/>
        <w:tabs>
          <w:tab w:val="left" w:pos="0"/>
          <w:tab w:val="left" w:pos="567"/>
        </w:tabs>
        <w:spacing w:before="120" w:after="0" w:line="240" w:lineRule="auto"/>
        <w:ind w:left="0"/>
        <w:contextualSpacing w:val="0"/>
        <w:jc w:val="center"/>
        <w:rPr>
          <w:sz w:val="24"/>
          <w:szCs w:val="24"/>
          <w:lang w:val="ru-RU"/>
        </w:rPr>
      </w:pPr>
      <w:r w:rsidRPr="00D43281">
        <w:rPr>
          <w:rFonts w:ascii="Times New Roman" w:hAnsi="Times New Roman" w:cs="Times New Roman"/>
          <w:b/>
          <w:bCs/>
          <w:i/>
          <w:iCs/>
          <w:color w:val="000000" w:themeColor="text1"/>
          <w:sz w:val="24"/>
          <w:szCs w:val="24"/>
          <w:lang w:val="ru-MD"/>
        </w:rPr>
        <w:t>Часть</w:t>
      </w:r>
      <w:r w:rsidR="0088616F" w:rsidRPr="00D43281">
        <w:rPr>
          <w:rFonts w:ascii="Times New Roman" w:hAnsi="Times New Roman" w:cs="Times New Roman"/>
          <w:b/>
          <w:bCs/>
          <w:i/>
          <w:iCs/>
          <w:color w:val="000000" w:themeColor="text1"/>
          <w:sz w:val="24"/>
          <w:szCs w:val="24"/>
          <w:lang w:val="ru-RU"/>
        </w:rPr>
        <w:t xml:space="preserve"> 2</w:t>
      </w:r>
    </w:p>
    <w:p w14:paraId="6C67623F" w14:textId="23564AA1" w:rsidR="0088616F" w:rsidRPr="00D43281" w:rsidRDefault="00BB1118" w:rsidP="0088616F">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 xml:space="preserve">Расчет сумм подверженностей </w:t>
      </w:r>
      <w:r w:rsidR="00CB1732" w:rsidRPr="00D43281">
        <w:rPr>
          <w:rFonts w:ascii="Times New Roman" w:hAnsi="Times New Roman" w:cs="Times New Roman"/>
          <w:b/>
          <w:bCs/>
          <w:i/>
          <w:iCs/>
          <w:color w:val="000000" w:themeColor="text1"/>
          <w:sz w:val="24"/>
          <w:szCs w:val="24"/>
          <w:lang w:val="ru-RU"/>
        </w:rPr>
        <w:t>с учетом кредитного риска</w:t>
      </w:r>
    </w:p>
    <w:p w14:paraId="52AC4BE8" w14:textId="21694BEF" w:rsidR="0088616F" w:rsidRPr="008E1662" w:rsidRDefault="00CB1732" w:rsidP="0088616F">
      <w:pPr>
        <w:pStyle w:val="ListParagraph"/>
        <w:shd w:val="clear" w:color="auto" w:fill="FFFFFF"/>
        <w:tabs>
          <w:tab w:val="left" w:pos="0"/>
          <w:tab w:val="left" w:pos="567"/>
        </w:tabs>
        <w:spacing w:before="120" w:after="0" w:line="240" w:lineRule="auto"/>
        <w:ind w:left="0"/>
        <w:contextualSpacing w:val="0"/>
        <w:jc w:val="center"/>
        <w:rPr>
          <w:sz w:val="24"/>
          <w:szCs w:val="24"/>
          <w:lang w:val="ru-RU"/>
        </w:rPr>
      </w:pPr>
      <w:r w:rsidRPr="00D43281">
        <w:rPr>
          <w:rFonts w:ascii="Times New Roman" w:hAnsi="Times New Roman" w:cs="Times New Roman"/>
          <w:b/>
          <w:bCs/>
          <w:i/>
          <w:iCs/>
          <w:color w:val="000000" w:themeColor="text1"/>
          <w:sz w:val="24"/>
          <w:szCs w:val="24"/>
          <w:lang w:val="ru-RU"/>
        </w:rPr>
        <w:t xml:space="preserve">Подчасть </w:t>
      </w:r>
      <w:r w:rsidR="0088616F" w:rsidRPr="00D43281">
        <w:rPr>
          <w:rFonts w:ascii="Times New Roman" w:hAnsi="Times New Roman" w:cs="Times New Roman"/>
          <w:b/>
          <w:bCs/>
          <w:i/>
          <w:iCs/>
          <w:color w:val="000000" w:themeColor="text1"/>
          <w:sz w:val="24"/>
          <w:szCs w:val="24"/>
          <w:lang w:val="ro-RO"/>
        </w:rPr>
        <w:t>1</w:t>
      </w:r>
    </w:p>
    <w:p w14:paraId="1C5A7BB6" w14:textId="2B938460" w:rsidR="0088616F" w:rsidRPr="00D43281" w:rsidRDefault="0071443C" w:rsidP="0088616F">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b/>
          <w:bCs/>
          <w:i/>
          <w:iCs/>
          <w:color w:val="000000" w:themeColor="text1"/>
          <w:sz w:val="24"/>
          <w:szCs w:val="24"/>
          <w:lang w:val="ru-MD"/>
        </w:rPr>
      </w:pPr>
      <w:bookmarkStart w:id="70" w:name="_Hlk226460635"/>
      <w:r w:rsidRPr="00D43281">
        <w:rPr>
          <w:rFonts w:ascii="Times New Roman" w:hAnsi="Times New Roman" w:cs="Times New Roman"/>
          <w:b/>
          <w:bCs/>
          <w:i/>
          <w:iCs/>
          <w:color w:val="000000" w:themeColor="text1"/>
          <w:sz w:val="24"/>
          <w:szCs w:val="24"/>
          <w:lang w:val="ru-MD"/>
        </w:rPr>
        <w:t xml:space="preserve">Взвешенные по риску суммы подверженностей </w:t>
      </w:r>
      <w:bookmarkEnd w:id="70"/>
      <w:r w:rsidRPr="00D43281">
        <w:rPr>
          <w:rFonts w:ascii="Times New Roman" w:hAnsi="Times New Roman" w:cs="Times New Roman"/>
          <w:b/>
          <w:bCs/>
          <w:i/>
          <w:iCs/>
          <w:color w:val="000000" w:themeColor="text1"/>
          <w:sz w:val="24"/>
          <w:szCs w:val="24"/>
          <w:lang w:val="ru-MD"/>
        </w:rPr>
        <w:t>перед центральными администрациями и центральными банками, подверженности перед региональными администрациями, местными органами и организациями государственного сектора, подверженности перед банками и подверженности перед обществами</w:t>
      </w:r>
    </w:p>
    <w:p w14:paraId="1A682359" w14:textId="4CFAA0C8" w:rsidR="007D5BDF" w:rsidRPr="00D43281" w:rsidRDefault="007D5BD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71" w:name="_Ref215047688"/>
      <w:r w:rsidRPr="00D43281">
        <w:rPr>
          <w:rFonts w:ascii="Times New Roman" w:hAnsi="Times New Roman" w:cs="Times New Roman"/>
          <w:color w:val="000000" w:themeColor="text1"/>
          <w:sz w:val="24"/>
          <w:szCs w:val="24"/>
          <w:lang w:val="ru-RU"/>
        </w:rPr>
        <w:t xml:space="preserve">При условии применения специальных методов, предусмотренных в пунктах 72 и 73, взвешенные по риску суммы подверженностей перед центральными администрациями и центральными банками, </w:t>
      </w:r>
      <w:r w:rsidR="009068F3" w:rsidRPr="00D43281">
        <w:rPr>
          <w:rFonts w:ascii="Times New Roman" w:hAnsi="Times New Roman" w:cs="Times New Roman"/>
          <w:color w:val="000000" w:themeColor="text1"/>
          <w:sz w:val="24"/>
          <w:szCs w:val="24"/>
          <w:lang w:val="ru-RU"/>
        </w:rPr>
        <w:t>подверженности перед региональными администрациями, местными</w:t>
      </w:r>
      <w:r w:rsidR="009068F3" w:rsidRPr="00D43281">
        <w:rPr>
          <w:rFonts w:ascii="Times New Roman" w:hAnsi="Times New Roman" w:cs="Times New Roman"/>
          <w:color w:val="000000" w:themeColor="text1"/>
          <w:sz w:val="24"/>
          <w:szCs w:val="24"/>
          <w:lang w:val="ru-MD"/>
        </w:rPr>
        <w:t xml:space="preserve"> органами и организациями государственного сектора, подверженности перед банками и подверженности перед обществами рассчитываются в соответствии со следующими формулами:</w:t>
      </w:r>
    </w:p>
    <w:bookmarkEnd w:id="71"/>
    <w:p w14:paraId="05029E47" w14:textId="791D1DF4" w:rsidR="00F75FE4" w:rsidRPr="00D43281" w:rsidRDefault="00C561B6" w:rsidP="005126B4">
      <w:pPr>
        <w:pStyle w:val="ListParagraph"/>
        <w:shd w:val="clear" w:color="auto" w:fill="FFFFFF"/>
        <w:tabs>
          <w:tab w:val="left" w:pos="0"/>
          <w:tab w:val="left" w:pos="567"/>
        </w:tabs>
        <w:spacing w:before="60" w:after="0" w:line="240" w:lineRule="auto"/>
        <w:ind w:left="0"/>
        <w:jc w:val="both"/>
        <w:rPr>
          <w:rFonts w:ascii="Times New Roman" w:hAnsi="Times New Roman" w:cs="Times New Roman"/>
          <w:i/>
          <w:iCs/>
          <w:color w:val="000000" w:themeColor="text1"/>
          <w:sz w:val="24"/>
          <w:szCs w:val="24"/>
          <w:lang w:val="ru-RU"/>
        </w:rPr>
      </w:pPr>
      <w:r w:rsidRPr="00D43281">
        <w:rPr>
          <w:rFonts w:ascii="Times New Roman" w:hAnsi="Times New Roman" w:cs="Times New Roman"/>
          <w:i/>
          <w:iCs/>
          <w:color w:val="000000" w:themeColor="text1"/>
          <w:sz w:val="24"/>
          <w:szCs w:val="24"/>
          <w:lang w:val="ru-RU"/>
        </w:rPr>
        <w:t>Взвешенная по риску сумма подверженности</w:t>
      </w:r>
      <w:r w:rsidR="00873F56" w:rsidRPr="00D43281">
        <w:rPr>
          <w:rFonts w:ascii="Times New Roman" w:hAnsi="Times New Roman" w:cs="Times New Roman"/>
          <w:i/>
          <w:iCs/>
          <w:color w:val="000000" w:themeColor="text1"/>
          <w:sz w:val="24"/>
          <w:szCs w:val="24"/>
          <w:lang w:val="ru-RU"/>
        </w:rPr>
        <w:t xml:space="preserve"> = RW · </w:t>
      </w:r>
      <w:r w:rsidR="00F75FE4" w:rsidRPr="00D43281">
        <w:rPr>
          <w:rFonts w:ascii="Times New Roman" w:hAnsi="Times New Roman" w:cs="Times New Roman"/>
          <w:i/>
          <w:iCs/>
          <w:color w:val="000000" w:themeColor="text1"/>
          <w:sz w:val="24"/>
          <w:szCs w:val="24"/>
          <w:lang w:val="ru-RU"/>
        </w:rPr>
        <w:t>сумма подверженности</w:t>
      </w:r>
    </w:p>
    <w:p w14:paraId="300038E7" w14:textId="7088CF95" w:rsidR="00873F56" w:rsidRPr="00D43281" w:rsidRDefault="00906D58" w:rsidP="005126B4">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где коэффициент риска (RW) определяется следующим образом:</w:t>
      </w:r>
    </w:p>
    <w:p w14:paraId="078EA2BA" w14:textId="022257AA" w:rsidR="00873F56" w:rsidRPr="00D43281" w:rsidRDefault="00906D5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если</w:t>
      </w:r>
      <w:r w:rsidR="00873F56" w:rsidRPr="00D43281">
        <w:rPr>
          <w:rFonts w:ascii="Times New Roman" w:hAnsi="Times New Roman" w:cs="Times New Roman"/>
          <w:color w:val="000000" w:themeColor="text1"/>
          <w:sz w:val="24"/>
          <w:szCs w:val="24"/>
          <w:lang w:val="ru-RU"/>
        </w:rPr>
        <w:t xml:space="preserve"> PD = 0, RW</w:t>
      </w:r>
      <w:r w:rsidR="00234CE7" w:rsidRPr="00D43281">
        <w:rPr>
          <w:rFonts w:ascii="Times New Roman" w:hAnsi="Times New Roman" w:cs="Times New Roman"/>
          <w:color w:val="000000" w:themeColor="text1"/>
          <w:sz w:val="24"/>
          <w:szCs w:val="24"/>
          <w:lang w:val="ru-RU"/>
        </w:rPr>
        <w:t xml:space="preserve"> равен</w:t>
      </w:r>
      <w:r w:rsidR="00873F56" w:rsidRPr="00D43281">
        <w:rPr>
          <w:rFonts w:ascii="Times New Roman" w:hAnsi="Times New Roman" w:cs="Times New Roman"/>
          <w:color w:val="000000" w:themeColor="text1"/>
          <w:sz w:val="24"/>
          <w:szCs w:val="24"/>
          <w:lang w:val="ru-RU"/>
        </w:rPr>
        <w:t xml:space="preserve"> 0;</w:t>
      </w:r>
    </w:p>
    <w:p w14:paraId="727960E7" w14:textId="69956B3A" w:rsidR="00873F56" w:rsidRPr="00D43281" w:rsidRDefault="00906D5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если</w:t>
      </w:r>
      <w:r w:rsidR="00873F56" w:rsidRPr="00D43281">
        <w:rPr>
          <w:rFonts w:ascii="Times New Roman" w:hAnsi="Times New Roman" w:cs="Times New Roman"/>
          <w:color w:val="000000" w:themeColor="text1"/>
          <w:sz w:val="24"/>
          <w:szCs w:val="24"/>
          <w:lang w:val="ru-RU"/>
        </w:rPr>
        <w:t xml:space="preserve"> PD = 1, </w:t>
      </w:r>
      <w:r w:rsidRPr="00D43281">
        <w:rPr>
          <w:rFonts w:ascii="Times New Roman" w:hAnsi="Times New Roman" w:cs="Times New Roman"/>
          <w:color w:val="000000" w:themeColor="text1"/>
          <w:sz w:val="24"/>
          <w:szCs w:val="24"/>
          <w:lang w:val="ru-RU"/>
        </w:rPr>
        <w:t xml:space="preserve">а именно для подверженностей в состоянии </w:t>
      </w:r>
      <w:r w:rsidR="00234CE7" w:rsidRPr="00D43281">
        <w:rPr>
          <w:rFonts w:ascii="Times New Roman" w:hAnsi="Times New Roman" w:cs="Times New Roman"/>
          <w:color w:val="000000" w:themeColor="text1"/>
          <w:sz w:val="24"/>
          <w:szCs w:val="24"/>
          <w:lang w:val="ru-RU"/>
        </w:rPr>
        <w:t>невозврата</w:t>
      </w:r>
      <w:r w:rsidR="00873F56" w:rsidRPr="00D43281">
        <w:rPr>
          <w:rFonts w:ascii="Times New Roman" w:hAnsi="Times New Roman" w:cs="Times New Roman"/>
          <w:color w:val="000000" w:themeColor="text1"/>
          <w:sz w:val="24"/>
          <w:szCs w:val="24"/>
          <w:lang w:val="ru-RU"/>
        </w:rPr>
        <w:t>:</w:t>
      </w:r>
    </w:p>
    <w:p w14:paraId="4172F913" w14:textId="1F79B73B" w:rsidR="00873F56" w:rsidRPr="00D43281" w:rsidRDefault="00234CE7" w:rsidP="00E90A53">
      <w:pPr>
        <w:pStyle w:val="ListParagraph"/>
        <w:numPr>
          <w:ilvl w:val="2"/>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когда банки применяют значения LGD, указанные в пункте 114, RW равен 0</w:t>
      </w:r>
      <w:r w:rsidR="00873F56" w:rsidRPr="00D43281">
        <w:rPr>
          <w:rFonts w:ascii="Times New Roman" w:hAnsi="Times New Roman" w:cs="Times New Roman"/>
          <w:color w:val="000000" w:themeColor="text1"/>
          <w:sz w:val="24"/>
          <w:szCs w:val="24"/>
          <w:lang w:val="ru-RU"/>
        </w:rPr>
        <w:t>;</w:t>
      </w:r>
    </w:p>
    <w:p w14:paraId="4D4FD921" w14:textId="12FF734A" w:rsidR="00873F56" w:rsidRPr="00D43281" w:rsidRDefault="00023413" w:rsidP="00E90A53">
      <w:pPr>
        <w:pStyle w:val="ListParagraph"/>
        <w:numPr>
          <w:ilvl w:val="2"/>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когда банки используют собственные оценки LGD, RW равен</w:t>
      </w:r>
    </w:p>
    <w:p w14:paraId="0B49B104" w14:textId="3693A03A" w:rsidR="00873F56" w:rsidRPr="00D43281" w:rsidRDefault="005126B4" w:rsidP="005126B4">
      <w:pPr>
        <w:pStyle w:val="ListParagraph"/>
        <w:shd w:val="clear" w:color="auto" w:fill="FFFFFF"/>
        <w:tabs>
          <w:tab w:val="left" w:pos="0"/>
          <w:tab w:val="left" w:pos="567"/>
        </w:tabs>
        <w:spacing w:before="60" w:after="0" w:line="240" w:lineRule="auto"/>
        <w:ind w:left="0"/>
        <w:jc w:val="center"/>
        <w:rPr>
          <w:rFonts w:ascii="Times New Roman" w:hAnsi="Times New Roman" w:cs="Times New Roman"/>
          <w:color w:val="000000" w:themeColor="text1"/>
          <w:sz w:val="24"/>
          <w:szCs w:val="24"/>
          <w:lang w:val="ro-RO"/>
        </w:rPr>
      </w:pPr>
      <m:oMathPara>
        <m:oMath>
          <m:r>
            <w:rPr>
              <w:rFonts w:ascii="Cambria Math" w:hAnsi="Cambria Math" w:cs="Times New Roman"/>
              <w:color w:val="000000" w:themeColor="text1"/>
              <w:sz w:val="24"/>
              <w:szCs w:val="24"/>
              <w:lang w:val="ro-RO"/>
            </w:rPr>
            <m:t>RW=max</m:t>
          </m:r>
          <m:d>
            <m:dPr>
              <m:begChr m:val="{"/>
              <m:endChr m:val=""/>
              <m:ctrlPr>
                <w:rPr>
                  <w:rFonts w:ascii="Cambria Math" w:hAnsi="Cambria Math" w:cs="Times New Roman"/>
                  <w:i/>
                  <w:color w:val="000000" w:themeColor="text1"/>
                  <w:sz w:val="24"/>
                  <w:szCs w:val="24"/>
                  <w:lang w:val="ro-RO"/>
                </w:rPr>
              </m:ctrlPr>
            </m:dPr>
            <m:e>
              <m:r>
                <w:rPr>
                  <w:rFonts w:ascii="Cambria Math" w:hAnsi="Cambria Math" w:cs="Times New Roman"/>
                  <w:color w:val="000000" w:themeColor="text1"/>
                  <w:sz w:val="24"/>
                  <w:szCs w:val="24"/>
                  <w:lang w:val="ro-RO"/>
                </w:rPr>
                <m:t>0;12,5∙</m:t>
              </m:r>
            </m:e>
          </m:d>
          <m:d>
            <m:dPr>
              <m:begChr m:val=""/>
              <m:endChr m:val="}"/>
              <m:ctrlPr>
                <w:rPr>
                  <w:rFonts w:ascii="Cambria Math" w:hAnsi="Cambria Math" w:cs="Times New Roman"/>
                  <w:i/>
                  <w:color w:val="000000" w:themeColor="text1"/>
                  <w:sz w:val="24"/>
                  <w:szCs w:val="24"/>
                  <w:lang w:val="ro-RO"/>
                </w:rPr>
              </m:ctrlPr>
            </m:dPr>
            <m:e>
              <m:d>
                <m:dPr>
                  <m:ctrlPr>
                    <w:rPr>
                      <w:rFonts w:ascii="Cambria Math" w:hAnsi="Cambria Math" w:cs="Times New Roman"/>
                      <w:i/>
                      <w:color w:val="000000" w:themeColor="text1"/>
                      <w:sz w:val="24"/>
                      <w:szCs w:val="24"/>
                      <w:lang w:val="ro-RO"/>
                    </w:rPr>
                  </m:ctrlPr>
                </m:dPr>
                <m:e>
                  <m:r>
                    <w:rPr>
                      <w:rFonts w:ascii="Cambria Math" w:hAnsi="Cambria Math" w:cs="Times New Roman"/>
                      <w:color w:val="000000" w:themeColor="text1"/>
                      <w:sz w:val="24"/>
                      <w:szCs w:val="24"/>
                      <w:lang w:val="ro-RO"/>
                    </w:rPr>
                    <m:t>LGD-</m:t>
                  </m:r>
                  <m:sSub>
                    <m:sSubPr>
                      <m:ctrlPr>
                        <w:rPr>
                          <w:rFonts w:ascii="Cambria Math" w:hAnsi="Cambria Math" w:cs="Times New Roman"/>
                          <w:i/>
                          <w:color w:val="000000" w:themeColor="text1"/>
                          <w:sz w:val="24"/>
                          <w:szCs w:val="24"/>
                          <w:lang w:val="ro-RO"/>
                        </w:rPr>
                      </m:ctrlPr>
                    </m:sSubPr>
                    <m:e>
                      <m:r>
                        <w:rPr>
                          <w:rFonts w:ascii="Cambria Math" w:hAnsi="Cambria Math" w:cs="Times New Roman"/>
                          <w:color w:val="000000" w:themeColor="text1"/>
                          <w:sz w:val="24"/>
                          <w:szCs w:val="24"/>
                          <w:lang w:val="ro-RO"/>
                        </w:rPr>
                        <m:t>EL</m:t>
                      </m:r>
                    </m:e>
                    <m:sub>
                      <m:r>
                        <w:rPr>
                          <w:rFonts w:ascii="Cambria Math" w:hAnsi="Cambria Math" w:cs="Times New Roman"/>
                          <w:color w:val="000000" w:themeColor="text1"/>
                          <w:sz w:val="24"/>
                          <w:szCs w:val="24"/>
                          <w:lang w:val="ro-RO"/>
                        </w:rPr>
                        <m:t>BE</m:t>
                      </m:r>
                    </m:sub>
                  </m:sSub>
                </m:e>
              </m:d>
            </m:e>
          </m:d>
        </m:oMath>
      </m:oMathPara>
    </w:p>
    <w:p w14:paraId="5B62AB89" w14:textId="59E3D132" w:rsidR="00873F56" w:rsidRPr="00D43281" w:rsidRDefault="0011449C" w:rsidP="005126B4">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где наилучшая оценка ожидаемого убытка (ELBE) — </w:t>
      </w:r>
      <w:proofErr w:type="spellStart"/>
      <w:r w:rsidRPr="00D43281">
        <w:rPr>
          <w:rFonts w:ascii="Times New Roman" w:hAnsi="Times New Roman" w:cs="Times New Roman"/>
          <w:color w:val="000000" w:themeColor="text1"/>
          <w:sz w:val="24"/>
          <w:szCs w:val="24"/>
          <w:lang w:val="ru-MD"/>
        </w:rPr>
        <w:t>Expected</w:t>
      </w:r>
      <w:proofErr w:type="spellEnd"/>
      <w:r w:rsidRPr="00D43281">
        <w:rPr>
          <w:rFonts w:ascii="Times New Roman" w:hAnsi="Times New Roman" w:cs="Times New Roman"/>
          <w:color w:val="000000" w:themeColor="text1"/>
          <w:sz w:val="24"/>
          <w:szCs w:val="24"/>
          <w:lang w:val="ru-MD"/>
        </w:rPr>
        <w:t xml:space="preserve"> </w:t>
      </w:r>
      <w:proofErr w:type="spellStart"/>
      <w:r w:rsidRPr="00D43281">
        <w:rPr>
          <w:rFonts w:ascii="Times New Roman" w:hAnsi="Times New Roman" w:cs="Times New Roman"/>
          <w:color w:val="000000" w:themeColor="text1"/>
          <w:sz w:val="24"/>
          <w:szCs w:val="24"/>
          <w:lang w:val="ru-MD"/>
        </w:rPr>
        <w:t>Loss</w:t>
      </w:r>
      <w:proofErr w:type="spellEnd"/>
      <w:r w:rsidRPr="00D43281">
        <w:rPr>
          <w:rFonts w:ascii="Times New Roman" w:hAnsi="Times New Roman" w:cs="Times New Roman"/>
          <w:color w:val="000000" w:themeColor="text1"/>
          <w:sz w:val="24"/>
          <w:szCs w:val="24"/>
          <w:lang w:val="ru-MD"/>
        </w:rPr>
        <w:t xml:space="preserve"> Best </w:t>
      </w:r>
      <w:proofErr w:type="spellStart"/>
      <w:r w:rsidRPr="00D43281">
        <w:rPr>
          <w:rFonts w:ascii="Times New Roman" w:hAnsi="Times New Roman" w:cs="Times New Roman"/>
          <w:color w:val="000000" w:themeColor="text1"/>
          <w:sz w:val="24"/>
          <w:szCs w:val="24"/>
          <w:lang w:val="ru-MD"/>
        </w:rPr>
        <w:t>Estimate</w:t>
      </w:r>
      <w:proofErr w:type="spellEnd"/>
      <w:r w:rsidRPr="00D43281">
        <w:rPr>
          <w:rFonts w:ascii="Times New Roman" w:hAnsi="Times New Roman" w:cs="Times New Roman"/>
          <w:color w:val="000000" w:themeColor="text1"/>
          <w:sz w:val="24"/>
          <w:szCs w:val="24"/>
          <w:lang w:val="ru-MD"/>
        </w:rPr>
        <w:t xml:space="preserve"> — представляет собой наилучшую оценку банка в отношении ожидаемого убытка по подверженностям в состоянии невозврата в соответствии с подпунктом 20</w:t>
      </w:r>
      <w:r w:rsidR="009560F3" w:rsidRPr="00BB1E28">
        <w:rPr>
          <w:rFonts w:ascii="Times New Roman" w:hAnsi="Times New Roman" w:cs="Times New Roman"/>
          <w:color w:val="000000" w:themeColor="text1"/>
          <w:sz w:val="24"/>
          <w:szCs w:val="24"/>
          <w:lang w:val="ru-RU"/>
        </w:rPr>
        <w:t>2</w:t>
      </w:r>
      <w:r w:rsidRPr="00D43281">
        <w:rPr>
          <w:rFonts w:ascii="Times New Roman" w:hAnsi="Times New Roman" w:cs="Times New Roman"/>
          <w:color w:val="000000" w:themeColor="text1"/>
          <w:sz w:val="24"/>
          <w:szCs w:val="24"/>
          <w:lang w:val="ru-MD"/>
        </w:rPr>
        <w:t>.9</w:t>
      </w:r>
      <w:r w:rsidR="00873F56" w:rsidRPr="00D43281">
        <w:rPr>
          <w:rFonts w:ascii="Times New Roman" w:hAnsi="Times New Roman" w:cs="Times New Roman"/>
          <w:color w:val="000000" w:themeColor="text1"/>
          <w:sz w:val="24"/>
          <w:szCs w:val="24"/>
          <w:lang w:val="ru-MD"/>
        </w:rPr>
        <w:t>;</w:t>
      </w:r>
    </w:p>
    <w:p w14:paraId="27AE8204" w14:textId="092880F0" w:rsidR="00873F56" w:rsidRPr="00D43281" w:rsidRDefault="0011449C"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72" w:name="_Ref215047700"/>
      <w:r w:rsidRPr="00D43281">
        <w:rPr>
          <w:rFonts w:ascii="Times New Roman" w:hAnsi="Times New Roman" w:cs="Times New Roman"/>
          <w:color w:val="000000" w:themeColor="text1"/>
          <w:sz w:val="24"/>
          <w:szCs w:val="24"/>
          <w:lang w:val="ru-RU"/>
        </w:rPr>
        <w:t>если</w:t>
      </w:r>
      <w:r w:rsidR="00873F56" w:rsidRPr="00D43281">
        <w:rPr>
          <w:rFonts w:ascii="Times New Roman" w:hAnsi="Times New Roman" w:cs="Times New Roman"/>
          <w:color w:val="000000" w:themeColor="text1"/>
          <w:sz w:val="24"/>
          <w:szCs w:val="24"/>
          <w:lang w:val="ro-RO"/>
        </w:rPr>
        <w:t xml:space="preserve"> 0 </w:t>
      </w:r>
      <w:proofErr w:type="gramStart"/>
      <w:r w:rsidR="00873F56" w:rsidRPr="00D43281">
        <w:rPr>
          <w:rFonts w:ascii="Times New Roman" w:hAnsi="Times New Roman" w:cs="Times New Roman"/>
          <w:color w:val="000000" w:themeColor="text1"/>
          <w:sz w:val="24"/>
          <w:szCs w:val="24"/>
          <w:lang w:val="ro-RO"/>
        </w:rPr>
        <w:t>&lt; PD</w:t>
      </w:r>
      <w:proofErr w:type="gramEnd"/>
      <w:r w:rsidR="00873F56" w:rsidRPr="00D43281">
        <w:rPr>
          <w:rFonts w:ascii="Times New Roman" w:hAnsi="Times New Roman" w:cs="Times New Roman"/>
          <w:color w:val="000000" w:themeColor="text1"/>
          <w:sz w:val="24"/>
          <w:szCs w:val="24"/>
          <w:lang w:val="ro-RO"/>
        </w:rPr>
        <w:t xml:space="preserve"> </w:t>
      </w:r>
      <w:proofErr w:type="gramStart"/>
      <w:r w:rsidR="00873F56" w:rsidRPr="00D43281">
        <w:rPr>
          <w:rFonts w:ascii="Times New Roman" w:hAnsi="Times New Roman" w:cs="Times New Roman"/>
          <w:color w:val="000000" w:themeColor="text1"/>
          <w:sz w:val="24"/>
          <w:szCs w:val="24"/>
          <w:lang w:val="ro-RO"/>
        </w:rPr>
        <w:t>&lt; 1</w:t>
      </w:r>
      <w:proofErr w:type="gramEnd"/>
      <w:r w:rsidR="00873F56" w:rsidRPr="00D43281">
        <w:rPr>
          <w:rFonts w:ascii="Times New Roman" w:hAnsi="Times New Roman" w:cs="Times New Roman"/>
          <w:color w:val="000000" w:themeColor="text1"/>
          <w:sz w:val="24"/>
          <w:szCs w:val="24"/>
          <w:lang w:val="ro-RO"/>
        </w:rPr>
        <w:t xml:space="preserve">, </w:t>
      </w:r>
      <w:r w:rsidRPr="00D43281">
        <w:rPr>
          <w:rFonts w:ascii="Times New Roman" w:hAnsi="Times New Roman" w:cs="Times New Roman"/>
          <w:color w:val="000000" w:themeColor="text1"/>
          <w:sz w:val="24"/>
          <w:szCs w:val="24"/>
          <w:lang w:val="ru-RU"/>
        </w:rPr>
        <w:t>тогда</w:t>
      </w:r>
      <w:r w:rsidR="00873F56" w:rsidRPr="00D43281">
        <w:rPr>
          <w:rFonts w:ascii="Times New Roman" w:hAnsi="Times New Roman" w:cs="Times New Roman"/>
          <w:color w:val="000000" w:themeColor="text1"/>
          <w:sz w:val="24"/>
          <w:szCs w:val="24"/>
          <w:lang w:val="ro-RO"/>
        </w:rPr>
        <w:t>:</w:t>
      </w:r>
      <w:bookmarkEnd w:id="72"/>
    </w:p>
    <w:p w14:paraId="76471E38" w14:textId="77777777" w:rsidR="0092363A" w:rsidRPr="00D43281" w:rsidRDefault="0092363A" w:rsidP="0092363A">
      <w:pPr>
        <w:pStyle w:val="ListParagraph"/>
        <w:shd w:val="clear" w:color="auto" w:fill="FFFFFF"/>
        <w:tabs>
          <w:tab w:val="left" w:pos="0"/>
          <w:tab w:val="left" w:pos="567"/>
        </w:tabs>
        <w:spacing w:before="60" w:after="0" w:line="240" w:lineRule="auto"/>
        <w:ind w:left="567"/>
        <w:jc w:val="both"/>
        <w:rPr>
          <w:rFonts w:ascii="Times New Roman" w:hAnsi="Times New Roman" w:cs="Times New Roman"/>
          <w:color w:val="000000" w:themeColor="text1"/>
          <w:sz w:val="24"/>
          <w:szCs w:val="24"/>
          <w:lang w:val="ro-RO"/>
        </w:rPr>
      </w:pPr>
    </w:p>
    <w:p w14:paraId="5CC1204E" w14:textId="30F97AD2" w:rsidR="0092363A" w:rsidRPr="00D43281" w:rsidRDefault="0092363A" w:rsidP="0092363A">
      <w:pPr>
        <w:pStyle w:val="ListParagraph"/>
        <w:ind w:left="1077"/>
        <w:jc w:val="both"/>
        <w:rPr>
          <w:rFonts w:ascii="Times New Roman" w:eastAsiaTheme="minorEastAsia" w:hAnsi="Times New Roman" w:cs="Times New Roman"/>
          <w:sz w:val="24"/>
          <w:szCs w:val="24"/>
          <w:lang w:val="ro-RO"/>
        </w:rPr>
      </w:pPr>
      <m:oMathPara>
        <m:oMathParaPr>
          <m:jc m:val="left"/>
        </m:oMathParaPr>
        <m:oMath>
          <m:r>
            <w:rPr>
              <w:rFonts w:ascii="Cambria Math" w:eastAsiaTheme="minorEastAsia" w:hAnsi="Cambria Math" w:cs="Times New Roman"/>
              <w:sz w:val="24"/>
              <w:szCs w:val="24"/>
              <w:lang w:val="ro-RO"/>
            </w:rPr>
            <m:t>RW=</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LGD∙N</m:t>
              </m:r>
              <m:d>
                <m:dPr>
                  <m:ctrlPr>
                    <w:rPr>
                      <w:rFonts w:ascii="Cambria Math" w:eastAsiaTheme="minorEastAsia" w:hAnsi="Cambria Math" w:cs="Times New Roman"/>
                      <w:i/>
                      <w:sz w:val="24"/>
                      <w:szCs w:val="24"/>
                      <w:lang w:val="ro-RO"/>
                    </w:rPr>
                  </m:ctrlPr>
                </m:dPr>
                <m:e>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num>
                    <m:den>
                      <m:rad>
                        <m:radPr>
                          <m:degHide m:val="1"/>
                          <m:ctrlPr>
                            <w:rPr>
                              <w:rFonts w:ascii="Cambria Math" w:eastAsiaTheme="minorEastAsia" w:hAnsi="Cambria Math" w:cs="Times New Roman"/>
                              <w:i/>
                              <w:sz w:val="24"/>
                              <w:szCs w:val="24"/>
                              <w:lang w:val="ro-RO"/>
                            </w:rPr>
                          </m:ctrlPr>
                        </m:radPr>
                        <m:deg/>
                        <m:e>
                          <m:r>
                            <w:rPr>
                              <w:rFonts w:ascii="Cambria Math" w:eastAsiaTheme="minorEastAsia" w:hAnsi="Cambria Math" w:cs="Times New Roman"/>
                              <w:sz w:val="24"/>
                              <w:szCs w:val="24"/>
                              <w:lang w:val="ro-RO"/>
                            </w:rPr>
                            <m:t>1-R</m:t>
                          </m:r>
                        </m:e>
                      </m:rad>
                    </m:den>
                  </m:f>
                  <m:r>
                    <w:rPr>
                      <w:rFonts w:ascii="Cambria Math" w:eastAsiaTheme="minorEastAsia" w:hAnsi="Cambria Math" w:cs="Calibri"/>
                      <w:sz w:val="24"/>
                      <w:szCs w:val="24"/>
                      <w:rtl/>
                      <w:lang w:val="ro-RO"/>
                    </w:rPr>
                    <m:t>٠</m:t>
                  </m:r>
                  <m:r>
                    <w:rPr>
                      <w:rFonts w:ascii="Cambria Math" w:eastAsiaTheme="minorEastAsia" w:hAnsi="Cambria Math" w:cs="Times New Roman"/>
                      <w:sz w:val="24"/>
                      <w:szCs w:val="24"/>
                      <w:lang w:val="ro-RO"/>
                    </w:rPr>
                    <m:t>G</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PD</m:t>
                      </m:r>
                    </m:e>
                  </m:d>
                  <m:r>
                    <w:rPr>
                      <w:rFonts w:ascii="Cambria Math" w:eastAsiaTheme="minorEastAsia" w:hAnsi="Cambria Math" w:cs="Times New Roman"/>
                      <w:sz w:val="24"/>
                      <w:szCs w:val="24"/>
                      <w:lang w:val="ro-RO"/>
                    </w:rPr>
                    <m:t>*</m:t>
                  </m:r>
                  <m:rad>
                    <m:radPr>
                      <m:degHide m:val="1"/>
                      <m:ctrlPr>
                        <w:rPr>
                          <w:rFonts w:ascii="Cambria Math" w:eastAsiaTheme="minorEastAsia" w:hAnsi="Cambria Math" w:cs="Times New Roman"/>
                          <w:i/>
                          <w:sz w:val="24"/>
                          <w:szCs w:val="24"/>
                          <w:lang w:val="ro-RO"/>
                        </w:rPr>
                      </m:ctrlPr>
                    </m:radPr>
                    <m:deg/>
                    <m:e>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R</m:t>
                          </m:r>
                        </m:num>
                        <m:den>
                          <m:r>
                            <w:rPr>
                              <w:rFonts w:ascii="Cambria Math" w:eastAsiaTheme="minorEastAsia" w:hAnsi="Cambria Math" w:cs="Times New Roman"/>
                              <w:sz w:val="24"/>
                              <w:szCs w:val="24"/>
                              <w:lang w:val="ro-RO"/>
                            </w:rPr>
                            <m:t>1-R</m:t>
                          </m:r>
                        </m:den>
                      </m:f>
                    </m:e>
                  </m:rad>
                  <m:r>
                    <w:rPr>
                      <w:rFonts w:ascii="Cambria Math" w:eastAsiaTheme="minorEastAsia" w:hAnsi="Cambria Math" w:cs="Times New Roman"/>
                      <w:sz w:val="24"/>
                      <w:szCs w:val="24"/>
                      <w:lang w:val="ro-RO"/>
                    </w:rPr>
                    <m:t>·G</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0.999</m:t>
                      </m:r>
                    </m:e>
                  </m:d>
                </m:e>
              </m:d>
              <m:r>
                <w:rPr>
                  <w:rFonts w:ascii="Cambria Math" w:eastAsiaTheme="minorEastAsia" w:hAnsi="Cambria Math" w:cs="Times New Roman"/>
                  <w:sz w:val="24"/>
                  <w:szCs w:val="24"/>
                  <w:lang w:val="ro-RO"/>
                </w:rPr>
                <m:t>-LGD∙PD</m:t>
              </m:r>
            </m:e>
          </m:d>
          <m:r>
            <w:rPr>
              <w:rFonts w:ascii="Cambria Math" w:eastAsiaTheme="minorEastAsia" w:hAnsi="Cambria Math" w:cs="Times New Roman"/>
              <w:sz w:val="24"/>
              <w:szCs w:val="24"/>
              <w:lang w:val="ro-RO"/>
            </w:rPr>
            <m:t>·</m:t>
          </m:r>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M-2,5</m:t>
                  </m:r>
                </m:e>
              </m:d>
              <m:r>
                <w:rPr>
                  <w:rFonts w:ascii="Cambria Math" w:eastAsiaTheme="minorEastAsia" w:hAnsi="Cambria Math" w:cs="Calibri"/>
                  <w:sz w:val="24"/>
                  <w:szCs w:val="24"/>
                  <w:rtl/>
                  <w:lang w:val="ro-RO"/>
                </w:rPr>
                <m:t>٠</m:t>
              </m:r>
              <m:r>
                <w:rPr>
                  <w:rFonts w:ascii="Cambria Math" w:eastAsiaTheme="minorEastAsia" w:hAnsi="Cambria Math" w:cs="Times New Roman"/>
                  <w:sz w:val="24"/>
                  <w:szCs w:val="24"/>
                  <w:lang w:val="ro-RO"/>
                </w:rPr>
                <m:t>b</m:t>
              </m:r>
            </m:num>
            <m:den>
              <m:r>
                <w:rPr>
                  <w:rFonts w:ascii="Cambria Math" w:eastAsiaTheme="minorEastAsia" w:hAnsi="Cambria Math" w:cs="Times New Roman"/>
                  <w:sz w:val="24"/>
                  <w:szCs w:val="24"/>
                  <w:lang w:val="ro-RO"/>
                </w:rPr>
                <m:t>1-1,5∙b</m:t>
              </m:r>
            </m:den>
          </m:f>
          <m:r>
            <w:rPr>
              <w:rFonts w:ascii="Cambria Math" w:eastAsiaTheme="minorEastAsia" w:hAnsi="Cambria Math" w:cs="Calibri"/>
              <w:sz w:val="24"/>
              <w:szCs w:val="24"/>
              <w:rtl/>
              <w:lang w:val="ro-RO"/>
            </w:rPr>
            <m:t>٠</m:t>
          </m:r>
          <m:r>
            <w:rPr>
              <w:rFonts w:ascii="Cambria Math" w:eastAsiaTheme="minorEastAsia" w:hAnsi="Cambria Math" w:cs="Times New Roman"/>
              <w:sz w:val="24"/>
              <w:szCs w:val="24"/>
              <w:lang w:val="ro-RO"/>
            </w:rPr>
            <m:t>12,5</m:t>
          </m:r>
        </m:oMath>
      </m:oMathPara>
    </w:p>
    <w:p w14:paraId="78014179" w14:textId="36931AD4" w:rsidR="0092363A" w:rsidRPr="00D43281" w:rsidRDefault="0011449C" w:rsidP="0092363A">
      <w:pPr>
        <w:pStyle w:val="ListParagraph"/>
        <w:spacing w:line="360" w:lineRule="auto"/>
        <w:ind w:left="0"/>
        <w:jc w:val="both"/>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u-RU"/>
        </w:rPr>
        <w:t>где</w:t>
      </w:r>
      <w:r w:rsidR="0092363A" w:rsidRPr="00D43281">
        <w:rPr>
          <w:rFonts w:ascii="Times New Roman" w:eastAsiaTheme="minorEastAsia" w:hAnsi="Times New Roman" w:cs="Times New Roman"/>
          <w:sz w:val="24"/>
          <w:szCs w:val="24"/>
          <w:lang w:val="ro-RO"/>
        </w:rPr>
        <w:t>:</w:t>
      </w:r>
    </w:p>
    <w:p w14:paraId="6603BA4B" w14:textId="504F2317" w:rsidR="00873F56" w:rsidRPr="00D43281" w:rsidRDefault="00873F56" w:rsidP="0092363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N</w:t>
      </w:r>
      <w:r w:rsidR="0092363A" w:rsidRPr="00D43281">
        <w:rPr>
          <w:rFonts w:ascii="Times New Roman" w:hAnsi="Times New Roman" w:cs="Times New Roman"/>
          <w:color w:val="000000" w:themeColor="text1"/>
          <w:sz w:val="24"/>
          <w:szCs w:val="24"/>
          <w:lang w:val="ru-MD"/>
        </w:rPr>
        <w:t xml:space="preserve"> </w:t>
      </w:r>
      <w:r w:rsidRPr="00D43281">
        <w:rPr>
          <w:rFonts w:ascii="Times New Roman" w:hAnsi="Times New Roman" w:cs="Times New Roman"/>
          <w:color w:val="000000" w:themeColor="text1"/>
          <w:sz w:val="24"/>
          <w:szCs w:val="24"/>
          <w:lang w:val="ru-MD"/>
        </w:rPr>
        <w:t xml:space="preserve">= </w:t>
      </w:r>
      <w:r w:rsidR="00E0562F" w:rsidRPr="00D43281">
        <w:rPr>
          <w:rFonts w:ascii="Times New Roman" w:hAnsi="Times New Roman" w:cs="Times New Roman"/>
          <w:color w:val="000000" w:themeColor="text1"/>
          <w:sz w:val="24"/>
          <w:szCs w:val="24"/>
          <w:lang w:val="ru-MD"/>
        </w:rPr>
        <w:t>кумулятивная функция распределения стандартной нормальной случайной величины, то есть N(x), выражает вероятность того, что нормально распределённая случайная величина со средним значением ноль и дисперсией 1 будет меньше или равна x</w:t>
      </w:r>
      <w:r w:rsidRPr="00D43281">
        <w:rPr>
          <w:rFonts w:ascii="Times New Roman" w:hAnsi="Times New Roman" w:cs="Times New Roman"/>
          <w:color w:val="000000" w:themeColor="text1"/>
          <w:sz w:val="24"/>
          <w:szCs w:val="24"/>
          <w:lang w:val="ru-MD"/>
        </w:rPr>
        <w:t>;</w:t>
      </w:r>
    </w:p>
    <w:p w14:paraId="1723047B" w14:textId="31662FF4" w:rsidR="00873F56" w:rsidRPr="00D43281" w:rsidRDefault="00873F56" w:rsidP="0092363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G</w:t>
      </w:r>
      <w:r w:rsidR="0092363A" w:rsidRPr="00D43281">
        <w:rPr>
          <w:rFonts w:ascii="Times New Roman" w:hAnsi="Times New Roman" w:cs="Times New Roman"/>
          <w:color w:val="000000" w:themeColor="text1"/>
          <w:sz w:val="24"/>
          <w:szCs w:val="24"/>
          <w:lang w:val="ru-MD"/>
        </w:rPr>
        <w:t xml:space="preserve"> </w:t>
      </w:r>
      <w:r w:rsidRPr="00D43281">
        <w:rPr>
          <w:rFonts w:ascii="Times New Roman" w:hAnsi="Times New Roman" w:cs="Times New Roman"/>
          <w:color w:val="000000" w:themeColor="text1"/>
          <w:sz w:val="24"/>
          <w:szCs w:val="24"/>
          <w:lang w:val="ru-MD"/>
        </w:rPr>
        <w:t xml:space="preserve">= </w:t>
      </w:r>
      <w:r w:rsidR="00187904" w:rsidRPr="00D43281">
        <w:rPr>
          <w:rFonts w:ascii="Times New Roman" w:hAnsi="Times New Roman" w:cs="Times New Roman"/>
          <w:color w:val="000000" w:themeColor="text1"/>
          <w:sz w:val="24"/>
          <w:szCs w:val="24"/>
          <w:lang w:val="ru-MD"/>
        </w:rPr>
        <w:t>обратная функция кумулятивной распределительной функции для стандартной нормальной случайной величины, то есть если x = G(z), то x обозначает значение, такое, что N(x) = z</w:t>
      </w:r>
      <w:r w:rsidRPr="00D43281">
        <w:rPr>
          <w:rFonts w:ascii="Times New Roman" w:hAnsi="Times New Roman" w:cs="Times New Roman"/>
          <w:color w:val="000000" w:themeColor="text1"/>
          <w:sz w:val="24"/>
          <w:szCs w:val="24"/>
          <w:lang w:val="ru-MD"/>
        </w:rPr>
        <w:t>;</w:t>
      </w:r>
    </w:p>
    <w:p w14:paraId="46EF7A88" w14:textId="03CF7F2E" w:rsidR="00873F56" w:rsidRPr="00D43281" w:rsidRDefault="00873F56" w:rsidP="0092363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R</w:t>
      </w:r>
      <w:r w:rsidR="0092363A" w:rsidRPr="00D43281">
        <w:rPr>
          <w:rFonts w:ascii="Times New Roman" w:hAnsi="Times New Roman" w:cs="Times New Roman"/>
          <w:color w:val="000000" w:themeColor="text1"/>
          <w:sz w:val="24"/>
          <w:szCs w:val="24"/>
          <w:lang w:val="ru-MD"/>
        </w:rPr>
        <w:t xml:space="preserve"> </w:t>
      </w:r>
      <w:r w:rsidRPr="00D43281">
        <w:rPr>
          <w:rFonts w:ascii="Times New Roman" w:hAnsi="Times New Roman" w:cs="Times New Roman"/>
          <w:color w:val="000000" w:themeColor="text1"/>
          <w:sz w:val="24"/>
          <w:szCs w:val="24"/>
          <w:lang w:val="ru-MD"/>
        </w:rPr>
        <w:t xml:space="preserve">= </w:t>
      </w:r>
      <w:r w:rsidR="00AC2EBA" w:rsidRPr="00D43281">
        <w:rPr>
          <w:rFonts w:ascii="Times New Roman" w:hAnsi="Times New Roman" w:cs="Times New Roman"/>
          <w:color w:val="000000" w:themeColor="text1"/>
          <w:sz w:val="24"/>
          <w:szCs w:val="24"/>
          <w:lang w:val="ru-MD"/>
        </w:rPr>
        <w:t>коэффициент корреляции, который определяется как</w:t>
      </w:r>
      <w:r w:rsidRPr="00D43281">
        <w:rPr>
          <w:rFonts w:ascii="Times New Roman" w:hAnsi="Times New Roman" w:cs="Times New Roman"/>
          <w:color w:val="000000" w:themeColor="text1"/>
          <w:sz w:val="24"/>
          <w:szCs w:val="24"/>
          <w:lang w:val="ru-MD"/>
        </w:rPr>
        <w:t>:</w:t>
      </w:r>
    </w:p>
    <w:p w14:paraId="4D150B27" w14:textId="77777777" w:rsidR="0092363A" w:rsidRPr="00D43281" w:rsidRDefault="0092363A" w:rsidP="0092363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p>
    <w:p w14:paraId="20D74F09" w14:textId="507BC086" w:rsidR="0092363A" w:rsidRPr="00D43281" w:rsidRDefault="0092363A" w:rsidP="0092363A">
      <w:pPr>
        <w:pStyle w:val="ListParagraph"/>
        <w:spacing w:line="360" w:lineRule="auto"/>
        <w:ind w:left="1077"/>
        <w:jc w:val="both"/>
        <w:rPr>
          <w:rFonts w:ascii="Times New Roman" w:eastAsiaTheme="minorEastAsia" w:hAnsi="Times New Roman" w:cs="Times New Roman"/>
          <w:sz w:val="24"/>
          <w:szCs w:val="24"/>
          <w:lang w:val="ro-RO"/>
        </w:rPr>
      </w:pPr>
      <m:oMathPara>
        <m:oMathParaPr>
          <m:jc m:val="left"/>
        </m:oMathParaPr>
        <m:oMath>
          <m:r>
            <w:rPr>
              <w:rFonts w:ascii="Cambria Math" w:eastAsiaTheme="minorEastAsia" w:hAnsi="Cambria Math" w:cs="Times New Roman"/>
              <w:sz w:val="24"/>
              <w:szCs w:val="24"/>
              <w:lang w:val="ro-RO"/>
            </w:rPr>
            <m:t>R=0.12·</m:t>
          </m:r>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-50</m:t>
                  </m:r>
                  <m:r>
                    <w:rPr>
                      <w:rFonts w:ascii="Cambria Math" w:eastAsiaTheme="minorEastAsia" w:hAnsi="Cambria Math" w:cs="Calibri"/>
                      <w:sz w:val="24"/>
                      <w:szCs w:val="24"/>
                      <w:rtl/>
                      <w:lang w:val="ro-RO"/>
                    </w:rPr>
                    <m:t>٠</m:t>
                  </m:r>
                  <m:r>
                    <w:rPr>
                      <w:rFonts w:ascii="Cambria Math" w:eastAsiaTheme="minorEastAsia" w:hAnsi="Cambria Math" w:cs="Times New Roman"/>
                      <w:sz w:val="24"/>
                      <w:szCs w:val="24"/>
                      <w:lang w:val="ro-RO"/>
                    </w:rPr>
                    <m:t>PD</m:t>
                  </m:r>
                </m:sup>
              </m:sSup>
            </m:num>
            <m:den>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-50</m:t>
                  </m:r>
                </m:sup>
              </m:sSup>
            </m:den>
          </m:f>
          <m:r>
            <w:rPr>
              <w:rFonts w:ascii="Cambria Math" w:eastAsiaTheme="minorEastAsia" w:hAnsi="Cambria Math" w:cs="Times New Roman"/>
              <w:sz w:val="24"/>
              <w:szCs w:val="24"/>
              <w:lang w:val="ro-RO"/>
            </w:rPr>
            <m:t>+0.24∙(1-</m:t>
          </m:r>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-50·PD</m:t>
                  </m:r>
                </m:sup>
              </m:sSup>
            </m:num>
            <m:den>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-50</m:t>
                  </m:r>
                </m:sup>
              </m:sSup>
            </m:den>
          </m:f>
          <m:r>
            <w:rPr>
              <w:rFonts w:ascii="Cambria Math" w:eastAsiaTheme="minorEastAsia" w:hAnsi="Cambria Math" w:cs="Times New Roman"/>
              <w:sz w:val="24"/>
              <w:szCs w:val="24"/>
              <w:lang w:val="ro-RO"/>
            </w:rPr>
            <m:t>)</m:t>
          </m:r>
        </m:oMath>
      </m:oMathPara>
    </w:p>
    <w:p w14:paraId="6C3C8214" w14:textId="77777777" w:rsidR="00873F56" w:rsidRPr="00D43281" w:rsidRDefault="00873F56" w:rsidP="0092363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p>
    <w:p w14:paraId="68BE5B78" w14:textId="39110018" w:rsidR="00873F56" w:rsidRPr="00D43281" w:rsidRDefault="00873F56" w:rsidP="0092363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lastRenderedPageBreak/>
        <w:t>b</w:t>
      </w:r>
      <w:r w:rsidR="0092363A" w:rsidRPr="00D43281">
        <w:rPr>
          <w:rFonts w:ascii="Times New Roman" w:hAnsi="Times New Roman" w:cs="Times New Roman"/>
          <w:color w:val="000000" w:themeColor="text1"/>
          <w:sz w:val="24"/>
          <w:szCs w:val="24"/>
          <w:lang w:val="ru-MD"/>
        </w:rPr>
        <w:t xml:space="preserve"> </w:t>
      </w:r>
      <w:r w:rsidRPr="00D43281">
        <w:rPr>
          <w:rFonts w:ascii="Times New Roman" w:hAnsi="Times New Roman" w:cs="Times New Roman"/>
          <w:color w:val="000000" w:themeColor="text1"/>
          <w:sz w:val="24"/>
          <w:szCs w:val="24"/>
          <w:lang w:val="ru-MD"/>
        </w:rPr>
        <w:t xml:space="preserve">= </w:t>
      </w:r>
      <w:r w:rsidR="00AC2EBA" w:rsidRPr="00D43281">
        <w:rPr>
          <w:rFonts w:ascii="Times New Roman" w:hAnsi="Times New Roman" w:cs="Times New Roman"/>
          <w:color w:val="000000" w:themeColor="text1"/>
          <w:sz w:val="24"/>
          <w:szCs w:val="24"/>
          <w:lang w:val="ru-MD"/>
        </w:rPr>
        <w:t>коэффициент корректировки в зависимости от срока погашения, который определяется как</w:t>
      </w:r>
      <w:r w:rsidRPr="00D43281">
        <w:rPr>
          <w:rFonts w:ascii="Times New Roman" w:hAnsi="Times New Roman" w:cs="Times New Roman"/>
          <w:color w:val="000000" w:themeColor="text1"/>
          <w:sz w:val="24"/>
          <w:szCs w:val="24"/>
          <w:lang w:val="ru-MD"/>
        </w:rPr>
        <w:t>:</w:t>
      </w:r>
    </w:p>
    <w:p w14:paraId="69565BAB" w14:textId="75F9AF0C" w:rsidR="0092363A" w:rsidRPr="00D43281" w:rsidRDefault="0092363A" w:rsidP="0092363A">
      <w:pPr>
        <w:pStyle w:val="ListParagraph"/>
        <w:spacing w:line="360" w:lineRule="auto"/>
        <w:ind w:left="1077"/>
        <w:jc w:val="both"/>
        <w:rPr>
          <w:rFonts w:ascii="Times New Roman" w:eastAsiaTheme="minorEastAsia" w:hAnsi="Times New Roman" w:cs="Times New Roman"/>
          <w:sz w:val="24"/>
          <w:szCs w:val="24"/>
          <w:lang w:val="ru-MD"/>
        </w:rPr>
      </w:pPr>
      <w:r w:rsidRPr="00D43281">
        <w:rPr>
          <w:rFonts w:ascii="Times New Roman" w:hAnsi="Times New Roman" w:cs="Times New Roman"/>
          <w:color w:val="000000" w:themeColor="text1"/>
          <w:sz w:val="24"/>
          <w:szCs w:val="24"/>
          <w:lang w:val="ru-MD"/>
        </w:rPr>
        <w:t xml:space="preserve"> </w:t>
      </w:r>
      <m:oMath>
        <m:r>
          <w:rPr>
            <w:rFonts w:ascii="Cambria Math" w:eastAsiaTheme="minorEastAsia" w:hAnsi="Cambria Math" w:cs="Times New Roman"/>
            <w:sz w:val="24"/>
            <w:szCs w:val="24"/>
            <w:lang w:val="ru-MD"/>
          </w:rPr>
          <m:t>b=</m:t>
        </m:r>
        <m:sSup>
          <m:sSupPr>
            <m:ctrlPr>
              <w:rPr>
                <w:rFonts w:ascii="Cambria Math" w:eastAsiaTheme="minorEastAsia" w:hAnsi="Cambria Math" w:cs="Times New Roman"/>
                <w:i/>
                <w:sz w:val="24"/>
                <w:szCs w:val="24"/>
                <w:lang w:val="ru-MD"/>
              </w:rPr>
            </m:ctrlPr>
          </m:sSupPr>
          <m:e>
            <m:r>
              <w:rPr>
                <w:rFonts w:ascii="Cambria Math" w:eastAsiaTheme="minorEastAsia" w:hAnsi="Cambria Math" w:cs="Times New Roman"/>
                <w:sz w:val="24"/>
                <w:szCs w:val="24"/>
                <w:lang w:val="ru-MD"/>
              </w:rPr>
              <m:t>(0.11852-0.05478·</m:t>
            </m:r>
            <m:func>
              <m:funcPr>
                <m:ctrlPr>
                  <w:rPr>
                    <w:rFonts w:ascii="Cambria Math" w:eastAsiaTheme="minorEastAsia" w:hAnsi="Cambria Math" w:cs="Times New Roman"/>
                    <w:sz w:val="24"/>
                    <w:szCs w:val="24"/>
                    <w:lang w:val="ru-MD"/>
                  </w:rPr>
                </m:ctrlPr>
              </m:funcPr>
              <m:fName>
                <m:r>
                  <m:rPr>
                    <m:sty m:val="p"/>
                  </m:rPr>
                  <w:rPr>
                    <w:rFonts w:ascii="Cambria Math" w:eastAsiaTheme="minorEastAsia" w:hAnsi="Cambria Math" w:cs="Times New Roman"/>
                    <w:sz w:val="24"/>
                    <w:szCs w:val="24"/>
                    <w:lang w:val="ru-MD"/>
                  </w:rPr>
                  <m:t>ln</m:t>
                </m:r>
                <m:ctrlPr>
                  <w:rPr>
                    <w:rFonts w:ascii="Cambria Math" w:eastAsiaTheme="minorEastAsia" w:hAnsi="Cambria Math" w:cs="Times New Roman"/>
                    <w:i/>
                    <w:sz w:val="24"/>
                    <w:szCs w:val="24"/>
                    <w:lang w:val="ru-MD"/>
                  </w:rPr>
                </m:ctrlPr>
              </m:fName>
              <m:e>
                <m:d>
                  <m:dPr>
                    <m:ctrlPr>
                      <w:rPr>
                        <w:rFonts w:ascii="Cambria Math" w:eastAsiaTheme="minorEastAsia" w:hAnsi="Cambria Math" w:cs="Times New Roman"/>
                        <w:i/>
                        <w:sz w:val="24"/>
                        <w:szCs w:val="24"/>
                        <w:lang w:val="ru-MD"/>
                      </w:rPr>
                    </m:ctrlPr>
                  </m:dPr>
                  <m:e>
                    <m:r>
                      <w:rPr>
                        <w:rFonts w:ascii="Cambria Math" w:eastAsiaTheme="minorEastAsia" w:hAnsi="Cambria Math" w:cs="Times New Roman"/>
                        <w:sz w:val="24"/>
                        <w:szCs w:val="24"/>
                        <w:lang w:val="ru-MD"/>
                      </w:rPr>
                      <m:t>PD</m:t>
                    </m:r>
                  </m:e>
                </m:d>
              </m:e>
            </m:func>
            <m:r>
              <w:rPr>
                <w:rFonts w:ascii="Cambria Math" w:eastAsiaTheme="minorEastAsia" w:hAnsi="Cambria Math" w:cs="Times New Roman"/>
                <w:sz w:val="24"/>
                <w:szCs w:val="24"/>
                <w:lang w:val="ru-MD"/>
              </w:rPr>
              <m:t>)</m:t>
            </m:r>
          </m:e>
          <m:sup>
            <m:r>
              <w:rPr>
                <w:rFonts w:ascii="Cambria Math" w:eastAsiaTheme="minorEastAsia" w:hAnsi="Cambria Math" w:cs="Times New Roman"/>
                <w:sz w:val="24"/>
                <w:szCs w:val="24"/>
                <w:lang w:val="ru-MD"/>
              </w:rPr>
              <m:t>2</m:t>
            </m:r>
          </m:sup>
        </m:sSup>
      </m:oMath>
    </w:p>
    <w:p w14:paraId="409732BC" w14:textId="1FE40A5B" w:rsidR="00873F56" w:rsidRPr="00D43281" w:rsidRDefault="00873F56" w:rsidP="0092363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M</w:t>
      </w:r>
      <w:r w:rsidR="0092363A" w:rsidRPr="00D43281">
        <w:rPr>
          <w:rFonts w:ascii="Times New Roman" w:hAnsi="Times New Roman" w:cs="Times New Roman"/>
          <w:color w:val="000000" w:themeColor="text1"/>
          <w:sz w:val="24"/>
          <w:szCs w:val="24"/>
          <w:lang w:val="ru-MD"/>
        </w:rPr>
        <w:t xml:space="preserve"> </w:t>
      </w:r>
      <w:r w:rsidRPr="00D43281">
        <w:rPr>
          <w:rFonts w:ascii="Times New Roman" w:hAnsi="Times New Roman" w:cs="Times New Roman"/>
          <w:color w:val="000000" w:themeColor="text1"/>
          <w:sz w:val="24"/>
          <w:szCs w:val="24"/>
          <w:lang w:val="ru-MD"/>
        </w:rPr>
        <w:t xml:space="preserve">= </w:t>
      </w:r>
      <w:r w:rsidR="001C4566" w:rsidRPr="00D43281">
        <w:rPr>
          <w:rFonts w:ascii="Times New Roman" w:hAnsi="Times New Roman" w:cs="Times New Roman"/>
          <w:color w:val="000000" w:themeColor="text1"/>
          <w:sz w:val="24"/>
          <w:szCs w:val="24"/>
          <w:lang w:val="ru-MD"/>
        </w:rPr>
        <w:t>срок погашения, выраженный в годах и определяемый в соответствии с пунктами 123–129</w:t>
      </w:r>
      <w:r w:rsidRPr="00D43281">
        <w:rPr>
          <w:rFonts w:ascii="Times New Roman" w:hAnsi="Times New Roman" w:cs="Times New Roman"/>
          <w:color w:val="000000" w:themeColor="text1"/>
          <w:sz w:val="24"/>
          <w:szCs w:val="24"/>
          <w:lang w:val="ru-MD"/>
        </w:rPr>
        <w:t>.</w:t>
      </w:r>
      <w:r w:rsidR="0092363A" w:rsidRPr="00D43281">
        <w:rPr>
          <w:rFonts w:ascii="Times New Roman" w:hAnsi="Times New Roman" w:cs="Times New Roman"/>
          <w:color w:val="000000" w:themeColor="text1"/>
          <w:sz w:val="24"/>
          <w:szCs w:val="24"/>
          <w:highlight w:val="lightGray"/>
          <w:lang w:val="ru-MD"/>
        </w:rPr>
        <w:t xml:space="preserve"> </w:t>
      </w:r>
    </w:p>
    <w:p w14:paraId="72E47CF6" w14:textId="5CAF64D8" w:rsidR="00873F56" w:rsidRPr="00D43281" w:rsidRDefault="00FD7F1C"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73" w:name="_Ref222834949"/>
      <w:r w:rsidRPr="00D43281">
        <w:rPr>
          <w:rFonts w:ascii="Times New Roman" w:hAnsi="Times New Roman" w:cs="Times New Roman"/>
          <w:color w:val="000000" w:themeColor="text1"/>
          <w:sz w:val="24"/>
          <w:szCs w:val="24"/>
          <w:lang w:val="ru-MD"/>
        </w:rPr>
        <w:t>В случае подверженностей перед крупными регулируемыми организациями финансового сектора и перед нерегулируемыми организациями финансового сектора коэффициент корреляции R, указанный в подпункте 71.3 пункта 71 или, в зависимости от обстоятельств, в пункте 73, умножается на 1,25 при расчете весовых коэффициентов риска соответствующих подверженностей</w:t>
      </w:r>
      <w:r w:rsidR="00873F56" w:rsidRPr="00D43281">
        <w:rPr>
          <w:rFonts w:ascii="Times New Roman" w:hAnsi="Times New Roman" w:cs="Times New Roman"/>
          <w:color w:val="000000" w:themeColor="text1"/>
          <w:sz w:val="24"/>
          <w:szCs w:val="24"/>
          <w:lang w:val="ru-MD"/>
        </w:rPr>
        <w:t>.</w:t>
      </w:r>
      <w:bookmarkEnd w:id="73"/>
    </w:p>
    <w:p w14:paraId="02F857B1" w14:textId="5F92E28B" w:rsidR="00873F56" w:rsidRPr="00D43281" w:rsidRDefault="0028356A"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74" w:name="_Ref215048481"/>
      <w:r w:rsidRPr="00D43281">
        <w:rPr>
          <w:rFonts w:ascii="Times New Roman" w:hAnsi="Times New Roman" w:cs="Times New Roman"/>
          <w:color w:val="000000" w:themeColor="text1"/>
          <w:sz w:val="24"/>
          <w:szCs w:val="24"/>
          <w:lang w:val="ru-RU"/>
        </w:rPr>
        <w:t>Для расчета весовых коэффициентов риска для подверженностей перед обществом, годовой оборот консолидированной группы, в которую входит данное общество, составляет менее эквивалента 50 млн евро в леях, банки могут использовать формулу корреляции, приведенную в подпункте 71.3</w:t>
      </w:r>
      <w:r w:rsidR="0034704F" w:rsidRPr="00D43281">
        <w:rPr>
          <w:rFonts w:ascii="Times New Roman" w:hAnsi="Times New Roman" w:cs="Times New Roman"/>
          <w:color w:val="000000" w:themeColor="text1"/>
          <w:sz w:val="24"/>
          <w:szCs w:val="24"/>
          <w:lang w:val="ru-RU"/>
        </w:rPr>
        <w:t xml:space="preserve"> пункта 71</w:t>
      </w:r>
      <w:r w:rsidRPr="00D43281">
        <w:rPr>
          <w:rFonts w:ascii="Times New Roman" w:hAnsi="Times New Roman" w:cs="Times New Roman"/>
          <w:color w:val="000000" w:themeColor="text1"/>
          <w:sz w:val="24"/>
          <w:szCs w:val="24"/>
          <w:lang w:val="ru-RU"/>
        </w:rPr>
        <w:t>. В этой формуле S (</w:t>
      </w:r>
      <w:proofErr w:type="spellStart"/>
      <w:r w:rsidRPr="00D43281">
        <w:rPr>
          <w:rFonts w:ascii="Times New Roman" w:hAnsi="Times New Roman" w:cs="Times New Roman"/>
          <w:color w:val="000000" w:themeColor="text1"/>
          <w:sz w:val="24"/>
          <w:szCs w:val="24"/>
          <w:lang w:val="ru-RU"/>
        </w:rPr>
        <w:t>sales</w:t>
      </w:r>
      <w:proofErr w:type="spellEnd"/>
      <w:r w:rsidRPr="00D43281">
        <w:rPr>
          <w:rFonts w:ascii="Times New Roman" w:hAnsi="Times New Roman" w:cs="Times New Roman"/>
          <w:color w:val="000000" w:themeColor="text1"/>
          <w:sz w:val="24"/>
          <w:szCs w:val="24"/>
          <w:lang w:val="ru-RU"/>
        </w:rPr>
        <w:t>) соответствует годовому обороту, выраженному в миллионах евро, где 5 млн евро ≤ S ≤ 50 млн евро. Заявленный оборот, меньший 5 млн евро, считается эквивалентным 5 млн евро. В отношении приобретенных требований общий годовой оборот представляет собой средневзвешенное значение отдельных подверженностей в корзине</w:t>
      </w:r>
      <w:r w:rsidR="00873F56" w:rsidRPr="00D43281">
        <w:rPr>
          <w:rFonts w:ascii="Times New Roman" w:hAnsi="Times New Roman" w:cs="Times New Roman"/>
          <w:color w:val="000000" w:themeColor="text1"/>
          <w:sz w:val="24"/>
          <w:szCs w:val="24"/>
          <w:lang w:val="ru-RU"/>
        </w:rPr>
        <w:t>.</w:t>
      </w:r>
      <w:bookmarkEnd w:id="74"/>
    </w:p>
    <w:p w14:paraId="5BC3F3C8" w14:textId="46E720FC" w:rsidR="00CD4CE6" w:rsidRPr="00BB1E28" w:rsidRDefault="00CD4CE6" w:rsidP="00CD4CE6">
      <w:pPr>
        <w:pStyle w:val="ListParagraph"/>
        <w:spacing w:line="360" w:lineRule="auto"/>
        <w:ind w:left="0"/>
        <w:jc w:val="center"/>
        <w:rPr>
          <w:rFonts w:ascii="Times New Roman" w:eastAsiaTheme="minorEastAsia" w:hAnsi="Times New Roman" w:cs="Times New Roman"/>
          <w:sz w:val="24"/>
          <w:szCs w:val="24"/>
          <w:lang w:val="ru-RU"/>
        </w:rPr>
      </w:pPr>
      <m:oMath>
        <m:r>
          <w:rPr>
            <w:rFonts w:ascii="Cambria Math" w:eastAsiaTheme="minorEastAsia" w:hAnsi="Cambria Math" w:cs="Times New Roman"/>
            <w:sz w:val="24"/>
            <w:szCs w:val="24"/>
            <w:lang w:val="ru-RU"/>
          </w:rPr>
          <m:t>R=0.12·</m:t>
        </m:r>
        <m:f>
          <m:fPr>
            <m:ctrlPr>
              <w:rPr>
                <w:rFonts w:ascii="Cambria Math" w:eastAsiaTheme="minorEastAsia" w:hAnsi="Cambria Math" w:cs="Times New Roman"/>
                <w:i/>
                <w:sz w:val="24"/>
                <w:szCs w:val="24"/>
                <w:lang w:val="ru-RU"/>
              </w:rPr>
            </m:ctrlPr>
          </m:fPr>
          <m:num>
            <m:r>
              <w:rPr>
                <w:rFonts w:ascii="Cambria Math" w:eastAsiaTheme="minorEastAsia" w:hAnsi="Cambria Math" w:cs="Times New Roman"/>
                <w:sz w:val="24"/>
                <w:szCs w:val="24"/>
                <w:lang w:val="ru-RU"/>
              </w:rPr>
              <m:t>1-</m:t>
            </m:r>
            <m:sSup>
              <m:sSupPr>
                <m:ctrlPr>
                  <w:rPr>
                    <w:rFonts w:ascii="Cambria Math" w:eastAsiaTheme="minorEastAsia" w:hAnsi="Cambria Math" w:cs="Times New Roman"/>
                    <w:i/>
                    <w:sz w:val="24"/>
                    <w:szCs w:val="24"/>
                    <w:lang w:val="ru-RU"/>
                  </w:rPr>
                </m:ctrlPr>
              </m:sSupPr>
              <m:e>
                <m:r>
                  <w:rPr>
                    <w:rFonts w:ascii="Cambria Math" w:eastAsiaTheme="minorEastAsia" w:hAnsi="Cambria Math" w:cs="Times New Roman"/>
                    <w:sz w:val="24"/>
                    <w:szCs w:val="24"/>
                    <w:lang w:val="ru-RU"/>
                  </w:rPr>
                  <m:t>e</m:t>
                </m:r>
              </m:e>
              <m:sup>
                <m:r>
                  <w:rPr>
                    <w:rFonts w:ascii="Cambria Math" w:eastAsiaTheme="minorEastAsia" w:hAnsi="Cambria Math" w:cs="Times New Roman"/>
                    <w:sz w:val="24"/>
                    <w:szCs w:val="24"/>
                    <w:lang w:val="ru-RU"/>
                  </w:rPr>
                  <m:t>-50∙PD</m:t>
                </m:r>
              </m:sup>
            </m:sSup>
          </m:num>
          <m:den>
            <m:r>
              <w:rPr>
                <w:rFonts w:ascii="Cambria Math" w:eastAsiaTheme="minorEastAsia" w:hAnsi="Cambria Math" w:cs="Times New Roman"/>
                <w:sz w:val="24"/>
                <w:szCs w:val="24"/>
                <w:lang w:val="ru-RU"/>
              </w:rPr>
              <m:t>1-</m:t>
            </m:r>
            <m:sSup>
              <m:sSupPr>
                <m:ctrlPr>
                  <w:rPr>
                    <w:rFonts w:ascii="Cambria Math" w:eastAsiaTheme="minorEastAsia" w:hAnsi="Cambria Math" w:cs="Times New Roman"/>
                    <w:i/>
                    <w:sz w:val="24"/>
                    <w:szCs w:val="24"/>
                    <w:lang w:val="ru-RU"/>
                  </w:rPr>
                </m:ctrlPr>
              </m:sSupPr>
              <m:e>
                <m:r>
                  <w:rPr>
                    <w:rFonts w:ascii="Cambria Math" w:eastAsiaTheme="minorEastAsia" w:hAnsi="Cambria Math" w:cs="Times New Roman"/>
                    <w:sz w:val="24"/>
                    <w:szCs w:val="24"/>
                    <w:lang w:val="ru-RU"/>
                  </w:rPr>
                  <m:t>e</m:t>
                </m:r>
              </m:e>
              <m:sup>
                <m:r>
                  <w:rPr>
                    <w:rFonts w:ascii="Cambria Math" w:eastAsiaTheme="minorEastAsia" w:hAnsi="Cambria Math" w:cs="Times New Roman"/>
                    <w:sz w:val="24"/>
                    <w:szCs w:val="24"/>
                    <w:lang w:val="ru-RU"/>
                  </w:rPr>
                  <m:t>-50</m:t>
                </m:r>
              </m:sup>
            </m:sSup>
          </m:den>
        </m:f>
        <m:r>
          <w:rPr>
            <w:rFonts w:ascii="Cambria Math" w:eastAsiaTheme="minorEastAsia" w:hAnsi="Cambria Math" w:cs="Times New Roman"/>
            <w:sz w:val="24"/>
            <w:szCs w:val="24"/>
            <w:lang w:val="ru-RU"/>
          </w:rPr>
          <m:t>+0.24∙</m:t>
        </m:r>
        <m:d>
          <m:dPr>
            <m:ctrlPr>
              <w:rPr>
                <w:rFonts w:ascii="Cambria Math" w:eastAsiaTheme="minorEastAsia" w:hAnsi="Cambria Math" w:cs="Times New Roman"/>
                <w:i/>
                <w:sz w:val="24"/>
                <w:szCs w:val="24"/>
                <w:lang w:val="ru-RU"/>
              </w:rPr>
            </m:ctrlPr>
          </m:dPr>
          <m:e>
            <m:f>
              <m:fPr>
                <m:ctrlPr>
                  <w:rPr>
                    <w:rFonts w:ascii="Cambria Math" w:eastAsiaTheme="minorEastAsia" w:hAnsi="Cambria Math" w:cs="Times New Roman"/>
                    <w:i/>
                    <w:sz w:val="24"/>
                    <w:szCs w:val="24"/>
                    <w:lang w:val="ru-RU"/>
                  </w:rPr>
                </m:ctrlPr>
              </m:fPr>
              <m:num>
                <m:r>
                  <w:rPr>
                    <w:rFonts w:ascii="Cambria Math" w:eastAsiaTheme="minorEastAsia" w:hAnsi="Cambria Math" w:cs="Times New Roman"/>
                    <w:sz w:val="24"/>
                    <w:szCs w:val="24"/>
                    <w:lang w:val="ru-RU"/>
                  </w:rPr>
                  <m:t>1-</m:t>
                </m:r>
                <m:sSup>
                  <m:sSupPr>
                    <m:ctrlPr>
                      <w:rPr>
                        <w:rFonts w:ascii="Cambria Math" w:eastAsiaTheme="minorEastAsia" w:hAnsi="Cambria Math" w:cs="Times New Roman"/>
                        <w:i/>
                        <w:sz w:val="24"/>
                        <w:szCs w:val="24"/>
                        <w:lang w:val="ru-RU"/>
                      </w:rPr>
                    </m:ctrlPr>
                  </m:sSupPr>
                  <m:e>
                    <m:r>
                      <w:rPr>
                        <w:rFonts w:ascii="Cambria Math" w:eastAsiaTheme="minorEastAsia" w:hAnsi="Cambria Math" w:cs="Times New Roman"/>
                        <w:sz w:val="24"/>
                        <w:szCs w:val="24"/>
                        <w:lang w:val="ru-RU"/>
                      </w:rPr>
                      <m:t>e</m:t>
                    </m:r>
                  </m:e>
                  <m:sup>
                    <m:r>
                      <w:rPr>
                        <w:rFonts w:ascii="Cambria Math" w:eastAsiaTheme="minorEastAsia" w:hAnsi="Cambria Math" w:cs="Times New Roman"/>
                        <w:sz w:val="24"/>
                        <w:szCs w:val="24"/>
                        <w:lang w:val="ru-RU"/>
                      </w:rPr>
                      <m:t>-50</m:t>
                    </m:r>
                    <m:r>
                      <w:rPr>
                        <w:rFonts w:ascii="Cambria Math" w:eastAsiaTheme="minorEastAsia" w:hAnsi="Cambria Math" w:cs="Calibri"/>
                        <w:sz w:val="24"/>
                        <w:szCs w:val="24"/>
                        <w:rtl/>
                        <w:lang w:val="ru-RU"/>
                      </w:rPr>
                      <m:t>٠</m:t>
                    </m:r>
                    <m:r>
                      <w:rPr>
                        <w:rFonts w:ascii="Cambria Math" w:eastAsiaTheme="minorEastAsia" w:hAnsi="Cambria Math" w:cs="Times New Roman"/>
                        <w:sz w:val="24"/>
                        <w:szCs w:val="24"/>
                        <w:lang w:val="ru-RU"/>
                      </w:rPr>
                      <m:t>PD</m:t>
                    </m:r>
                  </m:sup>
                </m:sSup>
              </m:num>
              <m:den>
                <m:r>
                  <w:rPr>
                    <w:rFonts w:ascii="Cambria Math" w:eastAsiaTheme="minorEastAsia" w:hAnsi="Cambria Math" w:cs="Times New Roman"/>
                    <w:sz w:val="24"/>
                    <w:szCs w:val="24"/>
                    <w:lang w:val="ru-RU"/>
                  </w:rPr>
                  <m:t>1-</m:t>
                </m:r>
                <m:sSup>
                  <m:sSupPr>
                    <m:ctrlPr>
                      <w:rPr>
                        <w:rFonts w:ascii="Cambria Math" w:eastAsiaTheme="minorEastAsia" w:hAnsi="Cambria Math" w:cs="Times New Roman"/>
                        <w:i/>
                        <w:sz w:val="24"/>
                        <w:szCs w:val="24"/>
                        <w:lang w:val="ru-RU"/>
                      </w:rPr>
                    </m:ctrlPr>
                  </m:sSupPr>
                  <m:e>
                    <m:r>
                      <w:rPr>
                        <w:rFonts w:ascii="Cambria Math" w:eastAsiaTheme="minorEastAsia" w:hAnsi="Cambria Math" w:cs="Times New Roman"/>
                        <w:sz w:val="24"/>
                        <w:szCs w:val="24"/>
                        <w:lang w:val="ru-RU"/>
                      </w:rPr>
                      <m:t>e</m:t>
                    </m:r>
                  </m:e>
                  <m:sup>
                    <m:r>
                      <w:rPr>
                        <w:rFonts w:ascii="Cambria Math" w:eastAsiaTheme="minorEastAsia" w:hAnsi="Cambria Math" w:cs="Times New Roman"/>
                        <w:sz w:val="24"/>
                        <w:szCs w:val="24"/>
                        <w:lang w:val="ru-RU"/>
                      </w:rPr>
                      <m:t>-50</m:t>
                    </m:r>
                  </m:sup>
                </m:sSup>
              </m:den>
            </m:f>
          </m:e>
        </m:d>
        <m:r>
          <w:rPr>
            <w:rFonts w:ascii="Cambria Math" w:eastAsiaTheme="minorEastAsia" w:hAnsi="Cambria Math" w:cs="Times New Roman"/>
            <w:sz w:val="24"/>
            <w:szCs w:val="24"/>
            <w:lang w:val="ru-RU"/>
          </w:rPr>
          <m:t>-0.04·(1-</m:t>
        </m:r>
        <m:f>
          <m:fPr>
            <m:ctrlPr>
              <w:rPr>
                <w:rFonts w:ascii="Cambria Math" w:eastAsiaTheme="minorEastAsia" w:hAnsi="Cambria Math" w:cs="Times New Roman"/>
                <w:i/>
                <w:sz w:val="24"/>
                <w:szCs w:val="24"/>
                <w:lang w:val="ru-RU"/>
              </w:rPr>
            </m:ctrlPr>
          </m:fPr>
          <m:num>
            <m:func>
              <m:funcPr>
                <m:ctrlPr>
                  <w:rPr>
                    <w:rFonts w:ascii="Cambria Math" w:eastAsiaTheme="minorEastAsia" w:hAnsi="Cambria Math" w:cs="Times New Roman"/>
                    <w:sz w:val="24"/>
                    <w:szCs w:val="24"/>
                    <w:lang w:val="ru-RU"/>
                  </w:rPr>
                </m:ctrlPr>
              </m:funcPr>
              <m:fName>
                <m:r>
                  <m:rPr>
                    <m:sty m:val="p"/>
                  </m:rPr>
                  <w:rPr>
                    <w:rFonts w:ascii="Cambria Math" w:eastAsiaTheme="minorEastAsia" w:hAnsi="Cambria Math" w:cs="Times New Roman"/>
                    <w:sz w:val="24"/>
                    <w:szCs w:val="24"/>
                    <w:lang w:val="ru-RU"/>
                  </w:rPr>
                  <m:t>min</m:t>
                </m:r>
              </m:fName>
              <m:e>
                <m:d>
                  <m:dPr>
                    <m:begChr m:val="{"/>
                    <m:endChr m:val="}"/>
                    <m:ctrlPr>
                      <w:rPr>
                        <w:rFonts w:ascii="Cambria Math" w:eastAsiaTheme="minorEastAsia" w:hAnsi="Cambria Math" w:cs="Times New Roman"/>
                        <w:i/>
                        <w:sz w:val="24"/>
                        <w:szCs w:val="24"/>
                        <w:lang w:val="ru-RU"/>
                      </w:rPr>
                    </m:ctrlPr>
                  </m:dPr>
                  <m:e>
                    <m:func>
                      <m:funcPr>
                        <m:ctrlPr>
                          <w:rPr>
                            <w:rFonts w:ascii="Cambria Math" w:eastAsiaTheme="minorEastAsia" w:hAnsi="Cambria Math" w:cs="Times New Roman"/>
                            <w:sz w:val="24"/>
                            <w:szCs w:val="24"/>
                            <w:lang w:val="ru-RU"/>
                          </w:rPr>
                        </m:ctrlPr>
                      </m:funcPr>
                      <m:fName>
                        <m:r>
                          <m:rPr>
                            <m:sty m:val="p"/>
                          </m:rPr>
                          <w:rPr>
                            <w:rFonts w:ascii="Cambria Math" w:eastAsiaTheme="minorEastAsia" w:hAnsi="Cambria Math" w:cs="Times New Roman"/>
                            <w:sz w:val="24"/>
                            <w:szCs w:val="24"/>
                            <w:lang w:val="ru-RU"/>
                          </w:rPr>
                          <m:t>max</m:t>
                        </m:r>
                        <m:ctrlPr>
                          <w:rPr>
                            <w:rFonts w:ascii="Cambria Math" w:eastAsiaTheme="minorEastAsia" w:hAnsi="Cambria Math" w:cs="Times New Roman"/>
                            <w:i/>
                            <w:sz w:val="24"/>
                            <w:szCs w:val="24"/>
                            <w:lang w:val="ru-RU"/>
                          </w:rPr>
                        </m:ctrlPr>
                      </m:fName>
                      <m:e>
                        <m:d>
                          <m:dPr>
                            <m:begChr m:val="{"/>
                            <m:endChr m:val="}"/>
                            <m:ctrlPr>
                              <w:rPr>
                                <w:rFonts w:ascii="Cambria Math" w:eastAsiaTheme="minorEastAsia" w:hAnsi="Cambria Math" w:cs="Times New Roman"/>
                                <w:i/>
                                <w:sz w:val="24"/>
                                <w:szCs w:val="24"/>
                                <w:lang w:val="ru-RU"/>
                              </w:rPr>
                            </m:ctrlPr>
                          </m:dPr>
                          <m:e>
                            <m:r>
                              <w:rPr>
                                <w:rFonts w:ascii="Cambria Math" w:eastAsiaTheme="minorEastAsia" w:hAnsi="Cambria Math" w:cs="Times New Roman"/>
                                <w:sz w:val="24"/>
                                <w:szCs w:val="24"/>
                                <w:lang w:val="ru-RU"/>
                              </w:rPr>
                              <m:t>5,S</m:t>
                            </m:r>
                          </m:e>
                        </m:d>
                      </m:e>
                    </m:func>
                    <m:r>
                      <w:rPr>
                        <w:rFonts w:ascii="Cambria Math" w:eastAsiaTheme="minorEastAsia" w:hAnsi="Cambria Math" w:cs="Times New Roman"/>
                        <w:sz w:val="24"/>
                        <w:szCs w:val="24"/>
                        <w:lang w:val="ru-RU"/>
                      </w:rPr>
                      <m:t>,50</m:t>
                    </m:r>
                  </m:e>
                </m:d>
              </m:e>
            </m:func>
            <m:r>
              <w:rPr>
                <w:rFonts w:ascii="Cambria Math" w:eastAsiaTheme="minorEastAsia" w:hAnsi="Cambria Math" w:cs="Times New Roman"/>
                <w:sz w:val="24"/>
                <w:szCs w:val="24"/>
                <w:lang w:val="ru-RU"/>
              </w:rPr>
              <m:t>-5</m:t>
            </m:r>
          </m:num>
          <m:den>
            <m:r>
              <w:rPr>
                <w:rFonts w:ascii="Cambria Math" w:eastAsiaTheme="minorEastAsia" w:hAnsi="Cambria Math" w:cs="Times New Roman"/>
                <w:sz w:val="24"/>
                <w:szCs w:val="24"/>
                <w:lang w:val="ru-RU"/>
              </w:rPr>
              <m:t>45</m:t>
            </m:r>
          </m:den>
        </m:f>
      </m:oMath>
      <w:r w:rsidRPr="00D43281">
        <w:rPr>
          <w:rFonts w:ascii="Times New Roman" w:eastAsiaTheme="minorEastAsia" w:hAnsi="Times New Roman" w:cs="Times New Roman"/>
          <w:sz w:val="24"/>
          <w:szCs w:val="24"/>
          <w:lang w:val="ru-RU"/>
        </w:rPr>
        <w:t>)</w:t>
      </w:r>
      <w:r w:rsidR="009560F3" w:rsidRPr="00BB1E28">
        <w:rPr>
          <w:rFonts w:ascii="Times New Roman" w:eastAsiaTheme="minorEastAsia" w:hAnsi="Times New Roman" w:cs="Times New Roman"/>
          <w:sz w:val="24"/>
          <w:szCs w:val="24"/>
          <w:lang w:val="ru-RU"/>
        </w:rPr>
        <w:t>.</w:t>
      </w:r>
    </w:p>
    <w:p w14:paraId="0C48C319" w14:textId="446B19A7" w:rsidR="00873F56" w:rsidRPr="00D43281" w:rsidRDefault="00873F56" w:rsidP="00CD4CE6">
      <w:pPr>
        <w:pStyle w:val="ListParagraph"/>
        <w:shd w:val="clear" w:color="auto" w:fill="FFFFFF"/>
        <w:tabs>
          <w:tab w:val="left" w:pos="0"/>
          <w:tab w:val="left" w:pos="567"/>
        </w:tabs>
        <w:spacing w:before="60" w:after="0" w:line="240" w:lineRule="auto"/>
        <w:ind w:left="567"/>
        <w:jc w:val="both"/>
        <w:rPr>
          <w:rFonts w:ascii="Times New Roman" w:hAnsi="Times New Roman" w:cs="Times New Roman"/>
          <w:color w:val="000000" w:themeColor="text1"/>
          <w:sz w:val="24"/>
          <w:szCs w:val="24"/>
          <w:lang w:val="ro-RO"/>
        </w:rPr>
      </w:pPr>
    </w:p>
    <w:p w14:paraId="3AAA00EB" w14:textId="2109DCB8" w:rsidR="00873F56" w:rsidRPr="00D43281" w:rsidRDefault="00476AC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MD"/>
        </w:rPr>
        <w:t xml:space="preserve">Банки могут использовать совокупные активы консолидированной группы вместо совокупного годового оборота в том случае, если совокупный годовой оборот не является адекватным показателем размера общества, а совокупные активы являются более </w:t>
      </w:r>
      <w:r w:rsidRPr="00D43281">
        <w:rPr>
          <w:rFonts w:ascii="Times New Roman" w:hAnsi="Times New Roman" w:cs="Times New Roman"/>
          <w:color w:val="000000" w:themeColor="text1"/>
          <w:sz w:val="24"/>
          <w:szCs w:val="24"/>
          <w:lang w:val="ru-RU"/>
        </w:rPr>
        <w:t>репрезентативным показателем, чем совокупный годовой оборот</w:t>
      </w:r>
      <w:r w:rsidR="00873F56" w:rsidRPr="00D43281">
        <w:rPr>
          <w:rFonts w:ascii="Times New Roman" w:hAnsi="Times New Roman" w:cs="Times New Roman"/>
          <w:color w:val="000000" w:themeColor="text1"/>
          <w:sz w:val="24"/>
          <w:szCs w:val="24"/>
          <w:lang w:val="ru-RU"/>
        </w:rPr>
        <w:t>.</w:t>
      </w:r>
    </w:p>
    <w:p w14:paraId="2E26A654" w14:textId="126539BE" w:rsidR="00873F56" w:rsidRPr="00D43281" w:rsidRDefault="00873F5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 </w:t>
      </w:r>
      <w:bookmarkStart w:id="75" w:name="_Ref215086557"/>
      <w:r w:rsidR="00D03503" w:rsidRPr="00D43281">
        <w:rPr>
          <w:rFonts w:ascii="Times New Roman" w:hAnsi="Times New Roman" w:cs="Times New Roman"/>
          <w:color w:val="000000" w:themeColor="text1"/>
          <w:sz w:val="24"/>
          <w:szCs w:val="24"/>
          <w:lang w:val="ru-RU"/>
        </w:rPr>
        <w:t>Для подверженностей из специализированного финансирования, для которых банк не может оценить PD или оценки PD банка не соответствуют требованиям, предусмотренным в главе VI, банк присваивает весовые коэффициенты риска в соответствии с таблицей № 1 следующим образом</w:t>
      </w:r>
      <w:r w:rsidRPr="00D43281">
        <w:rPr>
          <w:rFonts w:ascii="Times New Roman" w:hAnsi="Times New Roman" w:cs="Times New Roman"/>
          <w:color w:val="000000" w:themeColor="text1"/>
          <w:sz w:val="24"/>
          <w:szCs w:val="24"/>
          <w:lang w:val="ru-RU"/>
        </w:rPr>
        <w:t>:</w:t>
      </w:r>
      <w:bookmarkEnd w:id="75"/>
    </w:p>
    <w:p w14:paraId="3A0AFE63" w14:textId="58C4626C" w:rsidR="002F3077" w:rsidRPr="00D43281" w:rsidRDefault="00D03503" w:rsidP="003F7DC9">
      <w:pPr>
        <w:pStyle w:val="ListParagraph"/>
        <w:spacing w:line="360" w:lineRule="auto"/>
        <w:ind w:left="357"/>
        <w:jc w:val="right"/>
        <w:rPr>
          <w:rFonts w:ascii="Times New Roman" w:eastAsiaTheme="minorEastAsia" w:hAnsi="Times New Roman" w:cs="Times New Roman"/>
          <w:i/>
          <w:iCs/>
          <w:sz w:val="24"/>
          <w:szCs w:val="24"/>
          <w:lang w:val="ro-RO"/>
        </w:rPr>
      </w:pPr>
      <w:r w:rsidRPr="00D43281">
        <w:rPr>
          <w:rFonts w:ascii="Times New Roman" w:eastAsiaTheme="minorEastAsia" w:hAnsi="Times New Roman" w:cs="Times New Roman"/>
          <w:i/>
          <w:iCs/>
          <w:sz w:val="24"/>
          <w:szCs w:val="24"/>
          <w:lang w:val="ru-RU"/>
        </w:rPr>
        <w:t xml:space="preserve">Таблица № </w:t>
      </w:r>
      <w:r w:rsidR="002F3077" w:rsidRPr="00D43281">
        <w:rPr>
          <w:rFonts w:ascii="Times New Roman" w:eastAsiaTheme="minorEastAsia" w:hAnsi="Times New Roman" w:cs="Times New Roman"/>
          <w:i/>
          <w:iCs/>
          <w:sz w:val="24"/>
          <w:szCs w:val="24"/>
          <w:lang w:val="ro-RO"/>
        </w:rPr>
        <w:t>1</w:t>
      </w:r>
    </w:p>
    <w:tbl>
      <w:tblPr>
        <w:tblStyle w:val="TableGrid"/>
        <w:tblW w:w="0" w:type="auto"/>
        <w:jc w:val="center"/>
        <w:tblLook w:val="04A0" w:firstRow="1" w:lastRow="0" w:firstColumn="1" w:lastColumn="0" w:noHBand="0" w:noVBand="1"/>
      </w:tblPr>
      <w:tblGrid>
        <w:gridCol w:w="2122"/>
        <w:gridCol w:w="1417"/>
        <w:gridCol w:w="1418"/>
        <w:gridCol w:w="1559"/>
        <w:gridCol w:w="1417"/>
        <w:gridCol w:w="1411"/>
      </w:tblGrid>
      <w:tr w:rsidR="00AE3269" w:rsidRPr="00D43281" w14:paraId="128BD058" w14:textId="77777777" w:rsidTr="00F07E9A">
        <w:trPr>
          <w:jc w:val="center"/>
        </w:trPr>
        <w:tc>
          <w:tcPr>
            <w:tcW w:w="2122" w:type="dxa"/>
            <w:vAlign w:val="center"/>
          </w:tcPr>
          <w:p w14:paraId="52CDE9AA" w14:textId="343B04BA" w:rsidR="002F3077" w:rsidRPr="00D43281" w:rsidRDefault="00D03503" w:rsidP="009B52A5">
            <w:pPr>
              <w:pStyle w:val="ListParagraph"/>
              <w:spacing w:line="360" w:lineRule="auto"/>
              <w:ind w:left="0"/>
              <w:jc w:val="both"/>
              <w:rPr>
                <w:rFonts w:ascii="Times New Roman" w:eastAsiaTheme="minorEastAsia" w:hAnsi="Times New Roman" w:cs="Times New Roman"/>
                <w:b/>
                <w:bCs/>
                <w:sz w:val="24"/>
                <w:szCs w:val="24"/>
                <w:lang w:val="ru-RU"/>
              </w:rPr>
            </w:pPr>
            <w:r w:rsidRPr="00D43281">
              <w:rPr>
                <w:rFonts w:ascii="Times New Roman" w:eastAsiaTheme="minorEastAsia" w:hAnsi="Times New Roman" w:cs="Times New Roman"/>
                <w:b/>
                <w:bCs/>
                <w:sz w:val="24"/>
                <w:szCs w:val="24"/>
                <w:lang w:val="ru-RU"/>
              </w:rPr>
              <w:t>Оставшийся срок</w:t>
            </w:r>
          </w:p>
        </w:tc>
        <w:tc>
          <w:tcPr>
            <w:tcW w:w="1417" w:type="dxa"/>
            <w:vAlign w:val="center"/>
          </w:tcPr>
          <w:p w14:paraId="408A0675" w14:textId="648B2FA5" w:rsidR="002F3077" w:rsidRPr="00D43281" w:rsidRDefault="00D03503" w:rsidP="009B52A5">
            <w:pPr>
              <w:pStyle w:val="ListParagraph"/>
              <w:spacing w:line="360" w:lineRule="auto"/>
              <w:ind w:left="0"/>
              <w:contextualSpacing w:val="0"/>
              <w:jc w:val="both"/>
              <w:rPr>
                <w:rFonts w:ascii="Times New Roman" w:eastAsiaTheme="minorEastAsia" w:hAnsi="Times New Roman" w:cs="Times New Roman"/>
                <w:b/>
                <w:bCs/>
                <w:sz w:val="24"/>
                <w:szCs w:val="24"/>
                <w:lang w:val="ro-RO"/>
              </w:rPr>
            </w:pPr>
            <w:r w:rsidRPr="00D43281">
              <w:rPr>
                <w:rFonts w:ascii="Times New Roman" w:eastAsiaTheme="minorEastAsia" w:hAnsi="Times New Roman" w:cs="Times New Roman"/>
                <w:b/>
                <w:bCs/>
                <w:sz w:val="24"/>
                <w:szCs w:val="24"/>
                <w:lang w:val="ru-RU"/>
              </w:rPr>
              <w:t>Категория</w:t>
            </w:r>
            <w:r w:rsidR="002F3077" w:rsidRPr="00D43281">
              <w:rPr>
                <w:rFonts w:ascii="Times New Roman" w:eastAsiaTheme="minorEastAsia" w:hAnsi="Times New Roman" w:cs="Times New Roman"/>
                <w:b/>
                <w:bCs/>
                <w:sz w:val="24"/>
                <w:szCs w:val="24"/>
                <w:lang w:val="ro-RO"/>
              </w:rPr>
              <w:t xml:space="preserve"> 1</w:t>
            </w:r>
          </w:p>
        </w:tc>
        <w:tc>
          <w:tcPr>
            <w:tcW w:w="1418" w:type="dxa"/>
            <w:vAlign w:val="center"/>
          </w:tcPr>
          <w:p w14:paraId="0A269F55" w14:textId="4C7AC2B2" w:rsidR="002F3077" w:rsidRPr="00D43281" w:rsidRDefault="00F07E9A" w:rsidP="009B52A5">
            <w:pPr>
              <w:pStyle w:val="ListParagraph"/>
              <w:spacing w:line="360" w:lineRule="auto"/>
              <w:ind w:left="0"/>
              <w:contextualSpacing w:val="0"/>
              <w:jc w:val="both"/>
              <w:rPr>
                <w:rFonts w:ascii="Times New Roman" w:eastAsiaTheme="minorEastAsia" w:hAnsi="Times New Roman" w:cs="Times New Roman"/>
                <w:b/>
                <w:bCs/>
                <w:sz w:val="24"/>
                <w:szCs w:val="24"/>
                <w:lang w:val="ro-RO"/>
              </w:rPr>
            </w:pPr>
            <w:r w:rsidRPr="00D43281">
              <w:rPr>
                <w:rFonts w:ascii="Times New Roman" w:eastAsiaTheme="minorEastAsia" w:hAnsi="Times New Roman" w:cs="Times New Roman"/>
                <w:b/>
                <w:bCs/>
                <w:sz w:val="24"/>
                <w:szCs w:val="24"/>
                <w:lang w:val="ru-RU"/>
              </w:rPr>
              <w:t>Категория</w:t>
            </w:r>
            <w:r w:rsidR="002F3077" w:rsidRPr="00D43281">
              <w:rPr>
                <w:rFonts w:ascii="Times New Roman" w:eastAsiaTheme="minorEastAsia" w:hAnsi="Times New Roman" w:cs="Times New Roman"/>
                <w:b/>
                <w:bCs/>
                <w:sz w:val="24"/>
                <w:szCs w:val="24"/>
                <w:lang w:val="ro-RO"/>
              </w:rPr>
              <w:t xml:space="preserve"> 2</w:t>
            </w:r>
          </w:p>
        </w:tc>
        <w:tc>
          <w:tcPr>
            <w:tcW w:w="1559" w:type="dxa"/>
            <w:vAlign w:val="center"/>
          </w:tcPr>
          <w:p w14:paraId="06BB37C7" w14:textId="40048C87" w:rsidR="002F3077" w:rsidRPr="00D43281" w:rsidRDefault="00F07E9A" w:rsidP="009B52A5">
            <w:pPr>
              <w:pStyle w:val="ListParagraph"/>
              <w:spacing w:line="360" w:lineRule="auto"/>
              <w:ind w:left="0"/>
              <w:contextualSpacing w:val="0"/>
              <w:jc w:val="both"/>
              <w:rPr>
                <w:rFonts w:ascii="Times New Roman" w:eastAsiaTheme="minorEastAsia" w:hAnsi="Times New Roman" w:cs="Times New Roman"/>
                <w:b/>
                <w:bCs/>
                <w:sz w:val="24"/>
                <w:szCs w:val="24"/>
                <w:lang w:val="ru-RU"/>
              </w:rPr>
            </w:pPr>
            <w:r w:rsidRPr="00D43281">
              <w:rPr>
                <w:rFonts w:ascii="Times New Roman" w:eastAsiaTheme="minorEastAsia" w:hAnsi="Times New Roman" w:cs="Times New Roman"/>
                <w:b/>
                <w:bCs/>
                <w:sz w:val="24"/>
                <w:szCs w:val="24"/>
                <w:lang w:val="ru-RU"/>
              </w:rPr>
              <w:t>Категория</w:t>
            </w:r>
            <w:r w:rsidR="002F3077" w:rsidRPr="00D43281">
              <w:rPr>
                <w:rFonts w:ascii="Times New Roman" w:eastAsiaTheme="minorEastAsia" w:hAnsi="Times New Roman" w:cs="Times New Roman"/>
                <w:b/>
                <w:bCs/>
                <w:sz w:val="24"/>
                <w:szCs w:val="24"/>
                <w:lang w:val="ro-RO"/>
              </w:rPr>
              <w:t xml:space="preserve"> </w:t>
            </w:r>
            <w:r w:rsidRPr="00D43281">
              <w:rPr>
                <w:rFonts w:ascii="Times New Roman" w:eastAsiaTheme="minorEastAsia" w:hAnsi="Times New Roman" w:cs="Times New Roman"/>
                <w:b/>
                <w:bCs/>
                <w:sz w:val="24"/>
                <w:szCs w:val="24"/>
                <w:lang w:val="ru-RU"/>
              </w:rPr>
              <w:t>3</w:t>
            </w:r>
          </w:p>
        </w:tc>
        <w:tc>
          <w:tcPr>
            <w:tcW w:w="1417" w:type="dxa"/>
            <w:vAlign w:val="center"/>
          </w:tcPr>
          <w:p w14:paraId="57579419" w14:textId="7B8B69C9" w:rsidR="002F3077" w:rsidRPr="00D43281" w:rsidRDefault="00F07E9A" w:rsidP="009B52A5">
            <w:pPr>
              <w:pStyle w:val="ListParagraph"/>
              <w:spacing w:line="360" w:lineRule="auto"/>
              <w:ind w:left="0"/>
              <w:contextualSpacing w:val="0"/>
              <w:jc w:val="both"/>
              <w:rPr>
                <w:rFonts w:ascii="Times New Roman" w:eastAsiaTheme="minorEastAsia" w:hAnsi="Times New Roman" w:cs="Times New Roman"/>
                <w:b/>
                <w:bCs/>
                <w:sz w:val="24"/>
                <w:szCs w:val="24"/>
                <w:lang w:val="ro-RO"/>
              </w:rPr>
            </w:pPr>
            <w:r w:rsidRPr="00D43281">
              <w:rPr>
                <w:rFonts w:ascii="Times New Roman" w:eastAsiaTheme="minorEastAsia" w:hAnsi="Times New Roman" w:cs="Times New Roman"/>
                <w:b/>
                <w:bCs/>
                <w:sz w:val="24"/>
                <w:szCs w:val="24"/>
                <w:lang w:val="ru-RU"/>
              </w:rPr>
              <w:t>Категория</w:t>
            </w:r>
            <w:r w:rsidR="002F3077" w:rsidRPr="00D43281">
              <w:rPr>
                <w:rFonts w:ascii="Times New Roman" w:eastAsiaTheme="minorEastAsia" w:hAnsi="Times New Roman" w:cs="Times New Roman"/>
                <w:b/>
                <w:bCs/>
                <w:sz w:val="24"/>
                <w:szCs w:val="24"/>
                <w:lang w:val="ro-RO"/>
              </w:rPr>
              <w:t xml:space="preserve"> 4</w:t>
            </w:r>
          </w:p>
        </w:tc>
        <w:tc>
          <w:tcPr>
            <w:tcW w:w="1411" w:type="dxa"/>
            <w:vAlign w:val="center"/>
          </w:tcPr>
          <w:p w14:paraId="55D975DF" w14:textId="22C4825B" w:rsidR="002F3077" w:rsidRPr="00D43281" w:rsidRDefault="00F07E9A" w:rsidP="009B52A5">
            <w:pPr>
              <w:pStyle w:val="ListParagraph"/>
              <w:spacing w:line="360" w:lineRule="auto"/>
              <w:ind w:left="0"/>
              <w:contextualSpacing w:val="0"/>
              <w:jc w:val="both"/>
              <w:rPr>
                <w:rFonts w:ascii="Times New Roman" w:eastAsiaTheme="minorEastAsia" w:hAnsi="Times New Roman" w:cs="Times New Roman"/>
                <w:b/>
                <w:bCs/>
                <w:sz w:val="24"/>
                <w:szCs w:val="24"/>
                <w:lang w:val="ro-RO"/>
              </w:rPr>
            </w:pPr>
            <w:r w:rsidRPr="00D43281">
              <w:rPr>
                <w:rFonts w:ascii="Times New Roman" w:eastAsiaTheme="minorEastAsia" w:hAnsi="Times New Roman" w:cs="Times New Roman"/>
                <w:b/>
                <w:bCs/>
                <w:sz w:val="24"/>
                <w:szCs w:val="24"/>
                <w:lang w:val="ru-RU"/>
              </w:rPr>
              <w:t>Категория</w:t>
            </w:r>
            <w:r w:rsidR="002F3077" w:rsidRPr="00D43281">
              <w:rPr>
                <w:rFonts w:ascii="Times New Roman" w:eastAsiaTheme="minorEastAsia" w:hAnsi="Times New Roman" w:cs="Times New Roman"/>
                <w:b/>
                <w:bCs/>
                <w:sz w:val="24"/>
                <w:szCs w:val="24"/>
                <w:lang w:val="ro-RO"/>
              </w:rPr>
              <w:t xml:space="preserve"> 5</w:t>
            </w:r>
          </w:p>
        </w:tc>
      </w:tr>
      <w:tr w:rsidR="00AE3269" w:rsidRPr="00D43281" w14:paraId="534EA96A" w14:textId="77777777" w:rsidTr="00F07E9A">
        <w:trPr>
          <w:jc w:val="center"/>
        </w:trPr>
        <w:tc>
          <w:tcPr>
            <w:tcW w:w="2122" w:type="dxa"/>
            <w:vAlign w:val="center"/>
          </w:tcPr>
          <w:p w14:paraId="18C47BC4" w14:textId="3AA751B4" w:rsidR="002F3077" w:rsidRPr="00D43281" w:rsidRDefault="003F0C03" w:rsidP="009B52A5">
            <w:pPr>
              <w:pStyle w:val="ListParagraph"/>
              <w:spacing w:line="360" w:lineRule="auto"/>
              <w:ind w:left="0"/>
              <w:jc w:val="both"/>
              <w:rPr>
                <w:rFonts w:ascii="Times New Roman" w:eastAsiaTheme="minorEastAsia" w:hAnsi="Times New Roman" w:cs="Times New Roman"/>
                <w:sz w:val="24"/>
                <w:szCs w:val="24"/>
                <w:lang w:val="ru-RU"/>
              </w:rPr>
            </w:pPr>
            <w:r w:rsidRPr="00D43281">
              <w:rPr>
                <w:rFonts w:ascii="Times New Roman" w:eastAsiaTheme="minorEastAsia" w:hAnsi="Times New Roman" w:cs="Times New Roman"/>
                <w:sz w:val="24"/>
                <w:szCs w:val="24"/>
                <w:lang w:val="ru-RU"/>
              </w:rPr>
              <w:t xml:space="preserve">Менее </w:t>
            </w:r>
            <w:r w:rsidR="002F3077" w:rsidRPr="00D43281">
              <w:rPr>
                <w:rFonts w:ascii="Times New Roman" w:eastAsiaTheme="minorEastAsia" w:hAnsi="Times New Roman" w:cs="Times New Roman"/>
                <w:sz w:val="24"/>
                <w:szCs w:val="24"/>
                <w:lang w:val="ro-RO"/>
              </w:rPr>
              <w:t xml:space="preserve">2,5 </w:t>
            </w:r>
            <w:r w:rsidRPr="00D43281">
              <w:rPr>
                <w:rFonts w:ascii="Times New Roman" w:eastAsiaTheme="minorEastAsia" w:hAnsi="Times New Roman" w:cs="Times New Roman"/>
                <w:sz w:val="24"/>
                <w:szCs w:val="24"/>
                <w:lang w:val="ru-RU"/>
              </w:rPr>
              <w:t>лет</w:t>
            </w:r>
          </w:p>
        </w:tc>
        <w:tc>
          <w:tcPr>
            <w:tcW w:w="1417" w:type="dxa"/>
            <w:vAlign w:val="center"/>
          </w:tcPr>
          <w:p w14:paraId="44CCBFBB" w14:textId="46DDA47A" w:rsidR="002F3077" w:rsidRPr="00D4328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50</w:t>
            </w:r>
            <w:r w:rsidR="00AE3269" w:rsidRPr="00D43281">
              <w:rPr>
                <w:rFonts w:ascii="Times New Roman" w:eastAsiaTheme="minorEastAsia" w:hAnsi="Times New Roman" w:cs="Times New Roman"/>
                <w:sz w:val="24"/>
                <w:szCs w:val="24"/>
                <w:lang w:val="ro-RO"/>
              </w:rPr>
              <w:t xml:space="preserve"> %</w:t>
            </w:r>
          </w:p>
        </w:tc>
        <w:tc>
          <w:tcPr>
            <w:tcW w:w="1418" w:type="dxa"/>
            <w:vAlign w:val="center"/>
          </w:tcPr>
          <w:p w14:paraId="7DE4453E" w14:textId="3FFBBDCD" w:rsidR="002F3077" w:rsidRPr="00D4328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70</w:t>
            </w:r>
            <w:r w:rsidR="00AE3269" w:rsidRPr="00D43281">
              <w:rPr>
                <w:rFonts w:ascii="Times New Roman" w:eastAsiaTheme="minorEastAsia" w:hAnsi="Times New Roman" w:cs="Times New Roman"/>
                <w:sz w:val="24"/>
                <w:szCs w:val="24"/>
                <w:lang w:val="ro-RO"/>
              </w:rPr>
              <w:t xml:space="preserve"> %</w:t>
            </w:r>
          </w:p>
        </w:tc>
        <w:tc>
          <w:tcPr>
            <w:tcW w:w="1559" w:type="dxa"/>
            <w:vAlign w:val="center"/>
          </w:tcPr>
          <w:p w14:paraId="39415356" w14:textId="37AD4760" w:rsidR="002F3077" w:rsidRPr="00D4328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115</w:t>
            </w:r>
            <w:r w:rsidR="00AE3269" w:rsidRPr="00D43281">
              <w:rPr>
                <w:rFonts w:ascii="Times New Roman" w:eastAsiaTheme="minorEastAsia" w:hAnsi="Times New Roman" w:cs="Times New Roman"/>
                <w:sz w:val="24"/>
                <w:szCs w:val="24"/>
                <w:lang w:val="ro-RO"/>
              </w:rPr>
              <w:t xml:space="preserve"> %</w:t>
            </w:r>
          </w:p>
        </w:tc>
        <w:tc>
          <w:tcPr>
            <w:tcW w:w="1417" w:type="dxa"/>
            <w:vAlign w:val="center"/>
          </w:tcPr>
          <w:p w14:paraId="1A26CECE" w14:textId="0D9808EB" w:rsidR="002F3077" w:rsidRPr="00D4328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250</w:t>
            </w:r>
            <w:r w:rsidR="00AE3269" w:rsidRPr="00D43281">
              <w:rPr>
                <w:rFonts w:ascii="Times New Roman" w:eastAsiaTheme="minorEastAsia" w:hAnsi="Times New Roman" w:cs="Times New Roman"/>
                <w:sz w:val="24"/>
                <w:szCs w:val="24"/>
                <w:lang w:val="ro-RO"/>
              </w:rPr>
              <w:t xml:space="preserve"> %</w:t>
            </w:r>
          </w:p>
        </w:tc>
        <w:tc>
          <w:tcPr>
            <w:tcW w:w="1411" w:type="dxa"/>
            <w:vAlign w:val="center"/>
          </w:tcPr>
          <w:p w14:paraId="5DD87007" w14:textId="1C9AC716" w:rsidR="002F3077" w:rsidRPr="00D4328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0</w:t>
            </w:r>
            <w:r w:rsidR="00AE3269" w:rsidRPr="00D43281">
              <w:rPr>
                <w:rFonts w:ascii="Times New Roman" w:eastAsiaTheme="minorEastAsia" w:hAnsi="Times New Roman" w:cs="Times New Roman"/>
                <w:sz w:val="24"/>
                <w:szCs w:val="24"/>
                <w:lang w:val="ro-RO"/>
              </w:rPr>
              <w:t xml:space="preserve"> %</w:t>
            </w:r>
          </w:p>
        </w:tc>
      </w:tr>
      <w:tr w:rsidR="00AE3269" w:rsidRPr="00D43281" w14:paraId="4C586AEA" w14:textId="77777777" w:rsidTr="00F07E9A">
        <w:trPr>
          <w:jc w:val="center"/>
        </w:trPr>
        <w:tc>
          <w:tcPr>
            <w:tcW w:w="2122" w:type="dxa"/>
            <w:vAlign w:val="center"/>
          </w:tcPr>
          <w:p w14:paraId="0BC61E6E" w14:textId="71198745" w:rsidR="002F3077" w:rsidRPr="00D43281" w:rsidRDefault="002F3077" w:rsidP="00AE3269">
            <w:pPr>
              <w:pStyle w:val="ListParagraph"/>
              <w:ind w:left="0"/>
              <w:jc w:val="both"/>
              <w:rPr>
                <w:rFonts w:ascii="Times New Roman" w:eastAsiaTheme="minorEastAsia" w:hAnsi="Times New Roman" w:cs="Times New Roman"/>
                <w:sz w:val="24"/>
                <w:szCs w:val="24"/>
                <w:lang w:val="ru-RU"/>
              </w:rPr>
            </w:pPr>
            <w:r w:rsidRPr="00D43281">
              <w:rPr>
                <w:rFonts w:ascii="Times New Roman" w:eastAsiaTheme="minorEastAsia" w:hAnsi="Times New Roman" w:cs="Times New Roman"/>
                <w:sz w:val="24"/>
                <w:szCs w:val="24"/>
                <w:lang w:val="ro-RO"/>
              </w:rPr>
              <w:t xml:space="preserve">2,5 </w:t>
            </w:r>
            <w:r w:rsidR="00325CBF" w:rsidRPr="00D43281">
              <w:rPr>
                <w:rFonts w:ascii="Times New Roman" w:eastAsiaTheme="minorEastAsia" w:hAnsi="Times New Roman" w:cs="Times New Roman"/>
                <w:sz w:val="24"/>
                <w:szCs w:val="24"/>
                <w:lang w:val="ru-RU"/>
              </w:rPr>
              <w:t>года или более</w:t>
            </w:r>
          </w:p>
        </w:tc>
        <w:tc>
          <w:tcPr>
            <w:tcW w:w="1417" w:type="dxa"/>
            <w:vAlign w:val="center"/>
          </w:tcPr>
          <w:p w14:paraId="4A8A0A0C" w14:textId="0D4F7B97" w:rsidR="002F3077" w:rsidRPr="00D4328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70</w:t>
            </w:r>
            <w:r w:rsidR="00AE3269" w:rsidRPr="00D43281">
              <w:rPr>
                <w:rFonts w:ascii="Times New Roman" w:eastAsiaTheme="minorEastAsia" w:hAnsi="Times New Roman" w:cs="Times New Roman"/>
                <w:sz w:val="24"/>
                <w:szCs w:val="24"/>
                <w:lang w:val="ro-RO"/>
              </w:rPr>
              <w:t xml:space="preserve"> %</w:t>
            </w:r>
          </w:p>
        </w:tc>
        <w:tc>
          <w:tcPr>
            <w:tcW w:w="1418" w:type="dxa"/>
            <w:vAlign w:val="center"/>
          </w:tcPr>
          <w:p w14:paraId="2CB04F05" w14:textId="548BABED" w:rsidR="002F3077" w:rsidRPr="00D4328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90</w:t>
            </w:r>
            <w:r w:rsidR="00AE3269" w:rsidRPr="00D43281">
              <w:rPr>
                <w:rFonts w:ascii="Times New Roman" w:eastAsiaTheme="minorEastAsia" w:hAnsi="Times New Roman" w:cs="Times New Roman"/>
                <w:sz w:val="24"/>
                <w:szCs w:val="24"/>
                <w:lang w:val="ro-RO"/>
              </w:rPr>
              <w:t xml:space="preserve"> %</w:t>
            </w:r>
          </w:p>
        </w:tc>
        <w:tc>
          <w:tcPr>
            <w:tcW w:w="1559" w:type="dxa"/>
            <w:vAlign w:val="center"/>
          </w:tcPr>
          <w:p w14:paraId="02D4326F" w14:textId="48FAB201" w:rsidR="002F3077" w:rsidRPr="00D4328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115</w:t>
            </w:r>
            <w:r w:rsidR="00AE3269" w:rsidRPr="00D43281">
              <w:rPr>
                <w:rFonts w:ascii="Times New Roman" w:eastAsiaTheme="minorEastAsia" w:hAnsi="Times New Roman" w:cs="Times New Roman"/>
                <w:sz w:val="24"/>
                <w:szCs w:val="24"/>
                <w:lang w:val="ro-RO"/>
              </w:rPr>
              <w:t xml:space="preserve"> %</w:t>
            </w:r>
          </w:p>
        </w:tc>
        <w:tc>
          <w:tcPr>
            <w:tcW w:w="1417" w:type="dxa"/>
            <w:vAlign w:val="center"/>
          </w:tcPr>
          <w:p w14:paraId="219F87F8" w14:textId="04C65D6C" w:rsidR="002F3077" w:rsidRPr="00D4328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250</w:t>
            </w:r>
            <w:r w:rsidR="00AE3269" w:rsidRPr="00D43281">
              <w:rPr>
                <w:rFonts w:ascii="Times New Roman" w:eastAsiaTheme="minorEastAsia" w:hAnsi="Times New Roman" w:cs="Times New Roman"/>
                <w:sz w:val="24"/>
                <w:szCs w:val="24"/>
                <w:lang w:val="ro-RO"/>
              </w:rPr>
              <w:t xml:space="preserve"> %</w:t>
            </w:r>
          </w:p>
        </w:tc>
        <w:tc>
          <w:tcPr>
            <w:tcW w:w="1411" w:type="dxa"/>
            <w:vAlign w:val="center"/>
          </w:tcPr>
          <w:p w14:paraId="002FFF0E" w14:textId="78D454CE" w:rsidR="002F3077" w:rsidRPr="00D43281" w:rsidRDefault="002F3077" w:rsidP="00AE3269">
            <w:pPr>
              <w:pStyle w:val="ListParagraph"/>
              <w:spacing w:line="360" w:lineRule="auto"/>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0</w:t>
            </w:r>
            <w:r w:rsidR="00AE3269" w:rsidRPr="00D43281">
              <w:rPr>
                <w:rFonts w:ascii="Times New Roman" w:eastAsiaTheme="minorEastAsia" w:hAnsi="Times New Roman" w:cs="Times New Roman"/>
                <w:sz w:val="24"/>
                <w:szCs w:val="24"/>
                <w:lang w:val="ro-RO"/>
              </w:rPr>
              <w:t xml:space="preserve"> %</w:t>
            </w:r>
          </w:p>
        </w:tc>
      </w:tr>
    </w:tbl>
    <w:p w14:paraId="77CCC1E9" w14:textId="5064D8A8" w:rsidR="00873F56" w:rsidRPr="00D43281" w:rsidRDefault="005D46FE" w:rsidP="00E90A53">
      <w:pPr>
        <w:pStyle w:val="ListParagraph"/>
        <w:numPr>
          <w:ilvl w:val="0"/>
          <w:numId w:val="2"/>
        </w:numPr>
        <w:shd w:val="clear" w:color="auto" w:fill="FFFFFF"/>
        <w:tabs>
          <w:tab w:val="left" w:pos="0"/>
          <w:tab w:val="left" w:pos="567"/>
        </w:tabs>
        <w:spacing w:before="120" w:after="0" w:line="240" w:lineRule="auto"/>
        <w:ind w:firstLine="567"/>
        <w:contextualSpacing w:val="0"/>
        <w:jc w:val="both"/>
        <w:rPr>
          <w:rFonts w:ascii="Times New Roman" w:hAnsi="Times New Roman" w:cs="Times New Roman"/>
          <w:color w:val="000000" w:themeColor="text1"/>
          <w:sz w:val="24"/>
          <w:szCs w:val="24"/>
          <w:lang w:val="ru-MD"/>
        </w:rPr>
      </w:pPr>
      <w:bookmarkStart w:id="76" w:name="_Ref215086567"/>
      <w:r w:rsidRPr="00D43281">
        <w:rPr>
          <w:rFonts w:ascii="Times New Roman" w:hAnsi="Times New Roman" w:cs="Times New Roman"/>
          <w:color w:val="000000" w:themeColor="text1"/>
          <w:sz w:val="24"/>
          <w:szCs w:val="24"/>
          <w:lang w:val="ru-MD"/>
        </w:rPr>
        <w:t>При присвоении весовых коэффициентов риска для подверженностей из специализированного финансирования банки учитывают следующие факторы: финансовую устойчивость, политические и правовые условия, характеристики сделки и/или актива, надежность спонсора и инициатора, включая доходы, полученные в результате государственно-частного партнерства, а также механизмы гарантий, как предусмотрено в приложении к регламенту</w:t>
      </w:r>
      <w:r w:rsidR="00873F56" w:rsidRPr="00D43281">
        <w:rPr>
          <w:rFonts w:ascii="Times New Roman" w:hAnsi="Times New Roman" w:cs="Times New Roman"/>
          <w:color w:val="000000" w:themeColor="text1"/>
          <w:sz w:val="24"/>
          <w:szCs w:val="24"/>
          <w:lang w:val="ru-MD"/>
        </w:rPr>
        <w:t>.</w:t>
      </w:r>
      <w:bookmarkEnd w:id="76"/>
    </w:p>
    <w:p w14:paraId="4DF44B39" w14:textId="47D88C6F" w:rsidR="00873F56" w:rsidRPr="00D43281" w:rsidRDefault="0044791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 случае приобретенных требований к обществам банки соблюдают требования, предусмотренные в пунктах 23</w:t>
      </w:r>
      <w:r w:rsidR="009560F3" w:rsidRPr="00BB1E28">
        <w:rPr>
          <w:rFonts w:ascii="Times New Roman" w:hAnsi="Times New Roman" w:cs="Times New Roman"/>
          <w:color w:val="000000" w:themeColor="text1"/>
          <w:sz w:val="24"/>
          <w:szCs w:val="24"/>
          <w:lang w:val="ru-RU"/>
        </w:rPr>
        <w:t>1</w:t>
      </w:r>
      <w:r w:rsidRPr="00D43281">
        <w:rPr>
          <w:rFonts w:ascii="Times New Roman" w:hAnsi="Times New Roman" w:cs="Times New Roman"/>
          <w:color w:val="000000" w:themeColor="text1"/>
          <w:sz w:val="24"/>
          <w:szCs w:val="24"/>
          <w:lang w:val="ru-RU"/>
        </w:rPr>
        <w:t>–23</w:t>
      </w:r>
      <w:r w:rsidR="009560F3" w:rsidRPr="00BB1E28">
        <w:rPr>
          <w:rFonts w:ascii="Times New Roman" w:hAnsi="Times New Roman" w:cs="Times New Roman"/>
          <w:color w:val="000000" w:themeColor="text1"/>
          <w:sz w:val="24"/>
          <w:szCs w:val="24"/>
          <w:lang w:val="ru-RU"/>
        </w:rPr>
        <w:t>6</w:t>
      </w:r>
      <w:r w:rsidRPr="00D43281">
        <w:rPr>
          <w:rFonts w:ascii="Times New Roman" w:hAnsi="Times New Roman" w:cs="Times New Roman"/>
          <w:color w:val="000000" w:themeColor="text1"/>
          <w:sz w:val="24"/>
          <w:szCs w:val="24"/>
          <w:lang w:val="ru-RU"/>
        </w:rPr>
        <w:t>. В отношении приобретенных требований к обществам, которые также соответствуют условиям, предусмотренным в пункте 85, когда применение стандартов количественной оценки рисков, предусмотренных в главе VI для подверженностей перед обществами, представляет собой чрезмерную нагрузку для банка, могут применяться стандарты, предусмотренные в главе VI для количественной оценки рисков по розничным подверженностям</w:t>
      </w:r>
      <w:r w:rsidR="00873F56" w:rsidRPr="00D43281">
        <w:rPr>
          <w:rFonts w:ascii="Times New Roman" w:hAnsi="Times New Roman" w:cs="Times New Roman"/>
          <w:color w:val="000000" w:themeColor="text1"/>
          <w:sz w:val="24"/>
          <w:szCs w:val="24"/>
          <w:lang w:val="ru-RU"/>
        </w:rPr>
        <w:t>.</w:t>
      </w:r>
    </w:p>
    <w:p w14:paraId="5AD8713E" w14:textId="59904B46" w:rsidR="00873F56" w:rsidRPr="00D43281" w:rsidRDefault="0034446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lastRenderedPageBreak/>
        <w:t>В случае приобретенных требований к обществам возмещаемые скидки на покупную цену, вещные гарантии или частичные гарантии, обеспечивающие защиту от первых убытков в случае невыплаты, убытков от снижения стоимости требования или убытков, возникающих в обоих случаях, могут рассматриваться как защита кредита от первых убытков со стороны покупателя требований или бенефициара вещной гарантии или частичной гарантии в соответствии с нормативными актами Национального банка Молдовы, касающимися пруденциального регулирования секьюритизации. Продавец, предоставляющий возмещаемую скидку на покупную цену, и поставщик вещной гарантии или частичной гарантии рассматривают соответствующую гарантию как подверженность перед позицией, несущей убыток по первому убытку, в соответствии с нормативными актами Национального банка Молдовы, касающимися пруденциального регулирования секьюритизации</w:t>
      </w:r>
      <w:r w:rsidR="00873F56" w:rsidRPr="00D43281">
        <w:rPr>
          <w:rFonts w:ascii="Times New Roman" w:hAnsi="Times New Roman" w:cs="Times New Roman"/>
          <w:color w:val="000000" w:themeColor="text1"/>
          <w:sz w:val="24"/>
          <w:szCs w:val="24"/>
          <w:lang w:val="ru-RU"/>
        </w:rPr>
        <w:t>.</w:t>
      </w:r>
    </w:p>
    <w:p w14:paraId="4D0EA886" w14:textId="0FA4AB2D" w:rsidR="0088616F" w:rsidRPr="00D43281" w:rsidRDefault="00AC2EE7"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77" w:name="_Ref215230416"/>
      <w:r w:rsidRPr="00D43281">
        <w:rPr>
          <w:rFonts w:ascii="Times New Roman" w:hAnsi="Times New Roman" w:cs="Times New Roman"/>
          <w:color w:val="000000" w:themeColor="text1"/>
          <w:sz w:val="24"/>
          <w:szCs w:val="24"/>
          <w:lang w:val="ru-RU"/>
        </w:rPr>
        <w:t>Если банк предоставляет кредитную защиту для ряда подверженностей, на которые распространяется условие, согласно которому n-й случай невозврата по соответствующим подверженностям влечет за собой выплату, и данное кредитное событие приводит к расторжению договора, весовые коэффициенты риска для подверженностей, включенных в корзину, агрегируются за исключением n-1 подверженностей, где сумма ожидаемого убытка, умноженная на 1</w:t>
      </w:r>
      <w:r w:rsidR="009560F3" w:rsidRPr="00BB1E28">
        <w:rPr>
          <w:rFonts w:ascii="Times New Roman" w:hAnsi="Times New Roman" w:cs="Times New Roman"/>
          <w:color w:val="000000" w:themeColor="text1"/>
          <w:sz w:val="24"/>
          <w:szCs w:val="24"/>
          <w:lang w:val="ru-RU"/>
        </w:rPr>
        <w:t>2,5</w:t>
      </w:r>
      <w:r w:rsidRPr="00D43281">
        <w:rPr>
          <w:rFonts w:ascii="Times New Roman" w:hAnsi="Times New Roman" w:cs="Times New Roman"/>
          <w:color w:val="000000" w:themeColor="text1"/>
          <w:sz w:val="24"/>
          <w:szCs w:val="24"/>
          <w:lang w:val="ru-RU"/>
        </w:rPr>
        <w:t xml:space="preserve"> и весовой коэффициент риска подверженности не превышают номинальной стоимости защиты, предоставляемой производным кредитным финансовым инструментом, умноженной на 1</w:t>
      </w:r>
      <w:r w:rsidR="009560F3" w:rsidRPr="00BB1E28">
        <w:rPr>
          <w:rFonts w:ascii="Times New Roman" w:hAnsi="Times New Roman" w:cs="Times New Roman"/>
          <w:color w:val="000000" w:themeColor="text1"/>
          <w:sz w:val="24"/>
          <w:szCs w:val="24"/>
          <w:lang w:val="ru-RU"/>
        </w:rPr>
        <w:t>2,5</w:t>
      </w:r>
      <w:r w:rsidRPr="00D43281">
        <w:rPr>
          <w:rFonts w:ascii="Times New Roman" w:hAnsi="Times New Roman" w:cs="Times New Roman"/>
          <w:color w:val="000000" w:themeColor="text1"/>
          <w:sz w:val="24"/>
          <w:szCs w:val="24"/>
          <w:lang w:val="ru-RU"/>
        </w:rPr>
        <w:t>. Те n-1 подверженностей, исключенных из агрегирования, определяются таким образом, чтобы включить каждую из тех подверженностей, которые генерируют взвешенную сумму подверженности с учетом риска, меньшую, чем взвешенная сумма любой подверженности с учетом риска, включенной в агрегирование. Коэффициент риска 1</w:t>
      </w:r>
      <w:r w:rsidR="009560F3" w:rsidRPr="00BB1E28">
        <w:rPr>
          <w:rFonts w:ascii="Times New Roman" w:hAnsi="Times New Roman" w:cs="Times New Roman"/>
          <w:color w:val="000000" w:themeColor="text1"/>
          <w:sz w:val="24"/>
          <w:szCs w:val="24"/>
          <w:lang w:val="ru-RU"/>
        </w:rPr>
        <w:t>250</w:t>
      </w:r>
      <w:r w:rsidRPr="00D43281">
        <w:rPr>
          <w:rFonts w:ascii="Times New Roman" w:hAnsi="Times New Roman" w:cs="Times New Roman"/>
          <w:color w:val="000000" w:themeColor="text1"/>
          <w:sz w:val="24"/>
          <w:szCs w:val="24"/>
          <w:lang w:val="ru-RU"/>
        </w:rPr>
        <w:t>% применяется к позициям в корзине, для которых банк не может определить коэффициент риска в соответствии с подходом IRB</w:t>
      </w:r>
      <w:r w:rsidR="00873F56" w:rsidRPr="00D43281">
        <w:rPr>
          <w:rFonts w:ascii="Times New Roman" w:hAnsi="Times New Roman" w:cs="Times New Roman"/>
          <w:color w:val="000000" w:themeColor="text1"/>
          <w:sz w:val="24"/>
          <w:szCs w:val="24"/>
          <w:lang w:val="ru-RU"/>
        </w:rPr>
        <w:t>.</w:t>
      </w:r>
      <w:bookmarkEnd w:id="77"/>
    </w:p>
    <w:p w14:paraId="6FE06CC3" w14:textId="753B9254" w:rsidR="0088616F" w:rsidRPr="00D43281" w:rsidRDefault="00AC2EE7" w:rsidP="00385366">
      <w:pPr>
        <w:shd w:val="clear" w:color="auto" w:fill="FFFFFF"/>
        <w:tabs>
          <w:tab w:val="left" w:pos="0"/>
          <w:tab w:val="left" w:pos="567"/>
        </w:tabs>
        <w:spacing w:before="120" w:after="0" w:line="240" w:lineRule="auto"/>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Подчасть</w:t>
      </w:r>
      <w:r w:rsidR="0088616F" w:rsidRPr="00D43281">
        <w:rPr>
          <w:rFonts w:ascii="Times New Roman" w:hAnsi="Times New Roman" w:cs="Times New Roman"/>
          <w:b/>
          <w:bCs/>
          <w:i/>
          <w:iCs/>
          <w:color w:val="000000" w:themeColor="text1"/>
          <w:sz w:val="24"/>
          <w:szCs w:val="24"/>
          <w:lang w:val="ro-RO"/>
        </w:rPr>
        <w:t xml:space="preserve"> 2</w:t>
      </w:r>
    </w:p>
    <w:p w14:paraId="743F226C" w14:textId="1FBC9363" w:rsidR="003071D6" w:rsidRPr="00D43281" w:rsidRDefault="00A70EA8" w:rsidP="003071D6">
      <w:pPr>
        <w:pStyle w:val="ListParagraph"/>
        <w:shd w:val="clear" w:color="auto" w:fill="FFFFFF"/>
        <w:tabs>
          <w:tab w:val="left" w:pos="0"/>
          <w:tab w:val="left" w:pos="567"/>
        </w:tabs>
        <w:spacing w:after="120" w:line="240" w:lineRule="auto"/>
        <w:ind w:left="0"/>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 xml:space="preserve">Взвешенные по риску суммы подверженностей для розничных подверженностей </w:t>
      </w:r>
      <w:r w:rsidR="00744FC2" w:rsidRPr="00D43281">
        <w:rPr>
          <w:rFonts w:ascii="Times New Roman" w:hAnsi="Times New Roman" w:cs="Times New Roman"/>
          <w:b/>
          <w:bCs/>
          <w:i/>
          <w:iCs/>
          <w:color w:val="000000" w:themeColor="text1"/>
          <w:sz w:val="24"/>
          <w:szCs w:val="24"/>
          <w:lang w:val="ru-RU"/>
        </w:rPr>
        <w:t>и активам, отличным от кредитных требований</w:t>
      </w:r>
    </w:p>
    <w:p w14:paraId="7EFC2FC3" w14:textId="1CC3A046" w:rsidR="00534F50" w:rsidRPr="00D43281" w:rsidRDefault="00744FC2"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78" w:name="_Ref215051195"/>
      <w:r w:rsidRPr="00D43281">
        <w:rPr>
          <w:rFonts w:ascii="Times New Roman" w:hAnsi="Times New Roman" w:cs="Times New Roman"/>
          <w:color w:val="000000" w:themeColor="text1"/>
          <w:sz w:val="24"/>
          <w:szCs w:val="24"/>
          <w:lang w:val="ru-RU"/>
        </w:rPr>
        <w:t>Взвешенные по риску суммы подверженностей для розничных подверженностей</w:t>
      </w:r>
      <w:r w:rsidRPr="00D43281">
        <w:rPr>
          <w:rFonts w:ascii="Times New Roman" w:hAnsi="Times New Roman" w:cs="Times New Roman"/>
          <w:b/>
          <w:bCs/>
          <w:i/>
          <w:iCs/>
          <w:color w:val="000000" w:themeColor="text1"/>
          <w:sz w:val="24"/>
          <w:szCs w:val="24"/>
          <w:lang w:val="ru-RU"/>
        </w:rPr>
        <w:t xml:space="preserve"> </w:t>
      </w:r>
      <w:r w:rsidR="00754DA4" w:rsidRPr="00D43281">
        <w:rPr>
          <w:rFonts w:ascii="Times New Roman" w:hAnsi="Times New Roman" w:cs="Times New Roman"/>
          <w:color w:val="000000" w:themeColor="text1"/>
          <w:sz w:val="24"/>
          <w:szCs w:val="24"/>
          <w:lang w:val="ru-MD"/>
        </w:rPr>
        <w:t>рассчитываются в соответствии со следующими формулами</w:t>
      </w:r>
      <w:r w:rsidR="00534F50" w:rsidRPr="00D43281">
        <w:rPr>
          <w:rFonts w:ascii="Times New Roman" w:hAnsi="Times New Roman" w:cs="Times New Roman"/>
          <w:color w:val="000000" w:themeColor="text1"/>
          <w:sz w:val="24"/>
          <w:szCs w:val="24"/>
          <w:lang w:val="ro-RO"/>
        </w:rPr>
        <w:t>:</w:t>
      </w:r>
      <w:bookmarkEnd w:id="78"/>
    </w:p>
    <w:p w14:paraId="4F77833F" w14:textId="77777777" w:rsidR="00754DA4" w:rsidRPr="00D43281" w:rsidRDefault="00754DA4" w:rsidP="00754DA4">
      <w:pPr>
        <w:pStyle w:val="ListParagraph"/>
        <w:shd w:val="clear" w:color="auto" w:fill="FFFFFF"/>
        <w:tabs>
          <w:tab w:val="left" w:pos="0"/>
          <w:tab w:val="left" w:pos="567"/>
        </w:tabs>
        <w:spacing w:before="60" w:after="0" w:line="240" w:lineRule="auto"/>
        <w:ind w:left="0"/>
        <w:jc w:val="both"/>
        <w:rPr>
          <w:rFonts w:ascii="Times New Roman" w:hAnsi="Times New Roman" w:cs="Times New Roman"/>
          <w:i/>
          <w:iCs/>
          <w:color w:val="000000" w:themeColor="text1"/>
          <w:sz w:val="24"/>
          <w:szCs w:val="24"/>
          <w:lang w:val="ru-RU"/>
        </w:rPr>
      </w:pPr>
      <w:r w:rsidRPr="00D43281">
        <w:rPr>
          <w:rFonts w:ascii="Times New Roman" w:hAnsi="Times New Roman" w:cs="Times New Roman"/>
          <w:i/>
          <w:iCs/>
          <w:color w:val="000000" w:themeColor="text1"/>
          <w:sz w:val="24"/>
          <w:szCs w:val="24"/>
          <w:lang w:val="ru-RU"/>
        </w:rPr>
        <w:t>Взвешенная по риску сумма подверженности = RW · сумма подверженности</w:t>
      </w:r>
    </w:p>
    <w:p w14:paraId="2B832B6B" w14:textId="6BE9E11E" w:rsidR="00534F50" w:rsidRPr="00D43281" w:rsidRDefault="009122B7" w:rsidP="009122B7">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RU"/>
        </w:rPr>
        <w:t>где коэффициент риска (RW) определяется следующим образом</w:t>
      </w:r>
      <w:r w:rsidR="00534F50" w:rsidRPr="00D43281">
        <w:rPr>
          <w:rFonts w:ascii="Times New Roman" w:hAnsi="Times New Roman" w:cs="Times New Roman"/>
          <w:color w:val="000000" w:themeColor="text1"/>
          <w:sz w:val="24"/>
          <w:szCs w:val="24"/>
          <w:lang w:val="ro-RO"/>
        </w:rPr>
        <w:t>:</w:t>
      </w:r>
    </w:p>
    <w:p w14:paraId="0503B4E4" w14:textId="077C1F48" w:rsidR="00534F50" w:rsidRPr="00D43281" w:rsidRDefault="009122B7" w:rsidP="00E90A53">
      <w:pPr>
        <w:pStyle w:val="ListParagraph"/>
        <w:numPr>
          <w:ilvl w:val="1"/>
          <w:numId w:val="2"/>
        </w:numPr>
        <w:shd w:val="clear" w:color="auto" w:fill="FFFFFF"/>
        <w:tabs>
          <w:tab w:val="left" w:pos="0"/>
          <w:tab w:val="left" w:pos="567"/>
        </w:tabs>
        <w:spacing w:after="120" w:line="240" w:lineRule="auto"/>
        <w:ind w:left="0"/>
        <w:contextualSpacing w:val="0"/>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RU"/>
        </w:rPr>
        <w:t>если</w:t>
      </w:r>
      <w:r w:rsidR="00534F50" w:rsidRPr="00D43281">
        <w:rPr>
          <w:rFonts w:ascii="Times New Roman" w:hAnsi="Times New Roman" w:cs="Times New Roman"/>
          <w:color w:val="000000" w:themeColor="text1"/>
          <w:sz w:val="24"/>
          <w:szCs w:val="24"/>
          <w:lang w:val="ro-RO"/>
        </w:rPr>
        <w:t xml:space="preserve"> PD = 1, </w:t>
      </w:r>
      <w:r w:rsidR="00D10E87" w:rsidRPr="00D43281">
        <w:rPr>
          <w:rFonts w:ascii="Times New Roman" w:hAnsi="Times New Roman" w:cs="Times New Roman"/>
          <w:color w:val="000000" w:themeColor="text1"/>
          <w:sz w:val="24"/>
          <w:szCs w:val="24"/>
          <w:lang w:val="ru-RU"/>
        </w:rPr>
        <w:t>а именно для подверженностей в состоянии невозврата</w:t>
      </w:r>
      <w:r w:rsidR="00534F50" w:rsidRPr="00D43281">
        <w:rPr>
          <w:rFonts w:ascii="Times New Roman" w:hAnsi="Times New Roman" w:cs="Times New Roman"/>
          <w:color w:val="000000" w:themeColor="text1"/>
          <w:sz w:val="24"/>
          <w:szCs w:val="24"/>
          <w:lang w:val="ro-RO"/>
        </w:rPr>
        <w:t xml:space="preserve">, RW </w:t>
      </w:r>
      <w:r w:rsidR="00D10E87" w:rsidRPr="00D43281">
        <w:rPr>
          <w:rFonts w:ascii="Times New Roman" w:hAnsi="Times New Roman" w:cs="Times New Roman"/>
          <w:color w:val="000000" w:themeColor="text1"/>
          <w:sz w:val="24"/>
          <w:szCs w:val="24"/>
          <w:lang w:val="ru-RU"/>
        </w:rPr>
        <w:t>равен</w:t>
      </w:r>
      <w:r w:rsidR="00534F50" w:rsidRPr="00D43281">
        <w:rPr>
          <w:rFonts w:ascii="Times New Roman" w:hAnsi="Times New Roman" w:cs="Times New Roman"/>
          <w:color w:val="000000" w:themeColor="text1"/>
          <w:sz w:val="24"/>
          <w:szCs w:val="24"/>
          <w:lang w:val="ro-RO"/>
        </w:rPr>
        <w:t>;</w:t>
      </w:r>
    </w:p>
    <w:p w14:paraId="4727D9BB" w14:textId="2468F8B0" w:rsidR="00BA23B8" w:rsidRPr="00D43281" w:rsidRDefault="00BA23B8" w:rsidP="00E65090">
      <w:pPr>
        <w:pStyle w:val="ListParagraph"/>
        <w:spacing w:before="120" w:after="120" w:line="360" w:lineRule="auto"/>
        <w:ind w:left="0" w:firstLine="567"/>
        <w:jc w:val="both"/>
        <w:rPr>
          <w:rFonts w:ascii="Times New Roman" w:eastAsiaTheme="minorEastAsia" w:hAnsi="Times New Roman" w:cs="Times New Roman"/>
          <w:sz w:val="24"/>
          <w:szCs w:val="24"/>
          <w:lang w:val="ro-RO"/>
        </w:rPr>
      </w:pPr>
      <m:oMathPara>
        <m:oMathParaPr>
          <m:jc m:val="center"/>
        </m:oMathParaPr>
        <m:oMath>
          <m:r>
            <w:rPr>
              <w:rFonts w:ascii="Cambria Math" w:hAnsi="Cambria Math" w:cs="Times New Roman"/>
              <w:sz w:val="24"/>
              <w:szCs w:val="24"/>
              <w:lang w:val="ro-RO"/>
            </w:rPr>
            <m:t>RW=</m:t>
          </m:r>
          <m:r>
            <m:rPr>
              <m:sty m:val="p"/>
            </m:rPr>
            <w:rPr>
              <w:rFonts w:ascii="Cambria Math" w:hAnsi="Cambria Math" w:cs="Times New Roman"/>
              <w:sz w:val="24"/>
              <w:szCs w:val="24"/>
              <w:lang w:val="ro-RO"/>
            </w:rPr>
            <m:t>max⁡</m:t>
          </m:r>
          <m:r>
            <w:rPr>
              <w:rFonts w:ascii="Cambria Math" w:hAnsi="Cambria Math" w:cs="Times New Roman"/>
              <w:sz w:val="24"/>
              <w:szCs w:val="24"/>
              <w:lang w:val="ro-RO"/>
            </w:rPr>
            <m:t>{0;12,5∙</m:t>
          </m:r>
          <m:d>
            <m:dPr>
              <m:begChr m:val=""/>
              <m:endChr m:val="}"/>
              <m:ctrlPr>
                <w:rPr>
                  <w:rFonts w:ascii="Cambria Math" w:hAnsi="Cambria Math" w:cs="Times New Roman"/>
                  <w:i/>
                  <w:sz w:val="24"/>
                  <w:szCs w:val="24"/>
                  <w:lang w:val="ro-RO"/>
                </w:rPr>
              </m:ctrlPr>
            </m:dPr>
            <m:e>
              <m:r>
                <w:rPr>
                  <w:rFonts w:ascii="Cambria Math" w:hAnsi="Cambria Math" w:cs="Times New Roman"/>
                  <w:sz w:val="24"/>
                  <w:szCs w:val="24"/>
                  <w:lang w:val="ro-RO"/>
                </w:rPr>
                <m:t>(LGD-</m:t>
              </m:r>
              <m:sSub>
                <m:sSubPr>
                  <m:ctrlPr>
                    <w:rPr>
                      <w:rFonts w:ascii="Cambria Math" w:hAnsi="Cambria Math" w:cs="Times New Roman"/>
                      <w:i/>
                      <w:sz w:val="24"/>
                      <w:szCs w:val="24"/>
                      <w:lang w:val="ro-RO"/>
                    </w:rPr>
                  </m:ctrlPr>
                </m:sSubPr>
                <m:e>
                  <m:r>
                    <w:rPr>
                      <w:rFonts w:ascii="Cambria Math" w:hAnsi="Cambria Math" w:cs="Times New Roman"/>
                      <w:sz w:val="24"/>
                      <w:szCs w:val="24"/>
                      <w:lang w:val="ro-RO"/>
                    </w:rPr>
                    <m:t>EL</m:t>
                  </m:r>
                </m:e>
                <m:sub>
                  <m:r>
                    <w:rPr>
                      <w:rFonts w:ascii="Cambria Math" w:hAnsi="Cambria Math" w:cs="Times New Roman"/>
                      <w:sz w:val="24"/>
                      <w:szCs w:val="24"/>
                      <w:lang w:val="ro-RO"/>
                    </w:rPr>
                    <m:t>BE</m:t>
                  </m:r>
                </m:sub>
              </m:sSub>
              <m:r>
                <w:rPr>
                  <w:rFonts w:ascii="Cambria Math" w:hAnsi="Cambria Math" w:cs="Times New Roman"/>
                  <w:sz w:val="24"/>
                  <w:szCs w:val="24"/>
                  <w:lang w:val="ro-RO"/>
                </w:rPr>
                <m:t>)</m:t>
              </m:r>
            </m:e>
          </m:d>
        </m:oMath>
      </m:oMathPara>
    </w:p>
    <w:p w14:paraId="6E36A537" w14:textId="635E2AC6" w:rsidR="00534F50" w:rsidRPr="00D43281" w:rsidRDefault="00D10E87" w:rsidP="00B11946">
      <w:pPr>
        <w:shd w:val="clear" w:color="auto" w:fill="FFFFFF"/>
        <w:tabs>
          <w:tab w:val="left" w:pos="0"/>
          <w:tab w:val="left" w:pos="567"/>
        </w:tabs>
        <w:spacing w:before="60" w:after="0" w:line="240" w:lineRule="auto"/>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RU"/>
        </w:rPr>
        <w:t>где</w:t>
      </w:r>
      <w:r w:rsidR="00534F50" w:rsidRPr="00D43281">
        <w:rPr>
          <w:rFonts w:ascii="Times New Roman" w:hAnsi="Times New Roman" w:cs="Times New Roman"/>
          <w:color w:val="000000" w:themeColor="text1"/>
          <w:sz w:val="24"/>
          <w:szCs w:val="24"/>
          <w:lang w:val="ro-RO"/>
        </w:rPr>
        <w:t xml:space="preserve"> EL</w:t>
      </w:r>
      <w:r w:rsidR="00534F50" w:rsidRPr="00D43281">
        <w:rPr>
          <w:rFonts w:ascii="Times New Roman" w:hAnsi="Times New Roman" w:cs="Times New Roman"/>
          <w:color w:val="000000" w:themeColor="text1"/>
          <w:sz w:val="24"/>
          <w:szCs w:val="24"/>
          <w:vertAlign w:val="subscript"/>
          <w:lang w:val="ro-RO"/>
        </w:rPr>
        <w:t>BE</w:t>
      </w:r>
      <w:r w:rsidR="00534F50" w:rsidRPr="00D43281">
        <w:rPr>
          <w:rFonts w:ascii="Times New Roman" w:hAnsi="Times New Roman" w:cs="Times New Roman"/>
          <w:color w:val="000000" w:themeColor="text1"/>
          <w:sz w:val="24"/>
          <w:szCs w:val="24"/>
          <w:lang w:val="ro-RO"/>
        </w:rPr>
        <w:t xml:space="preserve"> </w:t>
      </w:r>
      <w:r w:rsidRPr="00D43281">
        <w:rPr>
          <w:rFonts w:ascii="Times New Roman" w:hAnsi="Times New Roman" w:cs="Times New Roman"/>
          <w:color w:val="000000" w:themeColor="text1"/>
          <w:sz w:val="24"/>
          <w:szCs w:val="24"/>
          <w:lang w:val="ru-MD"/>
        </w:rPr>
        <w:t xml:space="preserve">наилучшая оценка ожидаемого убытка банка </w:t>
      </w:r>
      <w:r w:rsidR="00033C84" w:rsidRPr="00D43281">
        <w:rPr>
          <w:rFonts w:ascii="Times New Roman" w:hAnsi="Times New Roman" w:cs="Times New Roman"/>
          <w:color w:val="000000" w:themeColor="text1"/>
          <w:sz w:val="24"/>
          <w:szCs w:val="24"/>
          <w:lang w:val="ru-MD"/>
        </w:rPr>
        <w:t xml:space="preserve">для </w:t>
      </w:r>
      <w:r w:rsidRPr="00D43281">
        <w:rPr>
          <w:rFonts w:ascii="Times New Roman" w:hAnsi="Times New Roman" w:cs="Times New Roman"/>
          <w:color w:val="000000" w:themeColor="text1"/>
          <w:sz w:val="24"/>
          <w:szCs w:val="24"/>
          <w:lang w:val="ru-MD"/>
        </w:rPr>
        <w:t>подверженност</w:t>
      </w:r>
      <w:r w:rsidR="00033C84" w:rsidRPr="00D43281">
        <w:rPr>
          <w:rFonts w:ascii="Times New Roman" w:hAnsi="Times New Roman" w:cs="Times New Roman"/>
          <w:color w:val="000000" w:themeColor="text1"/>
          <w:sz w:val="24"/>
          <w:szCs w:val="24"/>
          <w:lang w:val="ru-MD"/>
        </w:rPr>
        <w:t>и</w:t>
      </w:r>
      <w:r w:rsidRPr="00D43281">
        <w:rPr>
          <w:rFonts w:ascii="Times New Roman" w:hAnsi="Times New Roman" w:cs="Times New Roman"/>
          <w:color w:val="000000" w:themeColor="text1"/>
          <w:sz w:val="24"/>
          <w:szCs w:val="24"/>
          <w:lang w:val="ru-MD"/>
        </w:rPr>
        <w:t xml:space="preserve"> в состоянии невозврата в соответствии с подпунктом 20</w:t>
      </w:r>
      <w:r w:rsidR="009560F3" w:rsidRPr="00BB1E28">
        <w:rPr>
          <w:rFonts w:ascii="Times New Roman" w:hAnsi="Times New Roman" w:cs="Times New Roman"/>
          <w:color w:val="000000" w:themeColor="text1"/>
          <w:sz w:val="24"/>
          <w:szCs w:val="24"/>
          <w:lang w:val="ru-RU"/>
        </w:rPr>
        <w:t>2</w:t>
      </w:r>
      <w:r w:rsidRPr="00D43281">
        <w:rPr>
          <w:rFonts w:ascii="Times New Roman" w:hAnsi="Times New Roman" w:cs="Times New Roman"/>
          <w:color w:val="000000" w:themeColor="text1"/>
          <w:sz w:val="24"/>
          <w:szCs w:val="24"/>
          <w:lang w:val="ru-MD"/>
        </w:rPr>
        <w:t>.9</w:t>
      </w:r>
      <w:r w:rsidR="00534F50" w:rsidRPr="00D43281">
        <w:rPr>
          <w:rFonts w:ascii="Times New Roman" w:hAnsi="Times New Roman" w:cs="Times New Roman"/>
          <w:color w:val="000000" w:themeColor="text1"/>
          <w:sz w:val="24"/>
          <w:szCs w:val="24"/>
          <w:lang w:val="ro-RO"/>
        </w:rPr>
        <w:t>;</w:t>
      </w:r>
    </w:p>
    <w:p w14:paraId="1899B897" w14:textId="7023F42E" w:rsidR="00534F50" w:rsidRPr="00D43281" w:rsidRDefault="00033C84"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79" w:name="_Ref215051245"/>
      <w:r w:rsidRPr="00D43281">
        <w:rPr>
          <w:rFonts w:ascii="Times New Roman" w:hAnsi="Times New Roman" w:cs="Times New Roman"/>
          <w:color w:val="000000" w:themeColor="text1"/>
          <w:sz w:val="24"/>
          <w:szCs w:val="24"/>
          <w:lang w:val="ru-RU"/>
        </w:rPr>
        <w:t>если</w:t>
      </w:r>
      <w:r w:rsidR="00534F50" w:rsidRPr="00D43281">
        <w:rPr>
          <w:rFonts w:ascii="Times New Roman" w:hAnsi="Times New Roman" w:cs="Times New Roman"/>
          <w:color w:val="000000" w:themeColor="text1"/>
          <w:sz w:val="24"/>
          <w:szCs w:val="24"/>
          <w:lang w:val="ro-RO"/>
        </w:rPr>
        <w:t xml:space="preserve"> PD </w:t>
      </w:r>
      <w:proofErr w:type="gramStart"/>
      <w:r w:rsidR="00534F50" w:rsidRPr="00D43281">
        <w:rPr>
          <w:rFonts w:ascii="Times New Roman" w:hAnsi="Times New Roman" w:cs="Times New Roman"/>
          <w:color w:val="000000" w:themeColor="text1"/>
          <w:sz w:val="24"/>
          <w:szCs w:val="24"/>
          <w:lang w:val="ro-RO"/>
        </w:rPr>
        <w:t>&lt; 1</w:t>
      </w:r>
      <w:proofErr w:type="gramEnd"/>
      <w:r w:rsidR="00534F50" w:rsidRPr="00D43281">
        <w:rPr>
          <w:rFonts w:ascii="Times New Roman" w:hAnsi="Times New Roman" w:cs="Times New Roman"/>
          <w:color w:val="000000" w:themeColor="text1"/>
          <w:sz w:val="24"/>
          <w:szCs w:val="24"/>
          <w:lang w:val="ro-RO"/>
        </w:rPr>
        <w:t xml:space="preserve">, </w:t>
      </w:r>
      <w:r w:rsidRPr="00D43281">
        <w:rPr>
          <w:rFonts w:ascii="Times New Roman" w:hAnsi="Times New Roman" w:cs="Times New Roman"/>
          <w:color w:val="000000" w:themeColor="text1"/>
          <w:sz w:val="24"/>
          <w:szCs w:val="24"/>
          <w:lang w:val="ru-RU"/>
        </w:rPr>
        <w:t>тогда</w:t>
      </w:r>
      <w:r w:rsidR="00534F50" w:rsidRPr="00D43281">
        <w:rPr>
          <w:rFonts w:ascii="Times New Roman" w:hAnsi="Times New Roman" w:cs="Times New Roman"/>
          <w:color w:val="000000" w:themeColor="text1"/>
          <w:sz w:val="24"/>
          <w:szCs w:val="24"/>
          <w:lang w:val="ro-RO"/>
        </w:rPr>
        <w:t>:</w:t>
      </w:r>
      <w:bookmarkEnd w:id="79"/>
    </w:p>
    <w:p w14:paraId="328BDE18" w14:textId="608DFB0E" w:rsidR="00B11946" w:rsidRPr="00D43281" w:rsidRDefault="00FE4778" w:rsidP="00B11946">
      <w:pPr>
        <w:shd w:val="clear" w:color="auto" w:fill="FFFFFF"/>
        <w:tabs>
          <w:tab w:val="left" w:pos="0"/>
          <w:tab w:val="left" w:pos="567"/>
        </w:tabs>
        <w:spacing w:before="60" w:after="0" w:line="240" w:lineRule="auto"/>
        <w:jc w:val="both"/>
        <w:rPr>
          <w:rFonts w:ascii="Times New Roman" w:hAnsi="Times New Roman" w:cs="Times New Roman"/>
          <w:color w:val="000000" w:themeColor="text1"/>
          <w:sz w:val="24"/>
          <w:szCs w:val="24"/>
          <w:lang w:val="ro-RO"/>
        </w:rPr>
      </w:pPr>
      <m:oMathPara>
        <m:oMathParaPr>
          <m:jc m:val="center"/>
        </m:oMathParaPr>
        <m:oMath>
          <m:r>
            <w:rPr>
              <w:rFonts w:ascii="Cambria Math" w:eastAsiaTheme="minorEastAsia" w:hAnsi="Cambria Math" w:cs="Times New Roman"/>
              <w:sz w:val="24"/>
              <w:szCs w:val="24"/>
              <w:lang w:val="ro-RO"/>
            </w:rPr>
            <m:t>RW=</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LGD∙N</m:t>
              </m:r>
              <m:d>
                <m:dPr>
                  <m:ctrlPr>
                    <w:rPr>
                      <w:rFonts w:ascii="Cambria Math" w:eastAsiaTheme="minorEastAsia" w:hAnsi="Cambria Math" w:cs="Times New Roman"/>
                      <w:i/>
                      <w:sz w:val="24"/>
                      <w:szCs w:val="24"/>
                      <w:lang w:val="ro-RO"/>
                    </w:rPr>
                  </m:ctrlPr>
                </m:dPr>
                <m:e>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num>
                    <m:den>
                      <m:rad>
                        <m:radPr>
                          <m:degHide m:val="1"/>
                          <m:ctrlPr>
                            <w:rPr>
                              <w:rFonts w:ascii="Cambria Math" w:eastAsiaTheme="minorEastAsia" w:hAnsi="Cambria Math" w:cs="Times New Roman"/>
                              <w:i/>
                              <w:sz w:val="24"/>
                              <w:szCs w:val="24"/>
                              <w:lang w:val="ro-RO"/>
                            </w:rPr>
                          </m:ctrlPr>
                        </m:radPr>
                        <m:deg/>
                        <m:e>
                          <m:r>
                            <w:rPr>
                              <w:rFonts w:ascii="Cambria Math" w:eastAsiaTheme="minorEastAsia" w:hAnsi="Cambria Math" w:cs="Times New Roman"/>
                              <w:sz w:val="24"/>
                              <w:szCs w:val="24"/>
                              <w:lang w:val="ro-RO"/>
                            </w:rPr>
                            <m:t>1-R</m:t>
                          </m:r>
                        </m:e>
                      </m:rad>
                    </m:den>
                  </m:f>
                  <m:r>
                    <w:rPr>
                      <w:rFonts w:ascii="Cambria Math" w:eastAsiaTheme="minorEastAsia" w:hAnsi="Cambria Math" w:cs="Times New Roman"/>
                      <w:sz w:val="24"/>
                      <w:szCs w:val="24"/>
                      <w:lang w:val="ro-RO"/>
                    </w:rPr>
                    <m:t>∙G</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PD</m:t>
                      </m:r>
                    </m:e>
                  </m:d>
                  <m:r>
                    <w:rPr>
                      <w:rFonts w:ascii="Cambria Math" w:eastAsiaTheme="minorEastAsia" w:hAnsi="Cambria Math" w:cs="Times New Roman"/>
                      <w:sz w:val="24"/>
                      <w:szCs w:val="24"/>
                      <w:lang w:val="ro-RO"/>
                    </w:rPr>
                    <m:t>+</m:t>
                  </m:r>
                  <m:rad>
                    <m:radPr>
                      <m:degHide m:val="1"/>
                      <m:ctrlPr>
                        <w:rPr>
                          <w:rFonts w:ascii="Cambria Math" w:eastAsiaTheme="minorEastAsia" w:hAnsi="Cambria Math" w:cs="Times New Roman"/>
                          <w:i/>
                          <w:sz w:val="24"/>
                          <w:szCs w:val="24"/>
                          <w:lang w:val="ro-RO"/>
                        </w:rPr>
                      </m:ctrlPr>
                    </m:radPr>
                    <m:deg/>
                    <m:e>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R</m:t>
                          </m:r>
                        </m:num>
                        <m:den>
                          <m:r>
                            <w:rPr>
                              <w:rFonts w:ascii="Cambria Math" w:eastAsiaTheme="minorEastAsia" w:hAnsi="Cambria Math" w:cs="Times New Roman"/>
                              <w:sz w:val="24"/>
                              <w:szCs w:val="24"/>
                              <w:lang w:val="ro-RO"/>
                            </w:rPr>
                            <m:t>1-R</m:t>
                          </m:r>
                        </m:den>
                      </m:f>
                    </m:e>
                  </m:rad>
                  <m:r>
                    <w:rPr>
                      <w:rFonts w:ascii="Cambria Math" w:eastAsiaTheme="minorEastAsia" w:hAnsi="Cambria Math" w:cs="Times New Roman"/>
                      <w:sz w:val="24"/>
                      <w:szCs w:val="24"/>
                      <w:lang w:val="ro-RO"/>
                    </w:rPr>
                    <m:t>∙G</m:t>
                  </m:r>
                  <m:d>
                    <m:dPr>
                      <m:ctrlPr>
                        <w:rPr>
                          <w:rFonts w:ascii="Cambria Math" w:eastAsiaTheme="minorEastAsia" w:hAnsi="Cambria Math" w:cs="Times New Roman"/>
                          <w:i/>
                          <w:sz w:val="24"/>
                          <w:szCs w:val="24"/>
                          <w:lang w:val="ro-RO"/>
                        </w:rPr>
                      </m:ctrlPr>
                    </m:dPr>
                    <m:e>
                      <m:r>
                        <w:rPr>
                          <w:rFonts w:ascii="Cambria Math" w:eastAsiaTheme="minorEastAsia" w:hAnsi="Cambria Math" w:cs="Times New Roman"/>
                          <w:sz w:val="24"/>
                          <w:szCs w:val="24"/>
                          <w:lang w:val="ro-RO"/>
                        </w:rPr>
                        <m:t>0.999</m:t>
                      </m:r>
                    </m:e>
                  </m:d>
                </m:e>
              </m:d>
              <m:r>
                <w:rPr>
                  <w:rFonts w:ascii="Cambria Math" w:eastAsiaTheme="minorEastAsia" w:hAnsi="Cambria Math" w:cs="Times New Roman"/>
                  <w:sz w:val="24"/>
                  <w:szCs w:val="24"/>
                  <w:lang w:val="ro-RO"/>
                </w:rPr>
                <m:t>-LGD∙PD</m:t>
              </m:r>
            </m:e>
          </m:d>
          <m:r>
            <w:rPr>
              <w:rFonts w:ascii="Cambria Math" w:eastAsiaTheme="minorEastAsia" w:hAnsi="Cambria Math" w:cs="Times New Roman"/>
              <w:sz w:val="24"/>
              <w:szCs w:val="24"/>
              <w:lang w:val="ro-RO"/>
            </w:rPr>
            <m:t>∙12,5</m:t>
          </m:r>
        </m:oMath>
      </m:oMathPara>
    </w:p>
    <w:p w14:paraId="1D080C9E" w14:textId="2C20DCFF" w:rsidR="00534F50" w:rsidRPr="00D43281" w:rsidRDefault="00033C84" w:rsidP="00B11946">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RU"/>
        </w:rPr>
        <w:t>где</w:t>
      </w:r>
      <w:r w:rsidR="00534F50" w:rsidRPr="00D43281">
        <w:rPr>
          <w:rFonts w:ascii="Times New Roman" w:hAnsi="Times New Roman" w:cs="Times New Roman"/>
          <w:color w:val="000000" w:themeColor="text1"/>
          <w:sz w:val="24"/>
          <w:szCs w:val="24"/>
          <w:lang w:val="ro-RO"/>
        </w:rPr>
        <w:t>:</w:t>
      </w:r>
    </w:p>
    <w:p w14:paraId="0FDE5DF2" w14:textId="77777777" w:rsidR="00133D1D" w:rsidRPr="00D43281" w:rsidRDefault="00133D1D" w:rsidP="00133D1D">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N = кумулятивная функция распределения стандартной нормальной случайной величины, то есть N(x), выражает вероятность того, что нормально распределённая случайная величина со средним значением ноль и дисперсией 1 будет меньше или равна x;</w:t>
      </w:r>
    </w:p>
    <w:p w14:paraId="60C6BA18" w14:textId="77777777" w:rsidR="00133D1D" w:rsidRPr="00D43281" w:rsidRDefault="00133D1D" w:rsidP="00133D1D">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G = обратная функция кумулятивной распределительной функции для стандартной нормальной случайной величины, то есть если x = G(z), то x обозначает значение, такое, что N(x) = z;</w:t>
      </w:r>
    </w:p>
    <w:p w14:paraId="42DE18DD" w14:textId="77777777" w:rsidR="00133D1D" w:rsidRPr="00D43281" w:rsidRDefault="00133D1D" w:rsidP="00133D1D">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R = коэффициент корреляции, который определяется как:</w:t>
      </w:r>
    </w:p>
    <w:p w14:paraId="2FBF7324" w14:textId="24220175" w:rsidR="001B24EA" w:rsidRPr="00D43281" w:rsidRDefault="001B24EA" w:rsidP="001B24EA">
      <w:pPr>
        <w:pStyle w:val="ListParagraph"/>
        <w:spacing w:line="360" w:lineRule="auto"/>
        <w:ind w:left="1077"/>
        <w:jc w:val="both"/>
        <w:rPr>
          <w:rFonts w:ascii="Times New Roman" w:eastAsiaTheme="minorEastAsia" w:hAnsi="Times New Roman" w:cs="Times New Roman"/>
          <w:sz w:val="24"/>
          <w:szCs w:val="24"/>
          <w:lang w:val="ro-RO"/>
        </w:rPr>
      </w:pPr>
      <m:oMath>
        <m:r>
          <w:rPr>
            <w:rFonts w:ascii="Cambria Math" w:eastAsiaTheme="minorEastAsia" w:hAnsi="Cambria Math" w:cs="Times New Roman"/>
            <w:sz w:val="24"/>
            <w:szCs w:val="24"/>
            <w:lang w:val="ro-RO"/>
          </w:rPr>
          <w:lastRenderedPageBreak/>
          <m:t>R=0.03∙</m:t>
        </m:r>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-35∙PD</m:t>
                </m:r>
              </m:sup>
            </m:sSup>
          </m:num>
          <m:den>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-35</m:t>
                </m:r>
              </m:sup>
            </m:sSup>
          </m:den>
        </m:f>
        <m:r>
          <w:rPr>
            <w:rFonts w:ascii="Cambria Math" w:eastAsiaTheme="minorEastAsia" w:hAnsi="Cambria Math" w:cs="Times New Roman"/>
            <w:sz w:val="24"/>
            <w:szCs w:val="24"/>
            <w:lang w:val="ro-RO"/>
          </w:rPr>
          <m:t>+0.16∙(1-</m:t>
        </m:r>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-35∙PD</m:t>
                </m:r>
              </m:sup>
            </m:sSup>
          </m:num>
          <m:den>
            <m:r>
              <w:rPr>
                <w:rFonts w:ascii="Cambria Math" w:eastAsiaTheme="minorEastAsia" w:hAnsi="Cambria Math" w:cs="Times New Roman"/>
                <w:sz w:val="24"/>
                <w:szCs w:val="24"/>
                <w:lang w:val="ro-RO"/>
              </w:rPr>
              <m:t>1-</m:t>
            </m:r>
            <m:sSup>
              <m:sSupPr>
                <m:ctrlPr>
                  <w:rPr>
                    <w:rFonts w:ascii="Cambria Math" w:eastAsiaTheme="minorEastAsia" w:hAnsi="Cambria Math" w:cs="Times New Roman"/>
                    <w:i/>
                    <w:sz w:val="24"/>
                    <w:szCs w:val="24"/>
                    <w:lang w:val="ro-RO"/>
                  </w:rPr>
                </m:ctrlPr>
              </m:sSupPr>
              <m:e>
                <m:r>
                  <w:rPr>
                    <w:rFonts w:ascii="Cambria Math" w:eastAsiaTheme="minorEastAsia" w:hAnsi="Cambria Math" w:cs="Times New Roman"/>
                    <w:sz w:val="24"/>
                    <w:szCs w:val="24"/>
                    <w:lang w:val="ro-RO"/>
                  </w:rPr>
                  <m:t>e</m:t>
                </m:r>
              </m:e>
              <m:sup>
                <m:r>
                  <w:rPr>
                    <w:rFonts w:ascii="Cambria Math" w:eastAsiaTheme="minorEastAsia" w:hAnsi="Cambria Math" w:cs="Times New Roman"/>
                    <w:sz w:val="24"/>
                    <w:szCs w:val="24"/>
                    <w:lang w:val="ro-RO"/>
                  </w:rPr>
                  <m:t>-35</m:t>
                </m:r>
              </m:sup>
            </m:sSup>
          </m:den>
        </m:f>
        <m:r>
          <w:rPr>
            <w:rFonts w:ascii="Cambria Math" w:eastAsiaTheme="minorEastAsia" w:hAnsi="Cambria Math" w:cs="Times New Roman"/>
            <w:sz w:val="24"/>
            <w:szCs w:val="24"/>
            <w:lang w:val="ro-RO"/>
          </w:rPr>
          <m:t>)</m:t>
        </m:r>
      </m:oMath>
      <w:r w:rsidR="000D4B40">
        <w:rPr>
          <w:rFonts w:ascii="Times New Roman" w:eastAsiaTheme="minorEastAsia" w:hAnsi="Times New Roman" w:cs="Times New Roman"/>
          <w:sz w:val="24"/>
          <w:szCs w:val="24"/>
          <w:lang w:val="ro-RO"/>
        </w:rPr>
        <w:t>.</w:t>
      </w:r>
    </w:p>
    <w:p w14:paraId="6711C42C" w14:textId="2F697664" w:rsidR="00534F50" w:rsidRPr="00D43281" w:rsidRDefault="00F530C2"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80" w:name="_Ref215051093"/>
      <w:r w:rsidRPr="00D43281">
        <w:rPr>
          <w:rFonts w:ascii="Times New Roman" w:hAnsi="Times New Roman" w:cs="Times New Roman"/>
          <w:color w:val="000000" w:themeColor="text1"/>
          <w:sz w:val="24"/>
          <w:szCs w:val="24"/>
          <w:lang w:val="ru-RU"/>
        </w:rPr>
        <w:t>В случае розничных подверженностей, которые не являются в состоянии невозврата и обеспечены полностью или частично жилой недвижимостью, коэффициент корреляции R, равный 0,15, заменяет значение, полученное с помощью формулы коэффициента корреляции, указанной в пункте 80</w:t>
      </w:r>
      <w:r w:rsidR="00534F50" w:rsidRPr="00D43281">
        <w:rPr>
          <w:rFonts w:ascii="Times New Roman" w:hAnsi="Times New Roman" w:cs="Times New Roman"/>
          <w:color w:val="000000" w:themeColor="text1"/>
          <w:sz w:val="24"/>
          <w:szCs w:val="24"/>
          <w:lang w:val="ru-RU"/>
        </w:rPr>
        <w:t>.</w:t>
      </w:r>
      <w:bookmarkEnd w:id="80"/>
    </w:p>
    <w:p w14:paraId="2F9FAD78" w14:textId="3B47A2A8" w:rsidR="00534F50" w:rsidRPr="00D43281" w:rsidRDefault="002F36D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Весовой коэффициент риска, рассчитанный для частично обеспеченной подверженности  жилой недвижимостью, в соответствии с подпунктом 80.2 пункта 80 с учетом коэффициента корреляции R, как предусмотрено в пункте 81, применяется как к обеспеченной, так и к необеспеченной части данной подверженности</w:t>
      </w:r>
      <w:r w:rsidR="00534F50" w:rsidRPr="00D43281">
        <w:rPr>
          <w:rFonts w:ascii="Times New Roman" w:hAnsi="Times New Roman" w:cs="Times New Roman"/>
          <w:color w:val="000000" w:themeColor="text1"/>
          <w:sz w:val="24"/>
          <w:szCs w:val="24"/>
          <w:lang w:val="ru-RU"/>
        </w:rPr>
        <w:t>.</w:t>
      </w:r>
    </w:p>
    <w:p w14:paraId="5F15B763" w14:textId="4637E18B" w:rsidR="00534F50" w:rsidRPr="00D43281" w:rsidRDefault="00371AE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 случае QRRE, не находящихся в состоянии невозврата, коэффициент корреляции R, равный 0,04, заменяет значение, полученное с помощью формулы коэффициента корреляции, приведенной в пункте 80</w:t>
      </w:r>
      <w:r w:rsidR="00534F50" w:rsidRPr="00D43281">
        <w:rPr>
          <w:rFonts w:ascii="Times New Roman" w:hAnsi="Times New Roman" w:cs="Times New Roman"/>
          <w:color w:val="000000" w:themeColor="text1"/>
          <w:sz w:val="24"/>
          <w:szCs w:val="24"/>
          <w:lang w:val="ru-RU"/>
        </w:rPr>
        <w:t>.</w:t>
      </w:r>
    </w:p>
    <w:p w14:paraId="5F294567" w14:textId="68D47B84" w:rsidR="00534F50" w:rsidRPr="00D43281" w:rsidRDefault="00715D49"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Национальный банк Молдовы анализирует относительную волатильность коэффициента убыточности для QRRE, относящихся к одному и тому же типу подверженностей, а также для совокупной категории подверженностей QRRE</w:t>
      </w:r>
      <w:r w:rsidR="00A21C7F" w:rsidRPr="00D43281">
        <w:rPr>
          <w:rFonts w:ascii="Times New Roman" w:hAnsi="Times New Roman" w:cs="Times New Roman"/>
          <w:color w:val="000000" w:themeColor="text1"/>
          <w:sz w:val="24"/>
          <w:szCs w:val="24"/>
          <w:lang w:val="ru-RU"/>
        </w:rPr>
        <w:t>.</w:t>
      </w:r>
    </w:p>
    <w:p w14:paraId="2009BA74" w14:textId="2A82254E" w:rsidR="00F04046" w:rsidRPr="00D43281" w:rsidRDefault="00F0404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81" w:name="_Ref215127218"/>
      <w:r w:rsidRPr="00D43281">
        <w:rPr>
          <w:rFonts w:ascii="Times New Roman" w:hAnsi="Times New Roman" w:cs="Times New Roman"/>
          <w:color w:val="000000" w:themeColor="text1"/>
          <w:sz w:val="24"/>
          <w:szCs w:val="24"/>
          <w:lang w:val="ru-MD"/>
        </w:rPr>
        <w:t>Для того чтобы приобретенная дебиторская задолженность подлежала розничному учету, она должна соответствовать требованиям, изложенным в пунктах</w:t>
      </w:r>
      <w:r w:rsidR="00250D93" w:rsidRPr="00D43281">
        <w:rPr>
          <w:rFonts w:ascii="Times New Roman" w:hAnsi="Times New Roman" w:cs="Times New Roman"/>
          <w:color w:val="000000" w:themeColor="text1"/>
          <w:sz w:val="24"/>
          <w:szCs w:val="24"/>
          <w:lang w:val="ru-MD"/>
        </w:rPr>
        <w:t xml:space="preserve"> </w:t>
      </w:r>
      <w:proofErr w:type="gramStart"/>
      <w:r w:rsidRPr="00D43281">
        <w:rPr>
          <w:rFonts w:ascii="Times New Roman" w:hAnsi="Times New Roman" w:cs="Times New Roman"/>
          <w:color w:val="000000" w:themeColor="text1"/>
          <w:sz w:val="24"/>
          <w:szCs w:val="24"/>
          <w:lang w:val="ru-MD"/>
        </w:rPr>
        <w:t>198-20</w:t>
      </w:r>
      <w:r w:rsidR="000D4B40" w:rsidRPr="00BB1E28">
        <w:rPr>
          <w:rFonts w:ascii="Times New Roman" w:hAnsi="Times New Roman" w:cs="Times New Roman"/>
          <w:color w:val="000000" w:themeColor="text1"/>
          <w:sz w:val="24"/>
          <w:szCs w:val="24"/>
          <w:lang w:val="ru-RU"/>
        </w:rPr>
        <w:t>1</w:t>
      </w:r>
      <w:proofErr w:type="gramEnd"/>
      <w:r w:rsidRPr="00D43281">
        <w:rPr>
          <w:rFonts w:ascii="Times New Roman" w:hAnsi="Times New Roman" w:cs="Times New Roman"/>
          <w:color w:val="000000" w:themeColor="text1"/>
          <w:sz w:val="24"/>
          <w:szCs w:val="24"/>
          <w:lang w:val="ru-MD"/>
        </w:rPr>
        <w:t>, а также следующим условиям:</w:t>
      </w:r>
    </w:p>
    <w:bookmarkEnd w:id="81"/>
    <w:p w14:paraId="7C6C0D31" w14:textId="3A9377FB" w:rsidR="00534F50" w:rsidRPr="00D43281" w:rsidRDefault="00A7636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 приобрел требования у стороннего продавца, с которым он не связан, и его подверженности перед должником по данным требованиям не включают ни одну подверженность, источником которых является, прямо или косвенно, сам банк</w:t>
      </w:r>
      <w:r w:rsidR="00534F50" w:rsidRPr="00D43281">
        <w:rPr>
          <w:rFonts w:ascii="Times New Roman" w:hAnsi="Times New Roman" w:cs="Times New Roman"/>
          <w:color w:val="000000" w:themeColor="text1"/>
          <w:sz w:val="24"/>
          <w:szCs w:val="24"/>
          <w:lang w:val="ru-RU"/>
        </w:rPr>
        <w:t>;</w:t>
      </w:r>
    </w:p>
    <w:p w14:paraId="1FCBF7E8" w14:textId="466EA9C8" w:rsidR="00534F50" w:rsidRPr="00D43281" w:rsidRDefault="004169DD"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Приобретаемые требования возникают в условиях полной конкуренции между продавцом и должником. Соответственно, требования, возникающие в результате операций между счетами одного и того же общества, а также требования, являющиеся предметом перекрестных операций между счетами обществ, которые осуществляют взаимные продажи и покупки, не подпадают под критерии приемлемости</w:t>
      </w:r>
      <w:r w:rsidR="00534F50" w:rsidRPr="00D43281">
        <w:rPr>
          <w:rFonts w:ascii="Times New Roman" w:hAnsi="Times New Roman" w:cs="Times New Roman"/>
          <w:color w:val="000000" w:themeColor="text1"/>
          <w:sz w:val="24"/>
          <w:szCs w:val="24"/>
          <w:lang w:val="ru-MD"/>
        </w:rPr>
        <w:t>;</w:t>
      </w:r>
    </w:p>
    <w:p w14:paraId="5A43D20A" w14:textId="1E743014" w:rsidR="00534F50" w:rsidRPr="00D43281" w:rsidRDefault="004E3E1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Банк-покупатель обладает правом требования в отношении совокупности доходов, генерируемых приобретенными требованиями, либо пропорциональным правом на такие доходы; и</w:t>
      </w:r>
      <w:r w:rsidR="00534F50" w:rsidRPr="00D43281">
        <w:rPr>
          <w:rFonts w:ascii="Times New Roman" w:hAnsi="Times New Roman" w:cs="Times New Roman"/>
          <w:color w:val="000000" w:themeColor="text1"/>
          <w:sz w:val="24"/>
          <w:szCs w:val="24"/>
          <w:lang w:val="ru-RU"/>
        </w:rPr>
        <w:t>;</w:t>
      </w:r>
    </w:p>
    <w:p w14:paraId="0B761324" w14:textId="6A65419C" w:rsidR="00534F50" w:rsidRPr="00D43281" w:rsidRDefault="0022725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Портфель приобретенных требований является достаточно диверсифицированным</w:t>
      </w:r>
      <w:r w:rsidR="00534F50" w:rsidRPr="00D43281">
        <w:rPr>
          <w:rFonts w:ascii="Times New Roman" w:hAnsi="Times New Roman" w:cs="Times New Roman"/>
          <w:color w:val="000000" w:themeColor="text1"/>
          <w:sz w:val="24"/>
          <w:szCs w:val="24"/>
          <w:lang w:val="ru-RU"/>
        </w:rPr>
        <w:t>.</w:t>
      </w:r>
    </w:p>
    <w:p w14:paraId="391F0A98" w14:textId="46B66CDA" w:rsidR="000D6ACB" w:rsidRPr="00D43281" w:rsidRDefault="000D6AC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В случае приобретенных розничных требований возмещаемые скидки на покупную цену, вещные гарантии или частичные гарантии, обеспечивающие защиту от первых убытков в случае невыплаты, убытков от снижения стоимости требования или убытков, возникающих в обоих случаях, могут рассматриваться как защита кредита от первых убытков со стороны покупателя требований или бенефициара вещной гарантии или частичной гарантии в соответствии с нормативными актами Национального банка Молдовы, касающимися пруденциального регулирования секьюритизации. Продавец, предоставляющий возмещаемую скидку на покупную цену, и поставщик вещной гарантии или частичной гарантии рассматривают соответствующие гарантии как </w:t>
      </w:r>
      <w:r w:rsidR="00011372" w:rsidRPr="00D43281">
        <w:rPr>
          <w:rFonts w:ascii="Times New Roman" w:hAnsi="Times New Roman" w:cs="Times New Roman"/>
          <w:color w:val="000000" w:themeColor="text1"/>
          <w:sz w:val="24"/>
          <w:szCs w:val="24"/>
          <w:lang w:val="ru-MD"/>
        </w:rPr>
        <w:t>подверженность</w:t>
      </w:r>
      <w:r w:rsidRPr="00D43281">
        <w:rPr>
          <w:rFonts w:ascii="Times New Roman" w:hAnsi="Times New Roman" w:cs="Times New Roman"/>
          <w:color w:val="000000" w:themeColor="text1"/>
          <w:sz w:val="24"/>
          <w:szCs w:val="24"/>
          <w:lang w:val="ru-MD"/>
        </w:rPr>
        <w:t xml:space="preserve"> по позиции, несущей убыток по первому убытку, в соответствии с нормативными актами Национального банка Молдовы, касающимися пруденциального регулирования секьюритизации</w:t>
      </w:r>
      <w:r w:rsidR="008E1662" w:rsidRPr="00BB1E28">
        <w:rPr>
          <w:rFonts w:ascii="Times New Roman" w:hAnsi="Times New Roman" w:cs="Times New Roman"/>
          <w:color w:val="000000" w:themeColor="text1"/>
          <w:sz w:val="24"/>
          <w:szCs w:val="24"/>
          <w:lang w:val="ru-RU"/>
        </w:rPr>
        <w:t>.</w:t>
      </w:r>
    </w:p>
    <w:p w14:paraId="7C83A190" w14:textId="37FF7841" w:rsidR="005071EA" w:rsidRPr="00D43281" w:rsidRDefault="0056563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82" w:name="_Ref215229575"/>
      <w:r w:rsidRPr="00D43281">
        <w:rPr>
          <w:rFonts w:ascii="Times New Roman" w:hAnsi="Times New Roman" w:cs="Times New Roman"/>
          <w:color w:val="000000" w:themeColor="text1"/>
          <w:sz w:val="24"/>
          <w:szCs w:val="24"/>
          <w:lang w:val="ru-RU"/>
        </w:rPr>
        <w:t>В случае гибридных портфелей приобретенных розничных долговых обязательств, когда банк-покупатель не может отделить подверженности, обеспеченные недвижимым имуществом, и приемлемые возобновляемые розничные подверженности от других розничных подверженностей, применяется функция взвешивания риска розничных кредитов, которая приводит к самым высоким требованиям к капиталу для этих подверженностей</w:t>
      </w:r>
      <w:r w:rsidR="00534F50" w:rsidRPr="00D43281">
        <w:rPr>
          <w:rFonts w:ascii="Times New Roman" w:hAnsi="Times New Roman" w:cs="Times New Roman"/>
          <w:color w:val="000000" w:themeColor="text1"/>
          <w:sz w:val="24"/>
          <w:szCs w:val="24"/>
          <w:lang w:val="ru-RU"/>
        </w:rPr>
        <w:t>.</w:t>
      </w:r>
      <w:bookmarkEnd w:id="82"/>
    </w:p>
    <w:p w14:paraId="6EDF5B9F" w14:textId="41A6D328" w:rsidR="00A24C36" w:rsidRPr="00D43281" w:rsidRDefault="0056563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Взвешенные по риску суммы подверженностей по другим активам, кроме кредитных требований, рассчитываются по следующей формуле</w:t>
      </w:r>
      <w:r w:rsidR="00A24C36" w:rsidRPr="00D43281">
        <w:rPr>
          <w:rFonts w:ascii="Times New Roman" w:hAnsi="Times New Roman" w:cs="Times New Roman"/>
          <w:color w:val="000000" w:themeColor="text1"/>
          <w:sz w:val="24"/>
          <w:szCs w:val="24"/>
          <w:lang w:val="ru-RU"/>
        </w:rPr>
        <w:t>:</w:t>
      </w:r>
    </w:p>
    <w:p w14:paraId="09CACF1D" w14:textId="38ABADFD" w:rsidR="00A24C36" w:rsidRPr="00FA47FC" w:rsidRDefault="00FA47FC" w:rsidP="00BF7A00">
      <w:pPr>
        <w:pStyle w:val="ListParagraph"/>
        <w:ind w:left="0" w:firstLine="567"/>
        <w:rPr>
          <w:rFonts w:ascii="Times New Roman" w:eastAsiaTheme="minorEastAsia" w:hAnsi="Times New Roman" w:cs="Times New Roman"/>
          <w:i/>
          <w:iCs/>
          <w:sz w:val="24"/>
          <w:szCs w:val="24"/>
          <w:lang w:val="ro-RO"/>
        </w:rPr>
      </w:pPr>
      <m:oMathPara>
        <m:oMath>
          <m:r>
            <w:rPr>
              <w:rFonts w:ascii="Cambria Math" w:hAnsi="Cambria Math" w:cs="Times New Roman"/>
              <w:color w:val="000000" w:themeColor="text1"/>
              <w:sz w:val="24"/>
              <w:szCs w:val="24"/>
              <w:lang w:val="ru-RU"/>
            </w:rPr>
            <w:lastRenderedPageBreak/>
            <m:t>Взвешенная по риску сумма подверженности</m:t>
          </m:r>
          <m:r>
            <w:rPr>
              <w:rFonts w:ascii="Cambria Math" w:hAnsi="Cambria Math" w:cs="Times New Roman"/>
              <w:color w:val="000000" w:themeColor="text1"/>
              <w:sz w:val="24"/>
              <w:szCs w:val="24"/>
              <w:lang w:val="ro-RO"/>
            </w:rPr>
            <m:t>=100% · с</m:t>
          </m:r>
          <m:r>
            <w:rPr>
              <w:rFonts w:ascii="Cambria Math" w:hAnsi="Cambria Math" w:cs="Times New Roman"/>
              <w:color w:val="000000" w:themeColor="text1"/>
              <w:sz w:val="24"/>
              <w:szCs w:val="24"/>
              <w:lang w:val="ru-RU"/>
            </w:rPr>
            <m:t>умма подверженности</m:t>
          </m:r>
        </m:oMath>
      </m:oMathPara>
    </w:p>
    <w:p w14:paraId="2097707A" w14:textId="43A3EE6C" w:rsidR="00A24C36" w:rsidRPr="00D43281" w:rsidRDefault="005C759B" w:rsidP="00BF7A00">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за исключением следующих</w:t>
      </w:r>
      <w:r w:rsidR="00A24C36" w:rsidRPr="00D43281">
        <w:rPr>
          <w:rFonts w:ascii="Times New Roman" w:hAnsi="Times New Roman" w:cs="Times New Roman"/>
          <w:color w:val="000000" w:themeColor="text1"/>
          <w:sz w:val="24"/>
          <w:szCs w:val="24"/>
          <w:lang w:val="ru-RU"/>
        </w:rPr>
        <w:t>:</w:t>
      </w:r>
    </w:p>
    <w:p w14:paraId="5FB07F52" w14:textId="40CC8339" w:rsidR="00A24C36" w:rsidRPr="00D43281" w:rsidRDefault="00AF144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Наличные денежные средства, находящиеся в кассе, и эквиваленты наличных денежных средств, а также слитки золота, хранящиеся в собственных хранилищах или на хранении у третьих лиц, в пределах сумм, обеспеченных обязательствами в виде слитков золота, которым присваивается вес риска 0%</w:t>
      </w:r>
      <w:r w:rsidR="00A24C36" w:rsidRPr="00D43281">
        <w:rPr>
          <w:rFonts w:ascii="Times New Roman" w:hAnsi="Times New Roman" w:cs="Times New Roman"/>
          <w:color w:val="000000" w:themeColor="text1"/>
          <w:sz w:val="24"/>
          <w:szCs w:val="24"/>
          <w:lang w:val="ru-RU"/>
        </w:rPr>
        <w:t>;</w:t>
      </w:r>
    </w:p>
    <w:p w14:paraId="7EC0B964" w14:textId="1C1A422C" w:rsidR="00A24C36" w:rsidRPr="00D43281" w:rsidRDefault="00574724"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Случаи, когда подверженность представляет собой остаточную стоимость активов, являющихся предметом договора лизинга, когда взвешенные по риску суммы подверженностей рассчитываются следующим образом</w:t>
      </w:r>
      <w:r w:rsidR="00A24C36" w:rsidRPr="00D43281">
        <w:rPr>
          <w:rFonts w:ascii="Times New Roman" w:hAnsi="Times New Roman" w:cs="Times New Roman"/>
          <w:color w:val="000000" w:themeColor="text1"/>
          <w:sz w:val="24"/>
          <w:szCs w:val="24"/>
          <w:lang w:val="ru-RU"/>
        </w:rPr>
        <w:t>:</w:t>
      </w:r>
    </w:p>
    <w:p w14:paraId="74D2C9A2" w14:textId="55F7456D" w:rsidR="00BF7A00" w:rsidRPr="00D43281" w:rsidRDefault="00000000" w:rsidP="00BF7A00">
      <w:pPr>
        <w:pStyle w:val="ListParagraph"/>
        <w:ind w:left="0" w:firstLine="567"/>
        <w:rPr>
          <w:rFonts w:ascii="Cambria Math" w:eastAsiaTheme="minorEastAsia" w:hAnsi="Cambria Math" w:cs="Times New Roman"/>
          <w:i/>
          <w:sz w:val="24"/>
          <w:szCs w:val="24"/>
          <w:lang w:val="ro-RO"/>
        </w:rPr>
      </w:pPr>
      <m:oMathPara>
        <m:oMath>
          <m:f>
            <m:fPr>
              <m:ctrlPr>
                <w:rPr>
                  <w:rFonts w:ascii="Cambria Math" w:eastAsiaTheme="minorEastAsia" w:hAnsi="Cambria Math" w:cs="Times New Roman"/>
                  <w:i/>
                  <w:sz w:val="24"/>
                  <w:szCs w:val="24"/>
                  <w:lang w:val="ro-RO"/>
                </w:rPr>
              </m:ctrlPr>
            </m:fPr>
            <m:num>
              <m:r>
                <w:rPr>
                  <w:rFonts w:ascii="Cambria Math" w:eastAsiaTheme="minorEastAsia" w:hAnsi="Cambria Math" w:cs="Times New Roman"/>
                  <w:sz w:val="24"/>
                  <w:szCs w:val="24"/>
                  <w:lang w:val="ro-RO"/>
                </w:rPr>
                <m:t>1</m:t>
              </m:r>
            </m:num>
            <m:den>
              <m:r>
                <w:rPr>
                  <w:rFonts w:ascii="Cambria Math" w:eastAsiaTheme="minorEastAsia" w:hAnsi="Cambria Math" w:cs="Times New Roman"/>
                  <w:sz w:val="24"/>
                  <w:szCs w:val="24"/>
                  <w:lang w:val="ro-RO"/>
                </w:rPr>
                <m:t>t</m:t>
              </m:r>
            </m:den>
          </m:f>
          <m:r>
            <w:rPr>
              <w:rFonts w:ascii="Cambria Math" w:hAnsi="Cambria Math" w:cs="Times New Roman"/>
              <w:color w:val="000000" w:themeColor="text1"/>
              <w:sz w:val="24"/>
              <w:szCs w:val="24"/>
              <w:lang w:val="ro-RO"/>
            </w:rPr>
            <m:t xml:space="preserve"> · </m:t>
          </m:r>
          <m:r>
            <w:rPr>
              <w:rFonts w:ascii="Cambria Math" w:eastAsiaTheme="minorEastAsia" w:hAnsi="Cambria Math" w:cs="Times New Roman"/>
              <w:sz w:val="24"/>
              <w:szCs w:val="24"/>
              <w:lang w:val="ro-RO"/>
            </w:rPr>
            <m:t xml:space="preserve">100% </m:t>
          </m:r>
          <m:r>
            <w:rPr>
              <w:rFonts w:ascii="Cambria Math" w:hAnsi="Cambria Math" w:cs="Times New Roman"/>
              <w:color w:val="000000" w:themeColor="text1"/>
              <w:sz w:val="24"/>
              <w:szCs w:val="24"/>
              <w:lang w:val="ro-RO"/>
            </w:rPr>
            <m:t>· с</m:t>
          </m:r>
          <m:r>
            <w:rPr>
              <w:rFonts w:ascii="Cambria Math" w:hAnsi="Cambria Math" w:cs="Times New Roman"/>
              <w:color w:val="000000" w:themeColor="text1"/>
              <w:sz w:val="24"/>
              <w:szCs w:val="24"/>
              <w:lang w:val="ru-RU"/>
            </w:rPr>
            <m:t>умма подверженности</m:t>
          </m:r>
        </m:oMath>
      </m:oMathPara>
    </w:p>
    <w:p w14:paraId="2D305D4C" w14:textId="5E34B216" w:rsidR="00385366" w:rsidRPr="00BB1E28" w:rsidRDefault="00574724" w:rsidP="00BF7A00">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MD"/>
        </w:rPr>
        <w:t>где t представляет собой наибольшее из чисел от 1 до ближайшего целого числа лет, соответствующего оставшемуся сроку действия договора лизинга</w:t>
      </w:r>
      <w:r w:rsidR="00A24C36" w:rsidRPr="00D43281">
        <w:rPr>
          <w:rFonts w:ascii="Times New Roman" w:hAnsi="Times New Roman" w:cs="Times New Roman"/>
          <w:color w:val="000000" w:themeColor="text1"/>
          <w:sz w:val="24"/>
          <w:szCs w:val="24"/>
          <w:lang w:val="ru-MD"/>
        </w:rPr>
        <w:t>.</w:t>
      </w:r>
    </w:p>
    <w:p w14:paraId="4C1A8854" w14:textId="329FBAE1" w:rsidR="006B07B9" w:rsidRPr="00D43281" w:rsidRDefault="00574724" w:rsidP="006B07B9">
      <w:pPr>
        <w:pStyle w:val="ListParagraph"/>
        <w:shd w:val="clear" w:color="auto" w:fill="FFFFFF"/>
        <w:tabs>
          <w:tab w:val="left" w:pos="0"/>
          <w:tab w:val="left" w:pos="567"/>
        </w:tabs>
        <w:spacing w:before="120" w:after="0" w:line="240" w:lineRule="auto"/>
        <w:ind w:left="0"/>
        <w:contextualSpacing w:val="0"/>
        <w:jc w:val="center"/>
        <w:rPr>
          <w:sz w:val="24"/>
          <w:szCs w:val="24"/>
        </w:rPr>
      </w:pPr>
      <w:r w:rsidRPr="00D43281">
        <w:rPr>
          <w:rFonts w:ascii="Times New Roman" w:hAnsi="Times New Roman" w:cs="Times New Roman"/>
          <w:b/>
          <w:bCs/>
          <w:i/>
          <w:iCs/>
          <w:color w:val="000000" w:themeColor="text1"/>
          <w:sz w:val="24"/>
          <w:szCs w:val="24"/>
          <w:lang w:val="ru-RU"/>
        </w:rPr>
        <w:t>Часть</w:t>
      </w:r>
      <w:r w:rsidR="006B07B9" w:rsidRPr="00D43281">
        <w:rPr>
          <w:rFonts w:ascii="Times New Roman" w:hAnsi="Times New Roman" w:cs="Times New Roman"/>
          <w:b/>
          <w:bCs/>
          <w:i/>
          <w:iCs/>
          <w:color w:val="000000" w:themeColor="text1"/>
          <w:sz w:val="24"/>
          <w:szCs w:val="24"/>
          <w:lang w:val="ro-RO"/>
        </w:rPr>
        <w:t xml:space="preserve"> 3</w:t>
      </w:r>
    </w:p>
    <w:p w14:paraId="42EC31C9" w14:textId="7205ACFA" w:rsidR="006B07B9" w:rsidRPr="00D43281" w:rsidRDefault="00FD5623" w:rsidP="006B07B9">
      <w:pPr>
        <w:pStyle w:val="ListParagraph"/>
        <w:shd w:val="clear" w:color="auto" w:fill="FFFFFF"/>
        <w:tabs>
          <w:tab w:val="left" w:pos="0"/>
          <w:tab w:val="left" w:pos="567"/>
        </w:tabs>
        <w:spacing w:before="60" w:after="0" w:line="240" w:lineRule="auto"/>
        <w:ind w:left="567"/>
        <w:jc w:val="both"/>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Расчет взвешенных по риску сумм подверженностей для снижения стоимости приобретенных требований</w:t>
      </w:r>
    </w:p>
    <w:p w14:paraId="674AC009" w14:textId="59432C6B" w:rsidR="00F24F7F" w:rsidRPr="00D43281" w:rsidRDefault="00F24F7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 </w:t>
      </w:r>
      <w:bookmarkStart w:id="83" w:name="_Ref215068985"/>
      <w:r w:rsidR="00C470C1" w:rsidRPr="00D43281">
        <w:rPr>
          <w:rFonts w:ascii="Times New Roman" w:hAnsi="Times New Roman" w:cs="Times New Roman"/>
          <w:color w:val="000000" w:themeColor="text1"/>
          <w:sz w:val="24"/>
          <w:szCs w:val="24"/>
          <w:lang w:val="ru-RU"/>
        </w:rPr>
        <w:t>Банки рассчитывают взвешенные по риску суммы подверженностей для риска снижения стоимости приобретенных требований к обществам и розничных требований по формуле, приведенной в пункте 71</w:t>
      </w:r>
      <w:r w:rsidRPr="00D43281">
        <w:rPr>
          <w:rFonts w:ascii="Times New Roman" w:hAnsi="Times New Roman" w:cs="Times New Roman"/>
          <w:color w:val="000000" w:themeColor="text1"/>
          <w:sz w:val="24"/>
          <w:szCs w:val="24"/>
          <w:lang w:val="ru-RU"/>
        </w:rPr>
        <w:t>.</w:t>
      </w:r>
      <w:bookmarkEnd w:id="83"/>
    </w:p>
    <w:p w14:paraId="39B6016C" w14:textId="03042809" w:rsidR="00F24F7F" w:rsidRPr="00D43281" w:rsidRDefault="00C470C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Банки определяют входные параметры PD и LGD в соответствии с главой</w:t>
      </w:r>
      <w:r w:rsidR="002443E7" w:rsidRPr="00D43281">
        <w:rPr>
          <w:rFonts w:ascii="Times New Roman" w:hAnsi="Times New Roman" w:cs="Times New Roman"/>
          <w:color w:val="000000" w:themeColor="text1"/>
          <w:sz w:val="24"/>
          <w:szCs w:val="24"/>
          <w:lang w:val="ru-RU"/>
        </w:rPr>
        <w:t xml:space="preserve"> I</w:t>
      </w:r>
      <w:r w:rsidR="00B15B00" w:rsidRPr="00D43281">
        <w:rPr>
          <w:rFonts w:ascii="Times New Roman" w:hAnsi="Times New Roman" w:cs="Times New Roman"/>
          <w:color w:val="000000" w:themeColor="text1"/>
          <w:sz w:val="24"/>
          <w:szCs w:val="24"/>
          <w:lang w:val="ru-RU"/>
        </w:rPr>
        <w:t>V</w:t>
      </w:r>
      <w:r w:rsidR="00F24F7F" w:rsidRPr="00D43281">
        <w:rPr>
          <w:rFonts w:ascii="Times New Roman" w:hAnsi="Times New Roman" w:cs="Times New Roman"/>
          <w:color w:val="000000" w:themeColor="text1"/>
          <w:sz w:val="24"/>
          <w:szCs w:val="24"/>
          <w:lang w:val="ru-RU"/>
        </w:rPr>
        <w:t>.</w:t>
      </w:r>
    </w:p>
    <w:p w14:paraId="16615225" w14:textId="26A0D47B" w:rsidR="00F24F7F" w:rsidRPr="00D43281" w:rsidRDefault="002B624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Банки определяют стоимость подверженности в соответствии с главой</w:t>
      </w:r>
      <w:r w:rsidR="007E3C33" w:rsidRPr="00D43281">
        <w:rPr>
          <w:rFonts w:ascii="Times New Roman" w:hAnsi="Times New Roman" w:cs="Times New Roman"/>
          <w:color w:val="000000" w:themeColor="text1"/>
          <w:sz w:val="24"/>
          <w:szCs w:val="24"/>
          <w:lang w:val="ru-RU"/>
        </w:rPr>
        <w:t xml:space="preserve"> </w:t>
      </w:r>
      <w:r w:rsidR="002443E7" w:rsidRPr="00D43281">
        <w:rPr>
          <w:rFonts w:ascii="Times New Roman" w:hAnsi="Times New Roman" w:cs="Times New Roman"/>
          <w:color w:val="000000" w:themeColor="text1"/>
          <w:sz w:val="24"/>
          <w:szCs w:val="24"/>
          <w:lang w:val="ru-RU"/>
        </w:rPr>
        <w:t>V</w:t>
      </w:r>
      <w:r w:rsidR="00B15B00" w:rsidRPr="00D43281">
        <w:rPr>
          <w:rFonts w:ascii="Times New Roman" w:hAnsi="Times New Roman" w:cs="Times New Roman"/>
          <w:color w:val="000000" w:themeColor="text1"/>
          <w:sz w:val="24"/>
          <w:szCs w:val="24"/>
          <w:lang w:val="ru-RU"/>
        </w:rPr>
        <w:t>I</w:t>
      </w:r>
      <w:r w:rsidR="00F24F7F" w:rsidRPr="00D43281">
        <w:rPr>
          <w:rFonts w:ascii="Times New Roman" w:hAnsi="Times New Roman" w:cs="Times New Roman"/>
          <w:color w:val="000000" w:themeColor="text1"/>
          <w:sz w:val="24"/>
          <w:szCs w:val="24"/>
          <w:lang w:val="ru-RU"/>
        </w:rPr>
        <w:t>.</w:t>
      </w:r>
    </w:p>
    <w:p w14:paraId="2E991AFA" w14:textId="591CA72D" w:rsidR="00F24F7F" w:rsidRPr="00D43281" w:rsidRDefault="002B624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В целях </w:t>
      </w:r>
      <w:r w:rsidR="008B2ED7" w:rsidRPr="008B2ED7">
        <w:rPr>
          <w:rFonts w:ascii="Times New Roman" w:hAnsi="Times New Roman" w:cs="Times New Roman"/>
          <w:color w:val="000000" w:themeColor="text1"/>
          <w:sz w:val="24"/>
          <w:szCs w:val="24"/>
          <w:lang w:val="ru-RU"/>
        </w:rPr>
        <w:t xml:space="preserve">настоящей части </w:t>
      </w:r>
      <w:r w:rsidRPr="00D43281">
        <w:rPr>
          <w:rFonts w:ascii="Times New Roman" w:hAnsi="Times New Roman" w:cs="Times New Roman"/>
          <w:color w:val="000000" w:themeColor="text1"/>
          <w:sz w:val="24"/>
          <w:szCs w:val="24"/>
          <w:lang w:val="ru-RU"/>
        </w:rPr>
        <w:t>величина M составляет 1 год</w:t>
      </w:r>
      <w:r w:rsidR="00F24F7F" w:rsidRPr="00D43281">
        <w:rPr>
          <w:rFonts w:ascii="Times New Roman" w:hAnsi="Times New Roman" w:cs="Times New Roman"/>
          <w:color w:val="000000" w:themeColor="text1"/>
          <w:sz w:val="24"/>
          <w:szCs w:val="24"/>
          <w:lang w:val="ru-RU"/>
        </w:rPr>
        <w:t>.</w:t>
      </w:r>
      <w:r w:rsidR="00F24F7F" w:rsidRPr="00D43281">
        <w:rPr>
          <w:rFonts w:ascii="Times New Roman" w:hAnsi="Times New Roman" w:cs="Times New Roman"/>
          <w:color w:val="000000" w:themeColor="text1"/>
          <w:sz w:val="24"/>
          <w:szCs w:val="24"/>
          <w:highlight w:val="lightGray"/>
          <w:lang w:val="ru-RU"/>
        </w:rPr>
        <w:t xml:space="preserve"> </w:t>
      </w:r>
    </w:p>
    <w:p w14:paraId="665B8478" w14:textId="5180A155" w:rsidR="006B07B9" w:rsidRPr="00D43281" w:rsidRDefault="00F24F7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84" w:name="_Ref215061732"/>
      <w:r w:rsidRPr="00D43281">
        <w:rPr>
          <w:rFonts w:ascii="Times New Roman" w:hAnsi="Times New Roman" w:cs="Times New Roman"/>
          <w:color w:val="000000" w:themeColor="text1"/>
          <w:sz w:val="24"/>
          <w:szCs w:val="24"/>
          <w:lang w:val="ru-MD"/>
        </w:rPr>
        <w:t xml:space="preserve"> </w:t>
      </w:r>
      <w:bookmarkStart w:id="85" w:name="_Ref215221235"/>
      <w:r w:rsidR="007E3C33" w:rsidRPr="00D43281">
        <w:rPr>
          <w:rFonts w:ascii="Times New Roman" w:hAnsi="Times New Roman" w:cs="Times New Roman"/>
          <w:color w:val="000000" w:themeColor="text1"/>
          <w:sz w:val="24"/>
          <w:szCs w:val="24"/>
          <w:lang w:val="ru-MD"/>
        </w:rPr>
        <w:t>Национальный банк Молдовы освобождает банк от расчета и учета взвешенных по риску сумм подверженностей для риска снижения стоимости требований по определенному типу подверженностей, вызванного приобретенными требованиями к обществам или розничными требованиями, если банк доказал, к удовлетворению Национального банка Молдовы, что риск снижения стоимости для данного банка является незначительным для данного вида подверженностей</w:t>
      </w:r>
      <w:r w:rsidRPr="00D43281">
        <w:rPr>
          <w:rFonts w:ascii="Times New Roman" w:hAnsi="Times New Roman" w:cs="Times New Roman"/>
          <w:color w:val="000000" w:themeColor="text1"/>
          <w:sz w:val="24"/>
          <w:szCs w:val="24"/>
          <w:lang w:val="ru-MD"/>
        </w:rPr>
        <w:t>.</w:t>
      </w:r>
      <w:bookmarkEnd w:id="84"/>
      <w:bookmarkEnd w:id="85"/>
    </w:p>
    <w:p w14:paraId="6822EB29" w14:textId="52BE5A99" w:rsidR="006B07B9" w:rsidRPr="00D43281" w:rsidRDefault="007E3C33" w:rsidP="006B07B9">
      <w:pPr>
        <w:pStyle w:val="ListParagraph"/>
        <w:shd w:val="clear" w:color="auto" w:fill="FFFFFF"/>
        <w:tabs>
          <w:tab w:val="left" w:pos="0"/>
          <w:tab w:val="left" w:pos="567"/>
        </w:tabs>
        <w:spacing w:before="120" w:after="0" w:line="240" w:lineRule="auto"/>
        <w:ind w:left="0"/>
        <w:contextualSpacing w:val="0"/>
        <w:jc w:val="center"/>
        <w:rPr>
          <w:sz w:val="24"/>
          <w:szCs w:val="24"/>
          <w:lang w:val="ru-MD"/>
        </w:rPr>
      </w:pPr>
      <w:r w:rsidRPr="00D43281">
        <w:rPr>
          <w:rFonts w:ascii="Times New Roman" w:hAnsi="Times New Roman" w:cs="Times New Roman"/>
          <w:b/>
          <w:bCs/>
          <w:i/>
          <w:iCs/>
          <w:color w:val="000000" w:themeColor="text1"/>
          <w:sz w:val="24"/>
          <w:szCs w:val="24"/>
          <w:lang w:val="ru-MD"/>
        </w:rPr>
        <w:t>Часть</w:t>
      </w:r>
      <w:r w:rsidR="006B07B9" w:rsidRPr="00D43281">
        <w:rPr>
          <w:rFonts w:ascii="Times New Roman" w:hAnsi="Times New Roman" w:cs="Times New Roman"/>
          <w:b/>
          <w:bCs/>
          <w:i/>
          <w:iCs/>
          <w:color w:val="000000" w:themeColor="text1"/>
          <w:sz w:val="24"/>
          <w:szCs w:val="24"/>
          <w:lang w:val="ru-MD"/>
        </w:rPr>
        <w:t xml:space="preserve"> 4</w:t>
      </w:r>
    </w:p>
    <w:p w14:paraId="24E369CA" w14:textId="77777777" w:rsidR="009D21D1" w:rsidRPr="00D43281" w:rsidRDefault="009D21D1" w:rsidP="00D15424">
      <w:pPr>
        <w:shd w:val="clear" w:color="auto" w:fill="FFFFFF"/>
        <w:tabs>
          <w:tab w:val="left" w:pos="0"/>
          <w:tab w:val="left" w:pos="567"/>
        </w:tabs>
        <w:spacing w:before="120" w:after="0" w:line="240" w:lineRule="auto"/>
        <w:jc w:val="center"/>
        <w:rPr>
          <w:rFonts w:ascii="Times New Roman" w:hAnsi="Times New Roman" w:cs="Times New Roman"/>
          <w:b/>
          <w:bCs/>
          <w:i/>
          <w:iCs/>
          <w:color w:val="000000" w:themeColor="text1"/>
          <w:sz w:val="24"/>
          <w:szCs w:val="24"/>
          <w:lang w:val="ru-MD"/>
        </w:rPr>
      </w:pPr>
      <w:r w:rsidRPr="00D43281">
        <w:rPr>
          <w:rFonts w:ascii="Times New Roman" w:hAnsi="Times New Roman" w:cs="Times New Roman"/>
          <w:b/>
          <w:bCs/>
          <w:i/>
          <w:iCs/>
          <w:color w:val="000000" w:themeColor="text1"/>
          <w:sz w:val="24"/>
          <w:szCs w:val="24"/>
          <w:lang w:val="ru-MD"/>
        </w:rPr>
        <w:t>Ожидаемые суммы убытков</w:t>
      </w:r>
    </w:p>
    <w:p w14:paraId="3B8850E2" w14:textId="1E3064AF" w:rsidR="00D15424" w:rsidRPr="00D43281" w:rsidRDefault="009D21D1" w:rsidP="00D15424">
      <w:pPr>
        <w:shd w:val="clear" w:color="auto" w:fill="FFFFFF"/>
        <w:tabs>
          <w:tab w:val="left" w:pos="0"/>
          <w:tab w:val="left" w:pos="567"/>
        </w:tabs>
        <w:spacing w:before="120" w:after="0" w:line="240" w:lineRule="auto"/>
        <w:jc w:val="center"/>
        <w:rPr>
          <w:rFonts w:ascii="Times New Roman" w:hAnsi="Times New Roman" w:cs="Times New Roman"/>
          <w:b/>
          <w:bCs/>
          <w:i/>
          <w:iCs/>
          <w:color w:val="000000" w:themeColor="text1"/>
          <w:sz w:val="24"/>
          <w:szCs w:val="24"/>
          <w:lang w:val="ru-MD"/>
        </w:rPr>
      </w:pPr>
      <w:r w:rsidRPr="00D43281">
        <w:rPr>
          <w:rFonts w:ascii="Times New Roman" w:hAnsi="Times New Roman" w:cs="Times New Roman"/>
          <w:b/>
          <w:bCs/>
          <w:i/>
          <w:iCs/>
          <w:color w:val="000000" w:themeColor="text1"/>
          <w:sz w:val="24"/>
          <w:szCs w:val="24"/>
          <w:lang w:val="ru-MD"/>
        </w:rPr>
        <w:t xml:space="preserve">Подчасть </w:t>
      </w:r>
      <w:r w:rsidR="00D15424" w:rsidRPr="00D43281">
        <w:rPr>
          <w:rFonts w:ascii="Times New Roman" w:hAnsi="Times New Roman" w:cs="Times New Roman"/>
          <w:b/>
          <w:bCs/>
          <w:i/>
          <w:iCs/>
          <w:color w:val="000000" w:themeColor="text1"/>
          <w:sz w:val="24"/>
          <w:szCs w:val="24"/>
          <w:lang w:val="ru-MD"/>
        </w:rPr>
        <w:t>1</w:t>
      </w:r>
    </w:p>
    <w:p w14:paraId="77FE6646" w14:textId="084581E2" w:rsidR="00D15424" w:rsidRPr="00D43281" w:rsidRDefault="00AA0142" w:rsidP="00BD2230">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color w:val="000000" w:themeColor="text1"/>
          <w:sz w:val="24"/>
          <w:szCs w:val="24"/>
          <w:lang w:val="ro-RO"/>
        </w:rPr>
      </w:pPr>
      <w:r w:rsidRPr="00D43281">
        <w:rPr>
          <w:rFonts w:ascii="Times New Roman" w:hAnsi="Times New Roman" w:cs="Times New Roman"/>
          <w:b/>
          <w:bCs/>
          <w:i/>
          <w:iCs/>
          <w:color w:val="000000" w:themeColor="text1"/>
          <w:sz w:val="24"/>
          <w:szCs w:val="24"/>
          <w:lang w:val="ru-RU"/>
        </w:rPr>
        <w:t>Учет по типу подверженности</w:t>
      </w:r>
    </w:p>
    <w:p w14:paraId="17E0639E" w14:textId="4EBA1F55" w:rsidR="00FC5DF5" w:rsidRPr="00D43281" w:rsidRDefault="00621127"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86" w:name="_Ref215086495"/>
      <w:r w:rsidRPr="00D43281">
        <w:rPr>
          <w:rFonts w:ascii="Times New Roman" w:hAnsi="Times New Roman" w:cs="Times New Roman"/>
          <w:color w:val="000000" w:themeColor="text1"/>
          <w:sz w:val="24"/>
          <w:szCs w:val="24"/>
          <w:lang w:val="ru-RU"/>
        </w:rPr>
        <w:t>Расчет сумм ожидаемых убытков основывается на тех же исходных значениях PD и LGD, а также на том же значении подверженности для каждой подверженности, что и те, которые используются для расчета взвешенных по риску сумм подверженностей в соответствии с пунктами 48–58</w:t>
      </w:r>
      <w:r w:rsidR="00FC5DF5" w:rsidRPr="00D43281">
        <w:rPr>
          <w:rFonts w:ascii="Times New Roman" w:hAnsi="Times New Roman" w:cs="Times New Roman"/>
          <w:color w:val="000000" w:themeColor="text1"/>
          <w:sz w:val="24"/>
          <w:szCs w:val="24"/>
          <w:lang w:val="ru-RU"/>
        </w:rPr>
        <w:t>.</w:t>
      </w:r>
      <w:bookmarkEnd w:id="86"/>
    </w:p>
    <w:p w14:paraId="165A6C2F" w14:textId="5550EE79" w:rsidR="00FC5DF5" w:rsidRPr="00D43281" w:rsidRDefault="00907352"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Суммы ожидаемых убытков по подверженностям из секьюритизации, рассчитываются в соответствии с нормативными актами Национального банка Молдовы, касающимися пруденциального регулирования секьюритизации</w:t>
      </w:r>
      <w:r w:rsidR="00FC5DF5" w:rsidRPr="00D43281">
        <w:rPr>
          <w:rFonts w:ascii="Times New Roman" w:hAnsi="Times New Roman" w:cs="Times New Roman"/>
          <w:color w:val="000000" w:themeColor="text1"/>
          <w:sz w:val="24"/>
          <w:szCs w:val="24"/>
          <w:lang w:val="ru-RU"/>
        </w:rPr>
        <w:t>.</w:t>
      </w:r>
    </w:p>
    <w:p w14:paraId="7CBDFC01" w14:textId="7C0A59A3" w:rsidR="00907352" w:rsidRPr="00D43281" w:rsidRDefault="00907352"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Сумма ожидаемых убытков равна нулю для </w:t>
      </w:r>
      <w:r w:rsidR="00735964" w:rsidRPr="00D43281">
        <w:rPr>
          <w:rFonts w:ascii="Times New Roman" w:hAnsi="Times New Roman" w:cs="Times New Roman"/>
          <w:color w:val="000000" w:themeColor="text1"/>
          <w:sz w:val="24"/>
          <w:szCs w:val="24"/>
          <w:lang w:val="ru-RU"/>
        </w:rPr>
        <w:t>подверженностей</w:t>
      </w:r>
      <w:r w:rsidRPr="00D43281">
        <w:rPr>
          <w:rFonts w:ascii="Times New Roman" w:hAnsi="Times New Roman" w:cs="Times New Roman"/>
          <w:color w:val="000000" w:themeColor="text1"/>
          <w:sz w:val="24"/>
          <w:szCs w:val="24"/>
          <w:lang w:val="ru-RU"/>
        </w:rPr>
        <w:t xml:space="preserve">, отнесенных к классу </w:t>
      </w:r>
      <w:r w:rsidR="00735964" w:rsidRPr="00D43281">
        <w:rPr>
          <w:rFonts w:ascii="Times New Roman" w:hAnsi="Times New Roman" w:cs="Times New Roman"/>
          <w:color w:val="000000" w:themeColor="text1"/>
          <w:sz w:val="24"/>
          <w:szCs w:val="24"/>
          <w:lang w:val="ru-RU"/>
        </w:rPr>
        <w:t xml:space="preserve">подверженностей </w:t>
      </w:r>
      <w:r w:rsidRPr="00D43281">
        <w:rPr>
          <w:rFonts w:ascii="Times New Roman" w:hAnsi="Times New Roman" w:cs="Times New Roman"/>
          <w:color w:val="000000" w:themeColor="text1"/>
          <w:sz w:val="24"/>
          <w:szCs w:val="24"/>
          <w:lang w:val="ru-RU"/>
        </w:rPr>
        <w:t>«</w:t>
      </w:r>
      <w:r w:rsidR="00250B22" w:rsidRPr="00D43281">
        <w:rPr>
          <w:rFonts w:ascii="Times New Roman" w:hAnsi="Times New Roman" w:cs="Times New Roman"/>
          <w:color w:val="000000" w:themeColor="text1"/>
          <w:sz w:val="24"/>
          <w:szCs w:val="24"/>
          <w:lang w:val="ru-RU"/>
        </w:rPr>
        <w:t>активы, за исключением тех, которые представляют собой кредитные требования</w:t>
      </w:r>
      <w:r w:rsidRPr="00D43281">
        <w:rPr>
          <w:rFonts w:ascii="Times New Roman" w:hAnsi="Times New Roman" w:cs="Times New Roman"/>
          <w:color w:val="000000" w:themeColor="text1"/>
          <w:sz w:val="24"/>
          <w:szCs w:val="24"/>
          <w:lang w:val="ru-RU"/>
        </w:rPr>
        <w:t>», упомянутому в подпункте 19.9</w:t>
      </w:r>
      <w:r w:rsidR="00250B22" w:rsidRPr="00D43281">
        <w:rPr>
          <w:rFonts w:ascii="Times New Roman" w:hAnsi="Times New Roman" w:cs="Times New Roman"/>
          <w:color w:val="000000" w:themeColor="text1"/>
          <w:sz w:val="24"/>
          <w:szCs w:val="24"/>
          <w:lang w:val="ru-RU"/>
        </w:rPr>
        <w:t xml:space="preserve"> пункта 19.</w:t>
      </w:r>
    </w:p>
    <w:p w14:paraId="29B52993" w14:textId="1CD975B2" w:rsidR="00FC5DF5" w:rsidRPr="00D43281" w:rsidRDefault="005B04F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87" w:name="_Ref215086502"/>
      <w:r w:rsidRPr="00D43281">
        <w:rPr>
          <w:rFonts w:ascii="Times New Roman" w:hAnsi="Times New Roman" w:cs="Times New Roman"/>
          <w:color w:val="000000" w:themeColor="text1"/>
          <w:sz w:val="24"/>
          <w:szCs w:val="24"/>
          <w:lang w:val="ru-RU"/>
        </w:rPr>
        <w:t>Суммы ожидаемых убытков по подверженностям в виде акций или единиц ОКИ, упомянутых в пунктах 59–70, рассчитываются в соответствии с методами, предусмотренными в настоящей части</w:t>
      </w:r>
      <w:r w:rsidR="00FC5DF5" w:rsidRPr="00D43281">
        <w:rPr>
          <w:rFonts w:ascii="Times New Roman" w:hAnsi="Times New Roman" w:cs="Times New Roman"/>
          <w:color w:val="000000" w:themeColor="text1"/>
          <w:sz w:val="24"/>
          <w:szCs w:val="24"/>
          <w:lang w:val="ru-RU"/>
        </w:rPr>
        <w:t>.</w:t>
      </w:r>
      <w:bookmarkEnd w:id="87"/>
    </w:p>
    <w:p w14:paraId="2608A307" w14:textId="4F14045C" w:rsidR="00FC5DF5" w:rsidRPr="00D43281" w:rsidRDefault="00920DF2"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88" w:name="_Ref215086356"/>
      <w:r w:rsidRPr="00D43281">
        <w:rPr>
          <w:rFonts w:ascii="Times New Roman" w:hAnsi="Times New Roman" w:cs="Times New Roman"/>
          <w:color w:val="000000" w:themeColor="text1"/>
          <w:sz w:val="24"/>
          <w:szCs w:val="24"/>
          <w:lang w:val="ru-RU"/>
        </w:rPr>
        <w:t>Ожидаемый убыток (EL) и суммы ожидаемых убытков по подверженностям перед обществами, банками, центральными администрациями и центральными банками, региональными администрациями, местными органами и организациями публичного сектора, а также по розничным подверженностям рассчитываются по следующим формулам</w:t>
      </w:r>
      <w:r w:rsidR="00FC5DF5" w:rsidRPr="00D43281">
        <w:rPr>
          <w:rFonts w:ascii="Times New Roman" w:hAnsi="Times New Roman" w:cs="Times New Roman"/>
          <w:color w:val="000000" w:themeColor="text1"/>
          <w:sz w:val="24"/>
          <w:szCs w:val="24"/>
          <w:lang w:val="ru-RU"/>
        </w:rPr>
        <w:t>:</w:t>
      </w:r>
      <w:bookmarkEnd w:id="88"/>
    </w:p>
    <w:p w14:paraId="560F90F1" w14:textId="3F18DABA" w:rsidR="00FC5DF5" w:rsidRPr="00D43281" w:rsidRDefault="00920DF2" w:rsidP="00E0734D">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i/>
          <w:iCs/>
          <w:color w:val="000000" w:themeColor="text1"/>
          <w:sz w:val="24"/>
          <w:szCs w:val="24"/>
          <w:lang w:val="ru-RU"/>
        </w:rPr>
        <w:lastRenderedPageBreak/>
        <w:t xml:space="preserve">Ожидаемый убыток </w:t>
      </w:r>
      <w:r w:rsidR="00FC5DF5" w:rsidRPr="00D43281">
        <w:rPr>
          <w:rFonts w:ascii="Times New Roman" w:hAnsi="Times New Roman" w:cs="Times New Roman"/>
          <w:i/>
          <w:iCs/>
          <w:color w:val="000000" w:themeColor="text1"/>
          <w:sz w:val="24"/>
          <w:szCs w:val="24"/>
          <w:lang w:val="ru-RU"/>
        </w:rPr>
        <w:t>(EL)</w:t>
      </w:r>
      <w:r w:rsidR="00FC5DF5" w:rsidRPr="00D43281">
        <w:rPr>
          <w:rFonts w:ascii="Times New Roman" w:hAnsi="Times New Roman" w:cs="Times New Roman"/>
          <w:color w:val="000000" w:themeColor="text1"/>
          <w:sz w:val="24"/>
          <w:szCs w:val="24"/>
          <w:lang w:val="ru-RU"/>
        </w:rPr>
        <w:t xml:space="preserve"> = PD </w:t>
      </w:r>
      <w:r w:rsidR="00EB5857" w:rsidRPr="00D43281">
        <w:rPr>
          <w:rFonts w:ascii="Times New Roman" w:hAnsi="Times New Roman" w:cs="Times New Roman"/>
          <w:color w:val="000000" w:themeColor="text1"/>
          <w:sz w:val="24"/>
          <w:szCs w:val="24"/>
          <w:lang w:val="ru-RU"/>
        </w:rPr>
        <w:t>∙</w:t>
      </w:r>
      <w:r w:rsidR="00FC5DF5" w:rsidRPr="00D43281">
        <w:rPr>
          <w:rFonts w:ascii="Times New Roman" w:hAnsi="Times New Roman" w:cs="Times New Roman"/>
          <w:color w:val="000000" w:themeColor="text1"/>
          <w:sz w:val="24"/>
          <w:szCs w:val="24"/>
          <w:lang w:val="ru-RU"/>
        </w:rPr>
        <w:t xml:space="preserve"> LGD</w:t>
      </w:r>
      <w:r w:rsidR="006C7C84" w:rsidRPr="00D43281">
        <w:rPr>
          <w:rFonts w:ascii="Times New Roman" w:hAnsi="Times New Roman" w:cs="Times New Roman"/>
          <w:color w:val="000000" w:themeColor="text1"/>
          <w:sz w:val="24"/>
          <w:szCs w:val="24"/>
          <w:lang w:val="ru-RU"/>
        </w:rPr>
        <w:t>;</w:t>
      </w:r>
    </w:p>
    <w:p w14:paraId="2E384B83" w14:textId="5E95201A" w:rsidR="00FC5DF5" w:rsidRPr="00D43281" w:rsidRDefault="002C6F84" w:rsidP="00E0734D">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i/>
          <w:iCs/>
          <w:color w:val="000000" w:themeColor="text1"/>
          <w:sz w:val="24"/>
          <w:szCs w:val="24"/>
          <w:lang w:val="ru-RU"/>
        </w:rPr>
        <w:t>Сумма ожидаемого убытка = EL, умноженная на величину подверженности</w:t>
      </w:r>
      <w:r w:rsidR="00FC5DF5" w:rsidRPr="00D43281">
        <w:rPr>
          <w:rFonts w:ascii="Times New Roman" w:hAnsi="Times New Roman" w:cs="Times New Roman"/>
          <w:color w:val="000000" w:themeColor="text1"/>
          <w:sz w:val="24"/>
          <w:szCs w:val="24"/>
          <w:lang w:val="ru-RU"/>
        </w:rPr>
        <w:t>.</w:t>
      </w:r>
    </w:p>
    <w:p w14:paraId="15762E61" w14:textId="7C6D61B4" w:rsidR="00FC5DF5" w:rsidRPr="00D43281" w:rsidRDefault="00CE70F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89" w:name="_Ref215221320"/>
      <w:r w:rsidRPr="00D43281">
        <w:rPr>
          <w:rFonts w:ascii="Times New Roman" w:hAnsi="Times New Roman" w:cs="Times New Roman"/>
          <w:color w:val="000000" w:themeColor="text1"/>
          <w:sz w:val="24"/>
          <w:szCs w:val="24"/>
          <w:lang w:val="ru-RU"/>
        </w:rPr>
        <w:t>Для подверженностей в состоянии невозврата (PD = 100%), если банки используют собственные оценки LGD, EL равна ELBE, то есть наилучшей оценке банка в отношении ожидаемого убытка по подверженности в состоянии невозврата в соответствии с подпунктом 20</w:t>
      </w:r>
      <w:r w:rsidR="00557019" w:rsidRPr="00BB1E28">
        <w:rPr>
          <w:rFonts w:ascii="Times New Roman" w:hAnsi="Times New Roman" w:cs="Times New Roman"/>
          <w:color w:val="000000" w:themeColor="text1"/>
          <w:sz w:val="24"/>
          <w:szCs w:val="24"/>
          <w:lang w:val="ru-RU"/>
        </w:rPr>
        <w:t>2.9</w:t>
      </w:r>
      <w:r w:rsidR="00FC5DF5" w:rsidRPr="00D43281">
        <w:rPr>
          <w:rFonts w:ascii="Times New Roman" w:hAnsi="Times New Roman" w:cs="Times New Roman"/>
          <w:color w:val="000000" w:themeColor="text1"/>
          <w:sz w:val="24"/>
          <w:szCs w:val="24"/>
          <w:lang w:val="ru-RU"/>
        </w:rPr>
        <w:t>.</w:t>
      </w:r>
      <w:bookmarkEnd w:id="89"/>
    </w:p>
    <w:p w14:paraId="5F24AF97" w14:textId="77777777" w:rsidR="00087A4D" w:rsidRPr="00D43281" w:rsidRDefault="00CE70FD" w:rsidP="00FA47FC">
      <w:pPr>
        <w:pStyle w:val="ListParagraph"/>
        <w:numPr>
          <w:ilvl w:val="0"/>
          <w:numId w:val="2"/>
        </w:numPr>
        <w:shd w:val="clear" w:color="auto" w:fill="FFFFFF"/>
        <w:tabs>
          <w:tab w:val="left" w:pos="0"/>
          <w:tab w:val="left" w:pos="567"/>
        </w:tabs>
        <w:spacing w:before="60" w:after="120" w:line="240" w:lineRule="auto"/>
        <w:ind w:firstLine="567"/>
        <w:contextualSpacing w:val="0"/>
        <w:jc w:val="both"/>
        <w:rPr>
          <w:rFonts w:ascii="Times New Roman" w:hAnsi="Times New Roman" w:cs="Times New Roman"/>
          <w:i/>
          <w:iCs/>
          <w:color w:val="000000" w:themeColor="text1"/>
          <w:sz w:val="24"/>
          <w:szCs w:val="24"/>
          <w:lang w:val="ru-RU"/>
        </w:rPr>
      </w:pPr>
      <w:bookmarkStart w:id="90" w:name="_Ref215086365"/>
      <w:r w:rsidRPr="00D43281">
        <w:rPr>
          <w:rFonts w:ascii="Times New Roman" w:hAnsi="Times New Roman" w:cs="Times New Roman"/>
          <w:color w:val="000000" w:themeColor="text1"/>
          <w:sz w:val="24"/>
          <w:szCs w:val="24"/>
          <w:lang w:val="ru-RU"/>
        </w:rPr>
        <w:t xml:space="preserve">Для подверженностей из специализированного финансирования, </w:t>
      </w:r>
      <w:bookmarkEnd w:id="90"/>
      <w:r w:rsidR="00087A4D" w:rsidRPr="00D43281">
        <w:rPr>
          <w:rFonts w:ascii="Times New Roman" w:hAnsi="Times New Roman" w:cs="Times New Roman"/>
          <w:color w:val="000000" w:themeColor="text1"/>
          <w:sz w:val="24"/>
          <w:szCs w:val="24"/>
          <w:lang w:val="ru-RU"/>
        </w:rPr>
        <w:t>в случае если банки используют методы, предусмотренные в пунктах 75–76 для присвоения весовых коэффициентов риска, величины ожидаемых убытков распределяются в соответствии с таблицей № 2.</w:t>
      </w:r>
    </w:p>
    <w:p w14:paraId="239E4B94" w14:textId="19D36DB6" w:rsidR="00FC5DF5" w:rsidRPr="00D43281" w:rsidRDefault="00767722" w:rsidP="00087A4D">
      <w:pPr>
        <w:pStyle w:val="ListParagraph"/>
        <w:shd w:val="clear" w:color="auto" w:fill="FFFFFF"/>
        <w:tabs>
          <w:tab w:val="left" w:pos="0"/>
          <w:tab w:val="left" w:pos="567"/>
        </w:tabs>
        <w:spacing w:before="60" w:after="120" w:line="240" w:lineRule="auto"/>
        <w:ind w:left="567"/>
        <w:contextualSpacing w:val="0"/>
        <w:jc w:val="right"/>
        <w:rPr>
          <w:rFonts w:ascii="Times New Roman" w:hAnsi="Times New Roman" w:cs="Times New Roman"/>
          <w:i/>
          <w:iCs/>
          <w:color w:val="000000" w:themeColor="text1"/>
          <w:sz w:val="24"/>
          <w:szCs w:val="24"/>
          <w:lang w:val="ru-RU"/>
        </w:rPr>
      </w:pPr>
      <w:r w:rsidRPr="00D43281">
        <w:rPr>
          <w:rFonts w:ascii="Times New Roman" w:hAnsi="Times New Roman" w:cs="Times New Roman"/>
          <w:i/>
          <w:iCs/>
          <w:color w:val="000000" w:themeColor="text1"/>
          <w:sz w:val="24"/>
          <w:szCs w:val="24"/>
          <w:lang w:val="ru-RU"/>
        </w:rPr>
        <w:t xml:space="preserve">Таблица № </w:t>
      </w:r>
      <w:r w:rsidR="00FC5DF5" w:rsidRPr="00D43281">
        <w:rPr>
          <w:rFonts w:ascii="Times New Roman" w:hAnsi="Times New Roman" w:cs="Times New Roman"/>
          <w:i/>
          <w:iCs/>
          <w:color w:val="000000" w:themeColor="text1"/>
          <w:sz w:val="24"/>
          <w:szCs w:val="24"/>
          <w:lang w:val="ru-RU"/>
        </w:rPr>
        <w:t>2</w:t>
      </w:r>
    </w:p>
    <w:tbl>
      <w:tblPr>
        <w:tblStyle w:val="TableGrid"/>
        <w:tblW w:w="0" w:type="auto"/>
        <w:jc w:val="center"/>
        <w:tblLook w:val="04A0" w:firstRow="1" w:lastRow="0" w:firstColumn="1" w:lastColumn="0" w:noHBand="0" w:noVBand="1"/>
      </w:tblPr>
      <w:tblGrid>
        <w:gridCol w:w="1985"/>
        <w:gridCol w:w="1418"/>
        <w:gridCol w:w="1417"/>
        <w:gridCol w:w="1418"/>
        <w:gridCol w:w="1417"/>
        <w:gridCol w:w="1560"/>
      </w:tblGrid>
      <w:tr w:rsidR="00D70DDF" w:rsidRPr="00D43281" w14:paraId="623910A9" w14:textId="77777777" w:rsidTr="008A0646">
        <w:trPr>
          <w:jc w:val="center"/>
        </w:trPr>
        <w:tc>
          <w:tcPr>
            <w:tcW w:w="1985" w:type="dxa"/>
            <w:vAlign w:val="center"/>
          </w:tcPr>
          <w:p w14:paraId="0121923B" w14:textId="3106F053" w:rsidR="00D70DDF" w:rsidRPr="00D43281" w:rsidRDefault="00D70DDF" w:rsidP="00D70DDF">
            <w:pPr>
              <w:pStyle w:val="ListParagraph"/>
              <w:ind w:left="0"/>
              <w:contextualSpacing w:val="0"/>
              <w:rPr>
                <w:rFonts w:ascii="Times New Roman" w:eastAsiaTheme="minorEastAsia" w:hAnsi="Times New Roman" w:cs="Times New Roman"/>
                <w:b/>
                <w:bCs/>
                <w:sz w:val="24"/>
                <w:szCs w:val="24"/>
                <w:lang w:val="ro-RO"/>
              </w:rPr>
            </w:pPr>
            <w:r w:rsidRPr="00D43281">
              <w:rPr>
                <w:rFonts w:ascii="Times New Roman" w:eastAsiaTheme="minorEastAsia" w:hAnsi="Times New Roman" w:cs="Times New Roman"/>
                <w:b/>
                <w:bCs/>
                <w:sz w:val="24"/>
                <w:szCs w:val="24"/>
                <w:lang w:val="ru-RU"/>
              </w:rPr>
              <w:t>Оставшийся срок</w:t>
            </w:r>
          </w:p>
        </w:tc>
        <w:tc>
          <w:tcPr>
            <w:tcW w:w="1418" w:type="dxa"/>
            <w:vAlign w:val="center"/>
          </w:tcPr>
          <w:p w14:paraId="7FF3907C" w14:textId="60FAA108" w:rsidR="00D70DDF" w:rsidRPr="00D43281" w:rsidRDefault="00D70DDF" w:rsidP="00D70DDF">
            <w:pPr>
              <w:pStyle w:val="ListParagraph"/>
              <w:spacing w:before="120" w:after="120"/>
              <w:ind w:left="0"/>
              <w:contextualSpacing w:val="0"/>
              <w:jc w:val="center"/>
              <w:rPr>
                <w:rFonts w:ascii="Times New Roman" w:eastAsiaTheme="minorEastAsia" w:hAnsi="Times New Roman" w:cs="Times New Roman"/>
                <w:b/>
                <w:bCs/>
                <w:sz w:val="24"/>
                <w:szCs w:val="24"/>
                <w:lang w:val="ro-RO"/>
              </w:rPr>
            </w:pPr>
            <w:r w:rsidRPr="00D43281">
              <w:rPr>
                <w:rFonts w:ascii="Times New Roman" w:eastAsiaTheme="minorEastAsia" w:hAnsi="Times New Roman" w:cs="Times New Roman"/>
                <w:b/>
                <w:bCs/>
                <w:sz w:val="24"/>
                <w:szCs w:val="24"/>
                <w:lang w:val="ru-RU"/>
              </w:rPr>
              <w:t>Категория</w:t>
            </w:r>
            <w:r w:rsidRPr="00D43281">
              <w:rPr>
                <w:rFonts w:ascii="Times New Roman" w:eastAsiaTheme="minorEastAsia" w:hAnsi="Times New Roman" w:cs="Times New Roman"/>
                <w:b/>
                <w:bCs/>
                <w:sz w:val="24"/>
                <w:szCs w:val="24"/>
                <w:lang w:val="ro-RO"/>
              </w:rPr>
              <w:t xml:space="preserve"> 1</w:t>
            </w:r>
          </w:p>
        </w:tc>
        <w:tc>
          <w:tcPr>
            <w:tcW w:w="1417" w:type="dxa"/>
            <w:vAlign w:val="center"/>
          </w:tcPr>
          <w:p w14:paraId="3DFAE7F3" w14:textId="53CD9DBF" w:rsidR="00D70DDF" w:rsidRPr="00D43281" w:rsidRDefault="00D70DDF" w:rsidP="00D70DDF">
            <w:pPr>
              <w:pStyle w:val="ListParagraph"/>
              <w:spacing w:before="120" w:after="120"/>
              <w:ind w:left="0"/>
              <w:contextualSpacing w:val="0"/>
              <w:jc w:val="center"/>
              <w:rPr>
                <w:rFonts w:ascii="Times New Roman" w:eastAsiaTheme="minorEastAsia" w:hAnsi="Times New Roman" w:cs="Times New Roman"/>
                <w:b/>
                <w:bCs/>
                <w:sz w:val="24"/>
                <w:szCs w:val="24"/>
                <w:lang w:val="ro-RO"/>
              </w:rPr>
            </w:pPr>
            <w:r w:rsidRPr="00D43281">
              <w:rPr>
                <w:rFonts w:ascii="Times New Roman" w:eastAsiaTheme="minorEastAsia" w:hAnsi="Times New Roman" w:cs="Times New Roman"/>
                <w:b/>
                <w:bCs/>
                <w:sz w:val="24"/>
                <w:szCs w:val="24"/>
                <w:lang w:val="ru-RU"/>
              </w:rPr>
              <w:t>Категория</w:t>
            </w:r>
            <w:r w:rsidRPr="00D43281">
              <w:rPr>
                <w:rFonts w:ascii="Times New Roman" w:eastAsiaTheme="minorEastAsia" w:hAnsi="Times New Roman" w:cs="Times New Roman"/>
                <w:b/>
                <w:bCs/>
                <w:sz w:val="24"/>
                <w:szCs w:val="24"/>
                <w:lang w:val="ro-RO"/>
              </w:rPr>
              <w:t xml:space="preserve"> 2</w:t>
            </w:r>
          </w:p>
        </w:tc>
        <w:tc>
          <w:tcPr>
            <w:tcW w:w="1418" w:type="dxa"/>
            <w:vAlign w:val="center"/>
          </w:tcPr>
          <w:p w14:paraId="5DA120E1" w14:textId="5C450A73" w:rsidR="00D70DDF" w:rsidRPr="00D43281" w:rsidRDefault="00D70DDF" w:rsidP="00D70DDF">
            <w:pPr>
              <w:pStyle w:val="ListParagraph"/>
              <w:spacing w:before="120" w:after="120"/>
              <w:ind w:left="0"/>
              <w:contextualSpacing w:val="0"/>
              <w:jc w:val="center"/>
              <w:rPr>
                <w:rFonts w:ascii="Times New Roman" w:eastAsiaTheme="minorEastAsia" w:hAnsi="Times New Roman" w:cs="Times New Roman"/>
                <w:b/>
                <w:bCs/>
                <w:sz w:val="24"/>
                <w:szCs w:val="24"/>
                <w:lang w:val="ro-RO"/>
              </w:rPr>
            </w:pPr>
            <w:r w:rsidRPr="00D43281">
              <w:rPr>
                <w:rFonts w:ascii="Times New Roman" w:eastAsiaTheme="minorEastAsia" w:hAnsi="Times New Roman" w:cs="Times New Roman"/>
                <w:b/>
                <w:bCs/>
                <w:sz w:val="24"/>
                <w:szCs w:val="24"/>
                <w:lang w:val="ru-RU"/>
              </w:rPr>
              <w:t>Категория</w:t>
            </w:r>
            <w:r w:rsidRPr="00D43281">
              <w:rPr>
                <w:rFonts w:ascii="Times New Roman" w:eastAsiaTheme="minorEastAsia" w:hAnsi="Times New Roman" w:cs="Times New Roman"/>
                <w:b/>
                <w:bCs/>
                <w:sz w:val="24"/>
                <w:szCs w:val="24"/>
                <w:lang w:val="ro-RO"/>
              </w:rPr>
              <w:t xml:space="preserve"> </w:t>
            </w:r>
            <w:r w:rsidRPr="00D43281">
              <w:rPr>
                <w:rFonts w:ascii="Times New Roman" w:eastAsiaTheme="minorEastAsia" w:hAnsi="Times New Roman" w:cs="Times New Roman"/>
                <w:b/>
                <w:bCs/>
                <w:sz w:val="24"/>
                <w:szCs w:val="24"/>
                <w:lang w:val="ru-RU"/>
              </w:rPr>
              <w:t>3</w:t>
            </w:r>
          </w:p>
        </w:tc>
        <w:tc>
          <w:tcPr>
            <w:tcW w:w="1417" w:type="dxa"/>
            <w:vAlign w:val="center"/>
          </w:tcPr>
          <w:p w14:paraId="09773C25" w14:textId="4EEEE13D" w:rsidR="00D70DDF" w:rsidRPr="00D43281" w:rsidRDefault="00D70DDF" w:rsidP="00D70DDF">
            <w:pPr>
              <w:pStyle w:val="ListParagraph"/>
              <w:spacing w:before="120" w:after="120"/>
              <w:ind w:left="0"/>
              <w:contextualSpacing w:val="0"/>
              <w:jc w:val="center"/>
              <w:rPr>
                <w:rFonts w:ascii="Times New Roman" w:eastAsiaTheme="minorEastAsia" w:hAnsi="Times New Roman" w:cs="Times New Roman"/>
                <w:b/>
                <w:bCs/>
                <w:sz w:val="24"/>
                <w:szCs w:val="24"/>
                <w:lang w:val="ro-RO"/>
              </w:rPr>
            </w:pPr>
            <w:r w:rsidRPr="00D43281">
              <w:rPr>
                <w:rFonts w:ascii="Times New Roman" w:eastAsiaTheme="minorEastAsia" w:hAnsi="Times New Roman" w:cs="Times New Roman"/>
                <w:b/>
                <w:bCs/>
                <w:sz w:val="24"/>
                <w:szCs w:val="24"/>
                <w:lang w:val="ru-RU"/>
              </w:rPr>
              <w:t>Категория</w:t>
            </w:r>
            <w:r w:rsidRPr="00D43281">
              <w:rPr>
                <w:rFonts w:ascii="Times New Roman" w:eastAsiaTheme="minorEastAsia" w:hAnsi="Times New Roman" w:cs="Times New Roman"/>
                <w:b/>
                <w:bCs/>
                <w:sz w:val="24"/>
                <w:szCs w:val="24"/>
                <w:lang w:val="ro-RO"/>
              </w:rPr>
              <w:t xml:space="preserve"> 4</w:t>
            </w:r>
          </w:p>
        </w:tc>
        <w:tc>
          <w:tcPr>
            <w:tcW w:w="1560" w:type="dxa"/>
            <w:vAlign w:val="center"/>
          </w:tcPr>
          <w:p w14:paraId="3E4B1A34" w14:textId="6C80689D" w:rsidR="00D70DDF" w:rsidRPr="00D43281" w:rsidRDefault="00D70DDF" w:rsidP="00D70DDF">
            <w:pPr>
              <w:pStyle w:val="ListParagraph"/>
              <w:spacing w:before="120" w:after="120"/>
              <w:ind w:left="0"/>
              <w:contextualSpacing w:val="0"/>
              <w:rPr>
                <w:rFonts w:ascii="Times New Roman" w:eastAsiaTheme="minorEastAsia" w:hAnsi="Times New Roman" w:cs="Times New Roman"/>
                <w:b/>
                <w:bCs/>
                <w:sz w:val="24"/>
                <w:szCs w:val="24"/>
                <w:lang w:val="ro-RO"/>
              </w:rPr>
            </w:pPr>
            <w:r w:rsidRPr="00D43281">
              <w:rPr>
                <w:rFonts w:ascii="Times New Roman" w:eastAsiaTheme="minorEastAsia" w:hAnsi="Times New Roman" w:cs="Times New Roman"/>
                <w:b/>
                <w:bCs/>
                <w:sz w:val="24"/>
                <w:szCs w:val="24"/>
                <w:lang w:val="ru-RU"/>
              </w:rPr>
              <w:t>Категория</w:t>
            </w:r>
            <w:r w:rsidRPr="00D43281">
              <w:rPr>
                <w:rFonts w:ascii="Times New Roman" w:eastAsiaTheme="minorEastAsia" w:hAnsi="Times New Roman" w:cs="Times New Roman"/>
                <w:b/>
                <w:bCs/>
                <w:sz w:val="24"/>
                <w:szCs w:val="24"/>
                <w:lang w:val="ro-RO"/>
              </w:rPr>
              <w:t xml:space="preserve"> 5</w:t>
            </w:r>
          </w:p>
        </w:tc>
      </w:tr>
      <w:tr w:rsidR="008A0646" w:rsidRPr="00D43281" w14:paraId="172FE8D9" w14:textId="77777777" w:rsidTr="008A0646">
        <w:trPr>
          <w:jc w:val="center"/>
        </w:trPr>
        <w:tc>
          <w:tcPr>
            <w:tcW w:w="1985" w:type="dxa"/>
            <w:vAlign w:val="center"/>
          </w:tcPr>
          <w:p w14:paraId="42410015" w14:textId="2DAF7C1F" w:rsidR="008A0646" w:rsidRPr="00D43281" w:rsidRDefault="00D70DDF" w:rsidP="008A0646">
            <w:pPr>
              <w:pStyle w:val="ListParagraph"/>
              <w:ind w:left="0"/>
              <w:contextualSpacing w:val="0"/>
              <w:rPr>
                <w:rFonts w:ascii="Times New Roman" w:eastAsiaTheme="minorEastAsia" w:hAnsi="Times New Roman" w:cs="Times New Roman"/>
                <w:sz w:val="24"/>
                <w:szCs w:val="24"/>
                <w:lang w:val="ru-RU"/>
              </w:rPr>
            </w:pPr>
            <w:r w:rsidRPr="00D43281">
              <w:rPr>
                <w:rFonts w:ascii="Times New Roman" w:eastAsiaTheme="minorEastAsia" w:hAnsi="Times New Roman" w:cs="Times New Roman"/>
                <w:sz w:val="24"/>
                <w:szCs w:val="24"/>
                <w:lang w:val="ru-RU"/>
              </w:rPr>
              <w:t>Менее 2,5 лет</w:t>
            </w:r>
          </w:p>
        </w:tc>
        <w:tc>
          <w:tcPr>
            <w:tcW w:w="1418" w:type="dxa"/>
            <w:vAlign w:val="center"/>
          </w:tcPr>
          <w:p w14:paraId="52ACF38E" w14:textId="0662BC83" w:rsidR="008A0646" w:rsidRPr="00D4328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0 %</w:t>
            </w:r>
          </w:p>
        </w:tc>
        <w:tc>
          <w:tcPr>
            <w:tcW w:w="1417" w:type="dxa"/>
            <w:vAlign w:val="center"/>
          </w:tcPr>
          <w:p w14:paraId="500864D4" w14:textId="6E39A0CB" w:rsidR="008A0646" w:rsidRPr="00D4328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0,4 %</w:t>
            </w:r>
          </w:p>
        </w:tc>
        <w:tc>
          <w:tcPr>
            <w:tcW w:w="1418" w:type="dxa"/>
            <w:vAlign w:val="center"/>
          </w:tcPr>
          <w:p w14:paraId="6D10F57A" w14:textId="33DA8941" w:rsidR="008A0646" w:rsidRPr="00D4328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2,8 %</w:t>
            </w:r>
          </w:p>
        </w:tc>
        <w:tc>
          <w:tcPr>
            <w:tcW w:w="1417" w:type="dxa"/>
            <w:vAlign w:val="center"/>
          </w:tcPr>
          <w:p w14:paraId="3EA628B4" w14:textId="61D03FAE" w:rsidR="008A0646" w:rsidRPr="00D4328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8 %</w:t>
            </w:r>
          </w:p>
        </w:tc>
        <w:tc>
          <w:tcPr>
            <w:tcW w:w="1560" w:type="dxa"/>
            <w:vAlign w:val="center"/>
          </w:tcPr>
          <w:p w14:paraId="07746413" w14:textId="0D27D17A" w:rsidR="008A0646" w:rsidRPr="00D4328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50 %</w:t>
            </w:r>
          </w:p>
        </w:tc>
      </w:tr>
      <w:tr w:rsidR="008A0646" w:rsidRPr="00D43281" w14:paraId="6286D8AC" w14:textId="77777777" w:rsidTr="008A0646">
        <w:trPr>
          <w:jc w:val="center"/>
        </w:trPr>
        <w:tc>
          <w:tcPr>
            <w:tcW w:w="1985" w:type="dxa"/>
            <w:vAlign w:val="center"/>
          </w:tcPr>
          <w:p w14:paraId="24048C4C" w14:textId="3AFA7087" w:rsidR="008A0646" w:rsidRPr="00D43281" w:rsidRDefault="00D70DDF" w:rsidP="008A0646">
            <w:pPr>
              <w:pStyle w:val="ListParagraph"/>
              <w:ind w:left="0"/>
              <w:contextualSpacing w:val="0"/>
              <w:rPr>
                <w:rFonts w:ascii="Times New Roman" w:eastAsiaTheme="minorEastAsia" w:hAnsi="Times New Roman" w:cs="Times New Roman"/>
                <w:sz w:val="24"/>
                <w:szCs w:val="24"/>
                <w:lang w:val="ru-RU"/>
              </w:rPr>
            </w:pPr>
            <w:r w:rsidRPr="00D43281">
              <w:rPr>
                <w:rFonts w:ascii="Times New Roman" w:eastAsiaTheme="minorEastAsia" w:hAnsi="Times New Roman" w:cs="Times New Roman"/>
                <w:sz w:val="24"/>
                <w:szCs w:val="24"/>
                <w:lang w:val="ru-RU"/>
              </w:rPr>
              <w:t>2,5 года или более</w:t>
            </w:r>
          </w:p>
        </w:tc>
        <w:tc>
          <w:tcPr>
            <w:tcW w:w="1418" w:type="dxa"/>
            <w:vAlign w:val="center"/>
          </w:tcPr>
          <w:p w14:paraId="5D8713AD" w14:textId="4B9BF1F0" w:rsidR="008A0646" w:rsidRPr="00D4328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0,4 %</w:t>
            </w:r>
          </w:p>
        </w:tc>
        <w:tc>
          <w:tcPr>
            <w:tcW w:w="1417" w:type="dxa"/>
            <w:vAlign w:val="center"/>
          </w:tcPr>
          <w:p w14:paraId="220ACC69" w14:textId="389D5C01" w:rsidR="008A0646" w:rsidRPr="00D4328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0,8 %</w:t>
            </w:r>
          </w:p>
        </w:tc>
        <w:tc>
          <w:tcPr>
            <w:tcW w:w="1418" w:type="dxa"/>
            <w:vAlign w:val="center"/>
          </w:tcPr>
          <w:p w14:paraId="13509597" w14:textId="07DF67B6" w:rsidR="008A0646" w:rsidRPr="00D4328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2,8 %</w:t>
            </w:r>
          </w:p>
        </w:tc>
        <w:tc>
          <w:tcPr>
            <w:tcW w:w="1417" w:type="dxa"/>
            <w:vAlign w:val="center"/>
          </w:tcPr>
          <w:p w14:paraId="1587733C" w14:textId="209A6053" w:rsidR="008A0646" w:rsidRPr="00D4328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8 %</w:t>
            </w:r>
          </w:p>
        </w:tc>
        <w:tc>
          <w:tcPr>
            <w:tcW w:w="1560" w:type="dxa"/>
            <w:vAlign w:val="center"/>
          </w:tcPr>
          <w:p w14:paraId="085C932D" w14:textId="5D6E1443" w:rsidR="008A0646" w:rsidRPr="00D43281" w:rsidRDefault="008A0646" w:rsidP="008A0646">
            <w:pPr>
              <w:pStyle w:val="ListParagraph"/>
              <w:ind w:left="0"/>
              <w:contextualSpacing w:val="0"/>
              <w:jc w:val="center"/>
              <w:rPr>
                <w:rFonts w:ascii="Times New Roman" w:eastAsiaTheme="minorEastAsia" w:hAnsi="Times New Roman" w:cs="Times New Roman"/>
                <w:sz w:val="24"/>
                <w:szCs w:val="24"/>
                <w:lang w:val="ro-RO"/>
              </w:rPr>
            </w:pPr>
            <w:r w:rsidRPr="00D43281">
              <w:rPr>
                <w:rFonts w:ascii="Times New Roman" w:eastAsiaTheme="minorEastAsia" w:hAnsi="Times New Roman" w:cs="Times New Roman"/>
                <w:sz w:val="24"/>
                <w:szCs w:val="24"/>
                <w:lang w:val="ro-RO"/>
              </w:rPr>
              <w:t>50 %</w:t>
            </w:r>
          </w:p>
        </w:tc>
      </w:tr>
    </w:tbl>
    <w:p w14:paraId="6A332895" w14:textId="77777777" w:rsidR="008A0646" w:rsidRPr="00D43281" w:rsidRDefault="008A0646" w:rsidP="008A0646">
      <w:pPr>
        <w:rPr>
          <w:rFonts w:ascii="Times New Roman" w:hAnsi="Times New Roman" w:cs="Times New Roman"/>
          <w:sz w:val="24"/>
          <w:szCs w:val="24"/>
          <w:lang w:val="ro-RO"/>
        </w:rPr>
      </w:pPr>
    </w:p>
    <w:p w14:paraId="34FA8A90" w14:textId="4FB3F318" w:rsidR="00FC5DF5" w:rsidRPr="00D43281" w:rsidRDefault="0086239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Сумма ожидаемых убытков по обязательству с минимальной стоимостью, отвечающему всем требованиям, установленным в пункте 82</w:t>
      </w:r>
      <w:r w:rsidRPr="00D43281">
        <w:rPr>
          <w:rFonts w:ascii="Times New Roman" w:hAnsi="Times New Roman" w:cs="Times New Roman"/>
          <w:color w:val="000000" w:themeColor="text1"/>
          <w:sz w:val="24"/>
          <w:szCs w:val="24"/>
          <w:vertAlign w:val="superscript"/>
          <w:lang w:val="ru-RU"/>
        </w:rPr>
        <w:t>25</w:t>
      </w:r>
      <w:r w:rsidRPr="00D43281">
        <w:rPr>
          <w:rFonts w:ascii="Times New Roman" w:hAnsi="Times New Roman" w:cs="Times New Roman"/>
          <w:color w:val="000000" w:themeColor="text1"/>
          <w:sz w:val="24"/>
          <w:szCs w:val="24"/>
          <w:lang w:val="ru-RU"/>
        </w:rPr>
        <w:t xml:space="preserve"> Регламента № 111/2018, равна нулю</w:t>
      </w:r>
      <w:r w:rsidR="00FC5DF5" w:rsidRPr="00D43281">
        <w:rPr>
          <w:rFonts w:ascii="Times New Roman" w:hAnsi="Times New Roman" w:cs="Times New Roman"/>
          <w:color w:val="000000" w:themeColor="text1"/>
          <w:sz w:val="24"/>
          <w:szCs w:val="24"/>
          <w:lang w:val="ru-RU"/>
        </w:rPr>
        <w:t>.</w:t>
      </w:r>
    </w:p>
    <w:p w14:paraId="0AA2764E" w14:textId="68B96A52" w:rsidR="00FC5DF5" w:rsidRPr="00D43281" w:rsidRDefault="00752B4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91" w:name="_Ref215086374"/>
      <w:r w:rsidRPr="00D43281">
        <w:rPr>
          <w:rFonts w:ascii="Times New Roman" w:hAnsi="Times New Roman" w:cs="Times New Roman"/>
          <w:color w:val="000000" w:themeColor="text1"/>
          <w:sz w:val="24"/>
          <w:szCs w:val="24"/>
          <w:lang w:val="ru-RU"/>
        </w:rPr>
        <w:t>Сумма ожидаемых убытков по риску снижения стоимости приобретенных требований рассчитывается по следующей формуле</w:t>
      </w:r>
      <w:r w:rsidR="00FC5DF5" w:rsidRPr="00D43281">
        <w:rPr>
          <w:rFonts w:ascii="Times New Roman" w:hAnsi="Times New Roman" w:cs="Times New Roman"/>
          <w:color w:val="000000" w:themeColor="text1"/>
          <w:sz w:val="24"/>
          <w:szCs w:val="24"/>
          <w:lang w:val="ru-RU"/>
        </w:rPr>
        <w:t>:</w:t>
      </w:r>
      <w:bookmarkEnd w:id="91"/>
    </w:p>
    <w:p w14:paraId="6718D237" w14:textId="50725401" w:rsidR="00FC5DF5" w:rsidRPr="00D43281" w:rsidRDefault="00752B48" w:rsidP="00C65C34">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i/>
          <w:iCs/>
          <w:color w:val="000000" w:themeColor="text1"/>
          <w:sz w:val="24"/>
          <w:szCs w:val="24"/>
          <w:lang w:val="ru-RU"/>
        </w:rPr>
        <w:t xml:space="preserve">Ожидаемый убыток </w:t>
      </w:r>
      <w:r w:rsidR="00FC5DF5" w:rsidRPr="00D43281">
        <w:rPr>
          <w:rFonts w:ascii="Times New Roman" w:hAnsi="Times New Roman" w:cs="Times New Roman"/>
          <w:i/>
          <w:iCs/>
          <w:color w:val="000000" w:themeColor="text1"/>
          <w:sz w:val="24"/>
          <w:szCs w:val="24"/>
          <w:lang w:val="ru-RU"/>
        </w:rPr>
        <w:t>(EL)</w:t>
      </w:r>
      <w:r w:rsidR="00FC5DF5" w:rsidRPr="00D43281">
        <w:rPr>
          <w:rFonts w:ascii="Times New Roman" w:hAnsi="Times New Roman" w:cs="Times New Roman"/>
          <w:color w:val="000000" w:themeColor="text1"/>
          <w:sz w:val="24"/>
          <w:szCs w:val="24"/>
          <w:lang w:val="ru-RU"/>
        </w:rPr>
        <w:t xml:space="preserve"> = PD · LGD</w:t>
      </w:r>
      <w:r w:rsidR="006C7C84" w:rsidRPr="00D43281">
        <w:rPr>
          <w:rFonts w:ascii="Times New Roman" w:hAnsi="Times New Roman" w:cs="Times New Roman"/>
          <w:color w:val="000000" w:themeColor="text1"/>
          <w:sz w:val="24"/>
          <w:szCs w:val="24"/>
          <w:lang w:val="ru-RU"/>
        </w:rPr>
        <w:t>;</w:t>
      </w:r>
    </w:p>
    <w:p w14:paraId="2839A1A5" w14:textId="04CAA148" w:rsidR="00D15424" w:rsidRPr="00D43281" w:rsidRDefault="00752B48" w:rsidP="00C65C34">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i/>
          <w:iCs/>
          <w:color w:val="000000" w:themeColor="text1"/>
          <w:sz w:val="24"/>
          <w:szCs w:val="24"/>
          <w:lang w:val="ru-RU"/>
        </w:rPr>
        <w:t xml:space="preserve">Сумма ожидаемого убытка </w:t>
      </w:r>
      <w:r w:rsidR="00FC5DF5" w:rsidRPr="00D43281">
        <w:rPr>
          <w:rFonts w:ascii="Times New Roman" w:hAnsi="Times New Roman" w:cs="Times New Roman"/>
          <w:color w:val="000000" w:themeColor="text1"/>
          <w:sz w:val="24"/>
          <w:szCs w:val="24"/>
          <w:lang w:val="ru-RU"/>
        </w:rPr>
        <w:t xml:space="preserve">= EL · </w:t>
      </w:r>
      <w:r w:rsidRPr="00D43281">
        <w:rPr>
          <w:rFonts w:ascii="Times New Roman" w:hAnsi="Times New Roman" w:cs="Times New Roman"/>
          <w:color w:val="000000" w:themeColor="text1"/>
          <w:sz w:val="24"/>
          <w:szCs w:val="24"/>
          <w:lang w:val="ru-RU"/>
        </w:rPr>
        <w:t>величина подверженности</w:t>
      </w:r>
      <w:r w:rsidR="006C7C84" w:rsidRPr="00D43281">
        <w:rPr>
          <w:rFonts w:ascii="Times New Roman" w:hAnsi="Times New Roman" w:cs="Times New Roman"/>
          <w:color w:val="000000" w:themeColor="text1"/>
          <w:sz w:val="24"/>
          <w:szCs w:val="24"/>
          <w:lang w:val="ru-RU"/>
        </w:rPr>
        <w:t>.</w:t>
      </w:r>
    </w:p>
    <w:p w14:paraId="078A6204" w14:textId="5E0316AE" w:rsidR="00D15424" w:rsidRPr="00D43281" w:rsidRDefault="00752B48" w:rsidP="00D15424">
      <w:pPr>
        <w:shd w:val="clear" w:color="auto" w:fill="FFFFFF"/>
        <w:tabs>
          <w:tab w:val="left" w:pos="0"/>
          <w:tab w:val="left" w:pos="567"/>
        </w:tabs>
        <w:spacing w:before="120" w:after="0" w:line="240" w:lineRule="auto"/>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Подчасть</w:t>
      </w:r>
      <w:r w:rsidR="00D15424" w:rsidRPr="00D43281">
        <w:rPr>
          <w:rFonts w:ascii="Times New Roman" w:hAnsi="Times New Roman" w:cs="Times New Roman"/>
          <w:b/>
          <w:bCs/>
          <w:i/>
          <w:iCs/>
          <w:color w:val="000000" w:themeColor="text1"/>
          <w:sz w:val="24"/>
          <w:szCs w:val="24"/>
          <w:lang w:val="ro-RO"/>
        </w:rPr>
        <w:t xml:space="preserve"> 2</w:t>
      </w:r>
    </w:p>
    <w:p w14:paraId="46CED33B" w14:textId="0528D672" w:rsidR="00D15424" w:rsidRPr="00D43281" w:rsidRDefault="00D06B73" w:rsidP="00D275E8">
      <w:pPr>
        <w:pStyle w:val="ListParagraph"/>
        <w:shd w:val="clear" w:color="auto" w:fill="FFFFFF"/>
        <w:tabs>
          <w:tab w:val="left" w:pos="0"/>
          <w:tab w:val="left" w:pos="567"/>
        </w:tabs>
        <w:spacing w:after="120" w:line="240" w:lineRule="auto"/>
        <w:ind w:left="567"/>
        <w:contextualSpacing w:val="0"/>
        <w:jc w:val="center"/>
        <w:rPr>
          <w:rFonts w:ascii="Times New Roman" w:hAnsi="Times New Roman" w:cs="Times New Roman"/>
          <w:color w:val="000000" w:themeColor="text1"/>
          <w:sz w:val="24"/>
          <w:szCs w:val="24"/>
          <w:lang w:val="ru-RU"/>
        </w:rPr>
      </w:pPr>
      <w:r w:rsidRPr="00D43281">
        <w:rPr>
          <w:rFonts w:ascii="Times New Roman" w:hAnsi="Times New Roman" w:cs="Times New Roman"/>
          <w:b/>
          <w:bCs/>
          <w:i/>
          <w:iCs/>
          <w:color w:val="000000" w:themeColor="text1"/>
          <w:sz w:val="24"/>
          <w:szCs w:val="24"/>
          <w:lang w:val="ru-RU"/>
        </w:rPr>
        <w:t>Учет сумм ожидаемых убытков, дефицита по методу IRB и профицита по методу IRB</w:t>
      </w:r>
    </w:p>
    <w:p w14:paraId="1584BAE4" w14:textId="7B7637BE" w:rsidR="00FC5DF5" w:rsidRPr="00D43281" w:rsidRDefault="007C727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92" w:name="_Ref215086001"/>
      <w:r w:rsidRPr="00D43281">
        <w:rPr>
          <w:rFonts w:ascii="Times New Roman" w:hAnsi="Times New Roman" w:cs="Times New Roman"/>
          <w:color w:val="000000" w:themeColor="text1"/>
          <w:sz w:val="24"/>
          <w:szCs w:val="24"/>
          <w:lang w:val="ru-MD"/>
        </w:rPr>
        <w:t>Банки вычитают суммы ожидаемых убытков по подверженностям, указанным в пунктах 98–100 и 102, из суммы всех следующих элементов</w:t>
      </w:r>
      <w:r w:rsidR="00FC5DF5" w:rsidRPr="00D43281">
        <w:rPr>
          <w:rFonts w:ascii="Times New Roman" w:hAnsi="Times New Roman" w:cs="Times New Roman"/>
          <w:color w:val="000000" w:themeColor="text1"/>
          <w:sz w:val="24"/>
          <w:szCs w:val="24"/>
          <w:lang w:val="ru-MD"/>
        </w:rPr>
        <w:t>:</w:t>
      </w:r>
      <w:bookmarkEnd w:id="92"/>
    </w:p>
    <w:p w14:paraId="5784A37C" w14:textId="4DC746FB" w:rsidR="005942BF" w:rsidRPr="00D43281" w:rsidRDefault="00E947DC" w:rsidP="00A476F6">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Общие и специфические корректировки по кредитному риску, относящиеся к соответствующим подверженностям рассчитанные в соответствии с Регламентом о расчете банками специфических корректировок и общих корректировок для кредитного риска, утвержденным Постановлением Исполнительного комитета Национального банка Молдовы № 116/2018</w:t>
      </w:r>
      <w:r w:rsidR="00FC5DF5" w:rsidRPr="00D43281">
        <w:rPr>
          <w:rFonts w:ascii="Times New Roman" w:hAnsi="Times New Roman" w:cs="Times New Roman"/>
          <w:color w:val="000000" w:themeColor="text1"/>
          <w:sz w:val="24"/>
          <w:szCs w:val="24"/>
          <w:lang w:val="ru-MD"/>
        </w:rPr>
        <w:t>;</w:t>
      </w:r>
    </w:p>
    <w:p w14:paraId="1907D081" w14:textId="4DF81F21" w:rsidR="005C4E33" w:rsidRPr="00D43281" w:rsidRDefault="005C4E3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Дополнительные корректировки стоимости в связи с неисполнением обязательств контрагентом, определяемые в соответствии с пунктом 28 Регламента № 109/2018 и относящиеся к подверженностям, для которых ожидаемые суммы убытков рассчитываются в соответствии с пунктами 98–100 и 102;</w:t>
      </w:r>
    </w:p>
    <w:p w14:paraId="29E2490F" w14:textId="00E30CAD" w:rsidR="00C82E14" w:rsidRPr="00D43281" w:rsidRDefault="00C82E14"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Другие снижения собственных средств, связанные с этими </w:t>
      </w:r>
      <w:r w:rsidR="0019479D" w:rsidRPr="00D43281">
        <w:rPr>
          <w:rFonts w:ascii="Times New Roman" w:hAnsi="Times New Roman" w:cs="Times New Roman"/>
          <w:color w:val="000000" w:themeColor="text1"/>
          <w:sz w:val="24"/>
          <w:szCs w:val="24"/>
          <w:lang w:val="ru-RU"/>
        </w:rPr>
        <w:t>подверженностями</w:t>
      </w:r>
      <w:r w:rsidRPr="00D43281">
        <w:rPr>
          <w:rFonts w:ascii="Times New Roman" w:hAnsi="Times New Roman" w:cs="Times New Roman"/>
          <w:color w:val="000000" w:themeColor="text1"/>
          <w:sz w:val="24"/>
          <w:szCs w:val="24"/>
          <w:lang w:val="ru-RU"/>
        </w:rPr>
        <w:t xml:space="preserve">, за исключением вычетов, связанных с применимой суммой недостаточного покрытия для </w:t>
      </w:r>
      <w:r w:rsidR="0019479D" w:rsidRPr="00D43281">
        <w:rPr>
          <w:rFonts w:ascii="Times New Roman" w:hAnsi="Times New Roman" w:cs="Times New Roman"/>
          <w:color w:val="000000" w:themeColor="text1"/>
          <w:sz w:val="24"/>
          <w:szCs w:val="24"/>
          <w:lang w:val="ru-RU"/>
        </w:rPr>
        <w:t>неблагоприятных подверженностей</w:t>
      </w:r>
      <w:r w:rsidRPr="00D43281">
        <w:rPr>
          <w:rFonts w:ascii="Times New Roman" w:hAnsi="Times New Roman" w:cs="Times New Roman"/>
          <w:color w:val="000000" w:themeColor="text1"/>
          <w:sz w:val="24"/>
          <w:szCs w:val="24"/>
          <w:lang w:val="ru-RU"/>
        </w:rPr>
        <w:t xml:space="preserve">, произведенных в соответствии с </w:t>
      </w:r>
      <w:r w:rsidR="0019479D" w:rsidRPr="00D43281">
        <w:rPr>
          <w:rFonts w:ascii="Times New Roman" w:hAnsi="Times New Roman" w:cs="Times New Roman"/>
          <w:color w:val="000000" w:themeColor="text1"/>
          <w:sz w:val="24"/>
          <w:szCs w:val="24"/>
          <w:lang w:val="ru-RU"/>
        </w:rPr>
        <w:t>под</w:t>
      </w:r>
      <w:r w:rsidRPr="00D43281">
        <w:rPr>
          <w:rFonts w:ascii="Times New Roman" w:hAnsi="Times New Roman" w:cs="Times New Roman"/>
          <w:color w:val="000000" w:themeColor="text1"/>
          <w:sz w:val="24"/>
          <w:szCs w:val="24"/>
          <w:lang w:val="ru-RU"/>
        </w:rPr>
        <w:t xml:space="preserve">пунктом 12) </w:t>
      </w:r>
      <w:r w:rsidR="0019479D" w:rsidRPr="00D43281">
        <w:rPr>
          <w:rFonts w:ascii="Times New Roman" w:hAnsi="Times New Roman" w:cs="Times New Roman"/>
          <w:color w:val="000000" w:themeColor="text1"/>
          <w:sz w:val="24"/>
          <w:szCs w:val="24"/>
          <w:lang w:val="ru-RU"/>
        </w:rPr>
        <w:t xml:space="preserve">пункта 30 </w:t>
      </w:r>
      <w:r w:rsidRPr="00D43281">
        <w:rPr>
          <w:rFonts w:ascii="Times New Roman" w:hAnsi="Times New Roman" w:cs="Times New Roman"/>
          <w:color w:val="000000" w:themeColor="text1"/>
          <w:sz w:val="24"/>
          <w:szCs w:val="24"/>
          <w:lang w:val="ru-RU"/>
        </w:rPr>
        <w:t>Регламента № 109/2018.</w:t>
      </w:r>
    </w:p>
    <w:p w14:paraId="7858E319" w14:textId="4D841F38" w:rsidR="00FC5DF5" w:rsidRPr="00D43281" w:rsidRDefault="007B386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93" w:name="_Ref215086083"/>
      <w:r w:rsidRPr="00D43281">
        <w:rPr>
          <w:rFonts w:ascii="Times New Roman" w:hAnsi="Times New Roman" w:cs="Times New Roman"/>
          <w:color w:val="000000" w:themeColor="text1"/>
          <w:sz w:val="24"/>
          <w:szCs w:val="24"/>
          <w:lang w:val="ru-RU"/>
        </w:rPr>
        <w:t>Если расчет, проведенный в соответствии с пунктом 103, дает положительное значение, полученная сумма называется «профицитом IRB». Если расчет, проведенный в соответствии с первым подпунктом, дает отрицательное значение, полученная сумма называется «дефицитом IRB».</w:t>
      </w:r>
      <w:bookmarkEnd w:id="93"/>
    </w:p>
    <w:p w14:paraId="462EB2AE" w14:textId="201C0C48" w:rsidR="007B386D" w:rsidRPr="00D43281" w:rsidRDefault="007B386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Для целей расчета, указанного в пункте 103, банки должны рассматривать дисконты, определенные в соответствии с пунктами </w:t>
      </w:r>
      <w:proofErr w:type="gramStart"/>
      <w:r w:rsidRPr="00D43281">
        <w:rPr>
          <w:rFonts w:ascii="Times New Roman" w:hAnsi="Times New Roman" w:cs="Times New Roman"/>
          <w:color w:val="000000" w:themeColor="text1"/>
          <w:sz w:val="24"/>
          <w:szCs w:val="24"/>
          <w:lang w:val="ru-RU"/>
        </w:rPr>
        <w:t>142-144</w:t>
      </w:r>
      <w:proofErr w:type="gramEnd"/>
      <w:r w:rsidRPr="00D43281">
        <w:rPr>
          <w:rFonts w:ascii="Times New Roman" w:hAnsi="Times New Roman" w:cs="Times New Roman"/>
          <w:color w:val="000000" w:themeColor="text1"/>
          <w:sz w:val="24"/>
          <w:szCs w:val="24"/>
          <w:lang w:val="ru-RU"/>
        </w:rPr>
        <w:t xml:space="preserve"> для балансовых </w:t>
      </w:r>
      <w:r w:rsidRPr="00D43281">
        <w:rPr>
          <w:rFonts w:ascii="Times New Roman" w:hAnsi="Times New Roman" w:cs="Times New Roman"/>
          <w:color w:val="000000" w:themeColor="text1"/>
          <w:sz w:val="24"/>
          <w:szCs w:val="24"/>
          <w:lang w:val="ru-RU"/>
        </w:rPr>
        <w:lastRenderedPageBreak/>
        <w:t xml:space="preserve">подверженностей, приобретенных в период </w:t>
      </w:r>
      <w:r w:rsidR="002F691A" w:rsidRPr="00D43281">
        <w:rPr>
          <w:rFonts w:ascii="Times New Roman" w:hAnsi="Times New Roman" w:cs="Times New Roman"/>
          <w:color w:val="000000" w:themeColor="text1"/>
          <w:sz w:val="24"/>
          <w:szCs w:val="24"/>
          <w:lang w:val="ru-RU"/>
        </w:rPr>
        <w:t>нев</w:t>
      </w:r>
      <w:r w:rsidR="0000213B" w:rsidRPr="00D43281">
        <w:rPr>
          <w:rFonts w:ascii="Times New Roman" w:hAnsi="Times New Roman" w:cs="Times New Roman"/>
          <w:color w:val="000000" w:themeColor="text1"/>
          <w:sz w:val="24"/>
          <w:szCs w:val="24"/>
          <w:lang w:val="ru-RU"/>
        </w:rPr>
        <w:t>озврата</w:t>
      </w:r>
      <w:r w:rsidRPr="00D43281">
        <w:rPr>
          <w:rFonts w:ascii="Times New Roman" w:hAnsi="Times New Roman" w:cs="Times New Roman"/>
          <w:color w:val="000000" w:themeColor="text1"/>
          <w:sz w:val="24"/>
          <w:szCs w:val="24"/>
          <w:lang w:val="ru-RU"/>
        </w:rPr>
        <w:t xml:space="preserve">, таким же образом, как и специальные корректировки кредитного риска. Дисконты для балансовых </w:t>
      </w:r>
      <w:r w:rsidR="00576C40" w:rsidRPr="00D43281">
        <w:rPr>
          <w:rFonts w:ascii="Times New Roman" w:hAnsi="Times New Roman" w:cs="Times New Roman"/>
          <w:color w:val="000000" w:themeColor="text1"/>
          <w:sz w:val="24"/>
          <w:szCs w:val="24"/>
          <w:lang w:val="ru-RU"/>
        </w:rPr>
        <w:t>подверженностей</w:t>
      </w:r>
      <w:r w:rsidRPr="00D43281">
        <w:rPr>
          <w:rFonts w:ascii="Times New Roman" w:hAnsi="Times New Roman" w:cs="Times New Roman"/>
          <w:color w:val="000000" w:themeColor="text1"/>
          <w:sz w:val="24"/>
          <w:szCs w:val="24"/>
          <w:lang w:val="ru-RU"/>
        </w:rPr>
        <w:t xml:space="preserve">, приобретенных в период </w:t>
      </w:r>
      <w:r w:rsidR="00785A1A" w:rsidRPr="00D43281">
        <w:rPr>
          <w:rFonts w:ascii="Times New Roman" w:hAnsi="Times New Roman" w:cs="Times New Roman"/>
          <w:color w:val="000000" w:themeColor="text1"/>
          <w:sz w:val="24"/>
          <w:szCs w:val="24"/>
          <w:lang w:val="ru-RU"/>
        </w:rPr>
        <w:t xml:space="preserve">отсутствия </w:t>
      </w:r>
      <w:r w:rsidR="008752C9"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не могут включаться в расчет дефицита</w:t>
      </w:r>
      <w:r w:rsidR="00762E71" w:rsidRPr="00D43281">
        <w:rPr>
          <w:rFonts w:ascii="Times New Roman" w:hAnsi="Times New Roman" w:cs="Times New Roman"/>
          <w:color w:val="000000" w:themeColor="text1"/>
          <w:sz w:val="24"/>
          <w:szCs w:val="24"/>
          <w:lang w:val="ru-RU"/>
        </w:rPr>
        <w:t xml:space="preserve"> </w:t>
      </w:r>
      <w:r w:rsidR="002640B6" w:rsidRPr="00D43281">
        <w:rPr>
          <w:rFonts w:ascii="Times New Roman" w:hAnsi="Times New Roman" w:cs="Times New Roman"/>
          <w:color w:val="000000" w:themeColor="text1"/>
          <w:sz w:val="24"/>
          <w:szCs w:val="24"/>
          <w:lang w:val="ru-RU"/>
        </w:rPr>
        <w:t>согласно IRB</w:t>
      </w:r>
      <w:r w:rsidR="00762E71" w:rsidRPr="00D43281">
        <w:rPr>
          <w:rFonts w:ascii="Times New Roman" w:hAnsi="Times New Roman" w:cs="Times New Roman"/>
          <w:color w:val="000000" w:themeColor="text1"/>
          <w:sz w:val="24"/>
          <w:szCs w:val="24"/>
          <w:lang w:val="ru-RU"/>
        </w:rPr>
        <w:t xml:space="preserve"> </w:t>
      </w:r>
      <w:r w:rsidRPr="00D43281">
        <w:rPr>
          <w:rFonts w:ascii="Times New Roman" w:hAnsi="Times New Roman" w:cs="Times New Roman"/>
          <w:color w:val="000000" w:themeColor="text1"/>
          <w:sz w:val="24"/>
          <w:szCs w:val="24"/>
          <w:lang w:val="ru-RU"/>
        </w:rPr>
        <w:t>или профицита</w:t>
      </w:r>
      <w:r w:rsidR="002640B6" w:rsidRPr="00D43281">
        <w:rPr>
          <w:rFonts w:ascii="Times New Roman" w:hAnsi="Times New Roman" w:cs="Times New Roman"/>
          <w:color w:val="000000" w:themeColor="text1"/>
          <w:sz w:val="24"/>
          <w:szCs w:val="24"/>
          <w:lang w:val="ru-RU"/>
        </w:rPr>
        <w:t xml:space="preserve"> согласно </w:t>
      </w:r>
      <w:r w:rsidR="002640B6" w:rsidRPr="00D43281">
        <w:rPr>
          <w:rFonts w:ascii="Times New Roman" w:hAnsi="Times New Roman" w:cs="Times New Roman"/>
          <w:color w:val="000000" w:themeColor="text1"/>
          <w:sz w:val="24"/>
          <w:szCs w:val="24"/>
          <w:lang w:val="ro-RO"/>
        </w:rPr>
        <w:t>IRB</w:t>
      </w:r>
      <w:r w:rsidRPr="00D43281">
        <w:rPr>
          <w:rFonts w:ascii="Times New Roman" w:hAnsi="Times New Roman" w:cs="Times New Roman"/>
          <w:color w:val="000000" w:themeColor="text1"/>
          <w:sz w:val="24"/>
          <w:szCs w:val="24"/>
          <w:lang w:val="ru-RU"/>
        </w:rPr>
        <w:t xml:space="preserve">. Специальные корректировки кредитного риска </w:t>
      </w:r>
      <w:r w:rsidR="002640B6" w:rsidRPr="00D43281">
        <w:rPr>
          <w:rFonts w:ascii="Times New Roman" w:hAnsi="Times New Roman" w:cs="Times New Roman"/>
          <w:color w:val="000000" w:themeColor="text1"/>
          <w:sz w:val="24"/>
          <w:szCs w:val="24"/>
          <w:lang w:val="ru-RU"/>
        </w:rPr>
        <w:t xml:space="preserve">подверженностей </w:t>
      </w:r>
      <w:r w:rsidRPr="00D43281">
        <w:rPr>
          <w:rFonts w:ascii="Times New Roman" w:hAnsi="Times New Roman" w:cs="Times New Roman"/>
          <w:color w:val="000000" w:themeColor="text1"/>
          <w:sz w:val="24"/>
          <w:szCs w:val="24"/>
          <w:lang w:val="ru-RU"/>
        </w:rPr>
        <w:t xml:space="preserve">в период </w:t>
      </w:r>
      <w:r w:rsidR="002640B6" w:rsidRPr="00D43281">
        <w:rPr>
          <w:rFonts w:ascii="Times New Roman" w:hAnsi="Times New Roman" w:cs="Times New Roman"/>
          <w:color w:val="000000" w:themeColor="text1"/>
          <w:sz w:val="24"/>
          <w:szCs w:val="24"/>
          <w:lang w:val="ru-RU"/>
        </w:rPr>
        <w:t>невыполнения обязательств</w:t>
      </w:r>
      <w:r w:rsidRPr="00D43281">
        <w:rPr>
          <w:rFonts w:ascii="Times New Roman" w:hAnsi="Times New Roman" w:cs="Times New Roman"/>
          <w:color w:val="000000" w:themeColor="text1"/>
          <w:sz w:val="24"/>
          <w:szCs w:val="24"/>
          <w:lang w:val="ru-RU"/>
        </w:rPr>
        <w:t xml:space="preserve"> не должны использоваться для покрытия ожидаемых сумм убытков по другим </w:t>
      </w:r>
      <w:r w:rsidR="006046CB" w:rsidRPr="00D43281">
        <w:rPr>
          <w:rFonts w:ascii="Times New Roman" w:hAnsi="Times New Roman" w:cs="Times New Roman"/>
          <w:color w:val="000000" w:themeColor="text1"/>
          <w:sz w:val="24"/>
          <w:szCs w:val="24"/>
          <w:lang w:val="ru-RU"/>
        </w:rPr>
        <w:t>подверженностям</w:t>
      </w:r>
      <w:r w:rsidRPr="00D43281">
        <w:rPr>
          <w:rFonts w:ascii="Times New Roman" w:hAnsi="Times New Roman" w:cs="Times New Roman"/>
          <w:color w:val="000000" w:themeColor="text1"/>
          <w:sz w:val="24"/>
          <w:szCs w:val="24"/>
          <w:lang w:val="ru-RU"/>
        </w:rPr>
        <w:t xml:space="preserve">. Ожидаемые суммы убытков по секьюритизированным </w:t>
      </w:r>
      <w:r w:rsidR="006046CB" w:rsidRPr="00D43281">
        <w:rPr>
          <w:rFonts w:ascii="Times New Roman" w:hAnsi="Times New Roman" w:cs="Times New Roman"/>
          <w:color w:val="000000" w:themeColor="text1"/>
          <w:sz w:val="24"/>
          <w:szCs w:val="24"/>
          <w:lang w:val="ru-RU"/>
        </w:rPr>
        <w:t>подверженностям</w:t>
      </w:r>
      <w:r w:rsidRPr="00D43281">
        <w:rPr>
          <w:rFonts w:ascii="Times New Roman" w:hAnsi="Times New Roman" w:cs="Times New Roman"/>
          <w:color w:val="000000" w:themeColor="text1"/>
          <w:sz w:val="24"/>
          <w:szCs w:val="24"/>
          <w:lang w:val="ru-RU"/>
        </w:rPr>
        <w:t xml:space="preserve">, а также общие и специальные корректировки кредитного риска по этим </w:t>
      </w:r>
      <w:r w:rsidR="006046CB" w:rsidRPr="00D43281">
        <w:rPr>
          <w:rFonts w:ascii="Times New Roman" w:hAnsi="Times New Roman" w:cs="Times New Roman"/>
          <w:color w:val="000000" w:themeColor="text1"/>
          <w:sz w:val="24"/>
          <w:szCs w:val="24"/>
          <w:lang w:val="ru-RU"/>
        </w:rPr>
        <w:t>подверженностям</w:t>
      </w:r>
      <w:r w:rsidRPr="00D43281">
        <w:rPr>
          <w:rFonts w:ascii="Times New Roman" w:hAnsi="Times New Roman" w:cs="Times New Roman"/>
          <w:color w:val="000000" w:themeColor="text1"/>
          <w:sz w:val="24"/>
          <w:szCs w:val="24"/>
          <w:lang w:val="ru-RU"/>
        </w:rPr>
        <w:t xml:space="preserve"> не должны включаться в расчет дефицита </w:t>
      </w:r>
      <w:r w:rsidR="0045262C" w:rsidRPr="00D43281">
        <w:rPr>
          <w:rFonts w:ascii="Times New Roman" w:hAnsi="Times New Roman" w:cs="Times New Roman"/>
          <w:color w:val="000000" w:themeColor="text1"/>
          <w:sz w:val="24"/>
          <w:szCs w:val="24"/>
          <w:lang w:val="ru-RU"/>
        </w:rPr>
        <w:t xml:space="preserve">согласно IRB или профицита согласно </w:t>
      </w:r>
      <w:r w:rsidR="0045262C" w:rsidRPr="00D43281">
        <w:rPr>
          <w:rFonts w:ascii="Times New Roman" w:hAnsi="Times New Roman" w:cs="Times New Roman"/>
          <w:color w:val="000000" w:themeColor="text1"/>
          <w:sz w:val="24"/>
          <w:szCs w:val="24"/>
          <w:lang w:val="ro-RO"/>
        </w:rPr>
        <w:t>IRB</w:t>
      </w:r>
      <w:r w:rsidRPr="00D43281">
        <w:rPr>
          <w:rFonts w:ascii="Times New Roman" w:hAnsi="Times New Roman" w:cs="Times New Roman"/>
          <w:color w:val="000000" w:themeColor="text1"/>
          <w:sz w:val="24"/>
          <w:szCs w:val="24"/>
          <w:lang w:val="ru-RU"/>
        </w:rPr>
        <w:t>.</w:t>
      </w:r>
    </w:p>
    <w:p w14:paraId="21943DF9" w14:textId="77777777" w:rsidR="007B386D" w:rsidRPr="00D43281" w:rsidRDefault="007B386D" w:rsidP="0045262C">
      <w:pPr>
        <w:shd w:val="clear" w:color="auto" w:fill="FFFFFF"/>
        <w:tabs>
          <w:tab w:val="left" w:pos="0"/>
          <w:tab w:val="left" w:pos="567"/>
        </w:tabs>
        <w:spacing w:before="60" w:after="0" w:line="240" w:lineRule="auto"/>
        <w:jc w:val="both"/>
        <w:rPr>
          <w:rFonts w:ascii="Times New Roman" w:hAnsi="Times New Roman" w:cs="Times New Roman"/>
          <w:color w:val="000000" w:themeColor="text1"/>
          <w:sz w:val="24"/>
          <w:szCs w:val="24"/>
          <w:lang w:val="ru-RU"/>
        </w:rPr>
      </w:pPr>
    </w:p>
    <w:p w14:paraId="54B0334E" w14:textId="5DB64015" w:rsidR="008A0646" w:rsidRPr="00D43281" w:rsidRDefault="006D07EB" w:rsidP="00DC705E">
      <w:pPr>
        <w:pStyle w:val="ListParagraph"/>
        <w:shd w:val="clear" w:color="auto" w:fill="FFFFFF"/>
        <w:tabs>
          <w:tab w:val="left" w:pos="0"/>
          <w:tab w:val="left" w:pos="567"/>
        </w:tabs>
        <w:spacing w:before="240" w:after="0" w:line="240" w:lineRule="auto"/>
        <w:ind w:left="0"/>
        <w:contextualSpacing w:val="0"/>
        <w:jc w:val="center"/>
        <w:rPr>
          <w:rFonts w:ascii="Times New Roman" w:hAnsi="Times New Roman" w:cs="Times New Roman"/>
          <w:b/>
          <w:bCs/>
          <w:color w:val="000000" w:themeColor="text1"/>
          <w:sz w:val="24"/>
          <w:szCs w:val="24"/>
          <w:lang w:val="ro-RO"/>
        </w:rPr>
      </w:pPr>
      <w:r w:rsidRPr="00D43281">
        <w:rPr>
          <w:rFonts w:ascii="Times New Roman" w:hAnsi="Times New Roman" w:cs="Times New Roman"/>
          <w:b/>
          <w:bCs/>
          <w:color w:val="000000" w:themeColor="text1"/>
          <w:sz w:val="24"/>
          <w:szCs w:val="24"/>
          <w:lang w:val="ru-RU"/>
        </w:rPr>
        <w:t>Глава</w:t>
      </w:r>
      <w:r w:rsidR="008A0646" w:rsidRPr="00D43281">
        <w:rPr>
          <w:rFonts w:ascii="Times New Roman" w:hAnsi="Times New Roman" w:cs="Times New Roman"/>
          <w:b/>
          <w:bCs/>
          <w:color w:val="000000" w:themeColor="text1"/>
          <w:sz w:val="24"/>
          <w:szCs w:val="24"/>
          <w:lang w:val="ro-RO"/>
        </w:rPr>
        <w:t xml:space="preserve"> I</w:t>
      </w:r>
      <w:r w:rsidR="00B15B00" w:rsidRPr="00D43281">
        <w:rPr>
          <w:rFonts w:ascii="Times New Roman" w:hAnsi="Times New Roman" w:cs="Times New Roman"/>
          <w:b/>
          <w:bCs/>
          <w:color w:val="000000" w:themeColor="text1"/>
          <w:sz w:val="24"/>
          <w:szCs w:val="24"/>
          <w:lang w:val="ro-RO"/>
        </w:rPr>
        <w:t>V</w:t>
      </w:r>
    </w:p>
    <w:p w14:paraId="06AD1048" w14:textId="140089D2" w:rsidR="008A0646" w:rsidRPr="00D43281" w:rsidRDefault="00274F38" w:rsidP="00DC705E">
      <w:pPr>
        <w:pStyle w:val="ListParagraph"/>
        <w:spacing w:after="120" w:line="240" w:lineRule="auto"/>
        <w:ind w:left="0"/>
        <w:contextualSpacing w:val="0"/>
        <w:jc w:val="center"/>
        <w:rPr>
          <w:sz w:val="24"/>
          <w:szCs w:val="24"/>
          <w:lang w:val="ru-RU"/>
        </w:rPr>
      </w:pPr>
      <w:r w:rsidRPr="00D43281">
        <w:rPr>
          <w:rFonts w:ascii="Times New Roman" w:hAnsi="Times New Roman" w:cs="Times New Roman"/>
          <w:b/>
          <w:bCs/>
          <w:color w:val="000000" w:themeColor="text1"/>
          <w:sz w:val="24"/>
          <w:szCs w:val="24"/>
          <w:lang w:val="ru-RU"/>
        </w:rPr>
        <w:t xml:space="preserve">Вероятность </w:t>
      </w:r>
      <w:r w:rsidR="0005306B" w:rsidRPr="00D43281">
        <w:rPr>
          <w:rFonts w:ascii="Times New Roman" w:hAnsi="Times New Roman" w:cs="Times New Roman"/>
          <w:b/>
          <w:bCs/>
          <w:color w:val="000000" w:themeColor="text1"/>
          <w:sz w:val="24"/>
          <w:szCs w:val="24"/>
          <w:lang w:val="ru-RU"/>
        </w:rPr>
        <w:t>невозврата</w:t>
      </w:r>
      <w:r w:rsidR="008A0646" w:rsidRPr="00D43281">
        <w:rPr>
          <w:rFonts w:ascii="Times New Roman" w:hAnsi="Times New Roman" w:cs="Times New Roman"/>
          <w:b/>
          <w:bCs/>
          <w:color w:val="000000" w:themeColor="text1"/>
          <w:sz w:val="24"/>
          <w:szCs w:val="24"/>
          <w:lang w:val="ru-RU"/>
        </w:rPr>
        <w:t xml:space="preserve">, </w:t>
      </w:r>
      <w:r w:rsidR="008752C9" w:rsidRPr="00D43281">
        <w:rPr>
          <w:rFonts w:ascii="Times New Roman" w:hAnsi="Times New Roman" w:cs="Times New Roman"/>
          <w:b/>
          <w:bCs/>
          <w:color w:val="000000" w:themeColor="text1"/>
          <w:sz w:val="24"/>
          <w:szCs w:val="24"/>
          <w:lang w:val="ru-RU"/>
        </w:rPr>
        <w:t>убытки в случае невозврата</w:t>
      </w:r>
      <w:r w:rsidR="008A0646" w:rsidRPr="00D43281">
        <w:rPr>
          <w:rFonts w:ascii="Times New Roman" w:hAnsi="Times New Roman" w:cs="Times New Roman"/>
          <w:b/>
          <w:bCs/>
          <w:color w:val="000000" w:themeColor="text1"/>
          <w:sz w:val="24"/>
          <w:szCs w:val="24"/>
          <w:lang w:val="ru-RU"/>
        </w:rPr>
        <w:t xml:space="preserve"> </w:t>
      </w:r>
      <w:r w:rsidR="008752C9" w:rsidRPr="00D43281">
        <w:rPr>
          <w:rFonts w:ascii="Times New Roman" w:hAnsi="Times New Roman" w:cs="Times New Roman"/>
          <w:b/>
          <w:bCs/>
          <w:color w:val="000000" w:themeColor="text1"/>
          <w:sz w:val="24"/>
          <w:szCs w:val="24"/>
          <w:lang w:val="ru-RU"/>
        </w:rPr>
        <w:t>и срок погашения</w:t>
      </w:r>
    </w:p>
    <w:p w14:paraId="50859B6C" w14:textId="36408FD2" w:rsidR="00BD2230" w:rsidRPr="00D43281" w:rsidRDefault="00BD2230" w:rsidP="00DC705E">
      <w:pPr>
        <w:pStyle w:val="ListParagraph"/>
        <w:shd w:val="clear" w:color="auto" w:fill="FFFFFF"/>
        <w:tabs>
          <w:tab w:val="left" w:pos="0"/>
          <w:tab w:val="left" w:pos="567"/>
        </w:tabs>
        <w:spacing w:before="120" w:after="0" w:line="240" w:lineRule="auto"/>
        <w:ind w:left="0"/>
        <w:contextualSpacing w:val="0"/>
        <w:jc w:val="center"/>
        <w:rPr>
          <w:sz w:val="24"/>
          <w:szCs w:val="24"/>
        </w:rPr>
      </w:pPr>
      <w:bookmarkStart w:id="94" w:name="_Hlk215129819"/>
      <w:r w:rsidRPr="00D43281">
        <w:rPr>
          <w:rFonts w:ascii="Times New Roman" w:hAnsi="Times New Roman" w:cs="Times New Roman"/>
          <w:b/>
          <w:bCs/>
          <w:i/>
          <w:iCs/>
          <w:color w:val="000000" w:themeColor="text1"/>
          <w:sz w:val="24"/>
          <w:szCs w:val="24"/>
          <w:lang w:val="ro-RO"/>
        </w:rPr>
        <w:t xml:space="preserve">Secțiunea </w:t>
      </w:r>
      <w:r w:rsidR="00CE57C3" w:rsidRPr="00D43281">
        <w:rPr>
          <w:rFonts w:ascii="Times New Roman" w:hAnsi="Times New Roman" w:cs="Times New Roman"/>
          <w:b/>
          <w:bCs/>
          <w:i/>
          <w:iCs/>
          <w:color w:val="000000" w:themeColor="text1"/>
          <w:sz w:val="24"/>
          <w:szCs w:val="24"/>
          <w:lang w:val="ro-RO"/>
        </w:rPr>
        <w:t>1</w:t>
      </w:r>
    </w:p>
    <w:bookmarkEnd w:id="94"/>
    <w:p w14:paraId="408D90B0" w14:textId="3FCAEEA3" w:rsidR="008A0646" w:rsidRPr="00D43281" w:rsidRDefault="0000213B" w:rsidP="00DC705E">
      <w:pPr>
        <w:pStyle w:val="ListParagraph"/>
        <w:shd w:val="clear" w:color="auto" w:fill="FFFFFF"/>
        <w:tabs>
          <w:tab w:val="left" w:pos="0"/>
          <w:tab w:val="left" w:pos="567"/>
        </w:tabs>
        <w:spacing w:before="60" w:after="0" w:line="240" w:lineRule="auto"/>
        <w:ind w:left="567"/>
        <w:jc w:val="both"/>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Подверженности перед обществами</w:t>
      </w:r>
      <w:r w:rsidR="0092686E" w:rsidRPr="00D43281">
        <w:rPr>
          <w:rFonts w:ascii="Times New Roman" w:hAnsi="Times New Roman" w:cs="Times New Roman"/>
          <w:b/>
          <w:bCs/>
          <w:i/>
          <w:iCs/>
          <w:color w:val="000000" w:themeColor="text1"/>
          <w:sz w:val="24"/>
          <w:szCs w:val="24"/>
          <w:lang w:val="ru-RU"/>
        </w:rPr>
        <w:t>,</w:t>
      </w:r>
      <w:r w:rsidRPr="00D43281">
        <w:rPr>
          <w:rFonts w:ascii="Times New Roman" w:hAnsi="Times New Roman" w:cs="Times New Roman"/>
          <w:b/>
          <w:bCs/>
          <w:i/>
          <w:iCs/>
          <w:color w:val="000000" w:themeColor="text1"/>
          <w:sz w:val="24"/>
          <w:szCs w:val="24"/>
          <w:lang w:val="ru-RU"/>
        </w:rPr>
        <w:t xml:space="preserve"> банками</w:t>
      </w:r>
      <w:r w:rsidR="0092686E" w:rsidRPr="00D43281">
        <w:rPr>
          <w:rFonts w:ascii="Times New Roman" w:hAnsi="Times New Roman" w:cs="Times New Roman"/>
          <w:b/>
          <w:bCs/>
          <w:i/>
          <w:iCs/>
          <w:color w:val="000000" w:themeColor="text1"/>
          <w:sz w:val="24"/>
          <w:szCs w:val="24"/>
          <w:lang w:val="ru-RU"/>
        </w:rPr>
        <w:t xml:space="preserve">, </w:t>
      </w:r>
      <w:r w:rsidR="00FB3F2B" w:rsidRPr="00D43281">
        <w:rPr>
          <w:rFonts w:ascii="Times New Roman" w:hAnsi="Times New Roman" w:cs="Times New Roman"/>
          <w:b/>
          <w:bCs/>
          <w:i/>
          <w:iCs/>
          <w:color w:val="000000" w:themeColor="text1"/>
          <w:sz w:val="24"/>
          <w:szCs w:val="24"/>
          <w:lang w:val="ru-RU"/>
        </w:rPr>
        <w:t>центральными администрациями и центральными банками</w:t>
      </w:r>
      <w:r w:rsidR="0092686E" w:rsidRPr="00D43281">
        <w:rPr>
          <w:rFonts w:ascii="Times New Roman" w:hAnsi="Times New Roman" w:cs="Times New Roman"/>
          <w:b/>
          <w:bCs/>
          <w:i/>
          <w:iCs/>
          <w:color w:val="000000" w:themeColor="text1"/>
          <w:sz w:val="24"/>
          <w:szCs w:val="24"/>
          <w:lang w:val="ru-RU"/>
        </w:rPr>
        <w:t xml:space="preserve">, </w:t>
      </w:r>
      <w:r w:rsidR="00FB3F2B" w:rsidRPr="00D43281">
        <w:rPr>
          <w:rFonts w:ascii="Times New Roman" w:hAnsi="Times New Roman" w:cs="Times New Roman"/>
          <w:b/>
          <w:bCs/>
          <w:i/>
          <w:iCs/>
          <w:color w:val="000000" w:themeColor="text1"/>
          <w:sz w:val="24"/>
          <w:szCs w:val="24"/>
          <w:lang w:val="ru-RU"/>
        </w:rPr>
        <w:t xml:space="preserve">региональными </w:t>
      </w:r>
      <w:r w:rsidR="00C638C8" w:rsidRPr="00D43281">
        <w:rPr>
          <w:rFonts w:ascii="Times New Roman" w:hAnsi="Times New Roman" w:cs="Times New Roman"/>
          <w:b/>
          <w:bCs/>
          <w:i/>
          <w:iCs/>
          <w:color w:val="000000" w:themeColor="text1"/>
          <w:sz w:val="24"/>
          <w:szCs w:val="24"/>
          <w:lang w:val="ru-RU"/>
        </w:rPr>
        <w:t>администрациями</w:t>
      </w:r>
      <w:r w:rsidR="0092686E" w:rsidRPr="00D43281">
        <w:rPr>
          <w:rFonts w:ascii="Times New Roman" w:hAnsi="Times New Roman" w:cs="Times New Roman"/>
          <w:b/>
          <w:bCs/>
          <w:i/>
          <w:iCs/>
          <w:color w:val="000000" w:themeColor="text1"/>
          <w:sz w:val="24"/>
          <w:szCs w:val="24"/>
          <w:lang w:val="ru-RU"/>
        </w:rPr>
        <w:t xml:space="preserve">, </w:t>
      </w:r>
      <w:r w:rsidR="00C638C8" w:rsidRPr="00D43281">
        <w:rPr>
          <w:rFonts w:ascii="Times New Roman" w:hAnsi="Times New Roman" w:cs="Times New Roman"/>
          <w:b/>
          <w:bCs/>
          <w:i/>
          <w:iCs/>
          <w:color w:val="000000" w:themeColor="text1"/>
          <w:sz w:val="24"/>
          <w:szCs w:val="24"/>
          <w:lang w:val="ru-RU"/>
        </w:rPr>
        <w:t>местными органами и субъектами публичного сектора</w:t>
      </w:r>
    </w:p>
    <w:p w14:paraId="6BFE3981" w14:textId="39D14B25" w:rsidR="0092686E" w:rsidRPr="00D43281" w:rsidRDefault="00C638C8" w:rsidP="00DC705E">
      <w:pPr>
        <w:pStyle w:val="ListParagraph"/>
        <w:shd w:val="clear" w:color="auto" w:fill="FFFFFF"/>
        <w:tabs>
          <w:tab w:val="left" w:pos="0"/>
          <w:tab w:val="left" w:pos="567"/>
        </w:tabs>
        <w:spacing w:before="120" w:after="0" w:line="240" w:lineRule="auto"/>
        <w:ind w:left="567"/>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Подчасть</w:t>
      </w:r>
      <w:r w:rsidR="0092686E" w:rsidRPr="00D43281">
        <w:rPr>
          <w:rFonts w:ascii="Times New Roman" w:hAnsi="Times New Roman" w:cs="Times New Roman"/>
          <w:b/>
          <w:bCs/>
          <w:i/>
          <w:iCs/>
          <w:color w:val="000000" w:themeColor="text1"/>
          <w:sz w:val="24"/>
          <w:szCs w:val="24"/>
          <w:lang w:val="ro-RO"/>
        </w:rPr>
        <w:t xml:space="preserve"> 1</w:t>
      </w:r>
    </w:p>
    <w:p w14:paraId="0B37E7D2" w14:textId="3284EB14" w:rsidR="00D15424" w:rsidRPr="00D43281" w:rsidRDefault="00CE30CF" w:rsidP="00DC705E">
      <w:pPr>
        <w:pStyle w:val="ListParagraph"/>
        <w:shd w:val="clear" w:color="auto" w:fill="FFFFFF"/>
        <w:tabs>
          <w:tab w:val="left" w:pos="0"/>
        </w:tabs>
        <w:spacing w:after="120" w:line="240" w:lineRule="auto"/>
        <w:ind w:left="0"/>
        <w:contextualSpacing w:val="0"/>
        <w:jc w:val="center"/>
        <w:rPr>
          <w:rFonts w:ascii="Times New Roman" w:hAnsi="Times New Roman" w:cs="Times New Roman"/>
          <w:b/>
          <w:bCs/>
          <w:i/>
          <w:iCs/>
          <w:color w:val="000000" w:themeColor="text1"/>
          <w:sz w:val="24"/>
          <w:szCs w:val="24"/>
          <w:lang w:val="ru-MD"/>
        </w:rPr>
      </w:pPr>
      <w:r w:rsidRPr="00D43281">
        <w:rPr>
          <w:rFonts w:ascii="Times New Roman" w:hAnsi="Times New Roman" w:cs="Times New Roman"/>
          <w:b/>
          <w:bCs/>
          <w:i/>
          <w:iCs/>
          <w:color w:val="000000" w:themeColor="text1"/>
          <w:sz w:val="24"/>
          <w:szCs w:val="24"/>
          <w:lang w:val="ru-MD"/>
        </w:rPr>
        <w:t>Вероятность невозврата</w:t>
      </w:r>
      <w:r w:rsidRPr="00D43281">
        <w:rPr>
          <w:rFonts w:ascii="Times New Roman" w:hAnsi="Times New Roman" w:cs="Times New Roman"/>
          <w:b/>
          <w:bCs/>
          <w:color w:val="000000" w:themeColor="text1"/>
          <w:sz w:val="24"/>
          <w:szCs w:val="24"/>
          <w:lang w:val="ru-MD"/>
        </w:rPr>
        <w:t xml:space="preserve"> </w:t>
      </w:r>
      <w:r w:rsidR="00DE75B7" w:rsidRPr="00D43281">
        <w:rPr>
          <w:rFonts w:ascii="Times New Roman" w:hAnsi="Times New Roman" w:cs="Times New Roman"/>
          <w:b/>
          <w:bCs/>
          <w:i/>
          <w:iCs/>
          <w:color w:val="000000" w:themeColor="text1"/>
          <w:sz w:val="24"/>
          <w:szCs w:val="24"/>
          <w:lang w:val="ru-MD"/>
        </w:rPr>
        <w:t xml:space="preserve">и неприменение минимальных уровней </w:t>
      </w:r>
      <w:r w:rsidR="0092686E" w:rsidRPr="00D43281">
        <w:rPr>
          <w:rFonts w:ascii="Times New Roman" w:hAnsi="Times New Roman" w:cs="Times New Roman"/>
          <w:b/>
          <w:bCs/>
          <w:i/>
          <w:iCs/>
          <w:color w:val="000000" w:themeColor="text1"/>
          <w:sz w:val="24"/>
          <w:szCs w:val="24"/>
          <w:lang w:val="ru-MD"/>
        </w:rPr>
        <w:t xml:space="preserve">PD, LGD </w:t>
      </w:r>
      <w:r w:rsidR="00DE75B7" w:rsidRPr="00D43281">
        <w:rPr>
          <w:rFonts w:ascii="Times New Roman" w:hAnsi="Times New Roman" w:cs="Times New Roman"/>
          <w:b/>
          <w:bCs/>
          <w:i/>
          <w:iCs/>
          <w:color w:val="000000" w:themeColor="text1"/>
          <w:sz w:val="24"/>
          <w:szCs w:val="24"/>
          <w:lang w:val="ru-MD"/>
        </w:rPr>
        <w:t>и</w:t>
      </w:r>
      <w:r w:rsidR="0092686E" w:rsidRPr="00D43281">
        <w:rPr>
          <w:rFonts w:ascii="Times New Roman" w:hAnsi="Times New Roman" w:cs="Times New Roman"/>
          <w:b/>
          <w:bCs/>
          <w:i/>
          <w:iCs/>
          <w:color w:val="000000" w:themeColor="text1"/>
          <w:sz w:val="24"/>
          <w:szCs w:val="24"/>
          <w:lang w:val="ru-MD"/>
        </w:rPr>
        <w:t xml:space="preserve"> CCF </w:t>
      </w:r>
    </w:p>
    <w:p w14:paraId="4462E74F" w14:textId="303B2214" w:rsidR="001A2F58" w:rsidRPr="00D43281" w:rsidRDefault="001A2F5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Для целей настоящего Регламента, в частности в отношении пунктов 107, 117, 136 и 158, если подверженность обеспечена соответствующим залогом, предоставленным центральной администрацией, центральным банком, минимальные уровни PD, LGD и CCF не применяются к той части подверженности, которая обеспечена этим залогом. Однако на ту часть </w:t>
      </w:r>
      <w:r w:rsidR="001463C5" w:rsidRPr="00D43281">
        <w:rPr>
          <w:rFonts w:ascii="Times New Roman" w:hAnsi="Times New Roman" w:cs="Times New Roman"/>
          <w:color w:val="000000" w:themeColor="text1"/>
          <w:sz w:val="24"/>
          <w:szCs w:val="24"/>
          <w:lang w:val="ru-RU"/>
        </w:rPr>
        <w:t>подверженности</w:t>
      </w:r>
      <w:r w:rsidRPr="00D43281">
        <w:rPr>
          <w:rFonts w:ascii="Times New Roman" w:hAnsi="Times New Roman" w:cs="Times New Roman"/>
          <w:color w:val="000000" w:themeColor="text1"/>
          <w:sz w:val="24"/>
          <w:szCs w:val="24"/>
          <w:lang w:val="ru-RU"/>
        </w:rPr>
        <w:t>, которая не обеспечена этим залогом, распространяются соответствующие минимальные уровни PD, LGD и CCF.</w:t>
      </w:r>
    </w:p>
    <w:p w14:paraId="2604FE4E" w14:textId="17450048" w:rsidR="00B5423A" w:rsidRPr="00D43281" w:rsidRDefault="00B5423A"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95" w:name="_Ref215503947"/>
      <w:r w:rsidRPr="00D43281">
        <w:rPr>
          <w:rFonts w:ascii="Times New Roman" w:hAnsi="Times New Roman" w:cs="Times New Roman"/>
          <w:color w:val="000000" w:themeColor="text1"/>
          <w:sz w:val="24"/>
          <w:szCs w:val="24"/>
          <w:lang w:val="ru-MD"/>
        </w:rPr>
        <w:t>В случае подверженностей, попадающих в классы подверженностей перед банками или обществами, указанные в подпунктах 19.3 или 19.4</w:t>
      </w:r>
      <w:r w:rsidR="00B548AE" w:rsidRPr="00D43281">
        <w:rPr>
          <w:rFonts w:ascii="Times New Roman" w:hAnsi="Times New Roman" w:cs="Times New Roman"/>
          <w:color w:val="000000" w:themeColor="text1"/>
          <w:sz w:val="24"/>
          <w:szCs w:val="24"/>
          <w:lang w:val="ru-MD"/>
        </w:rPr>
        <w:t xml:space="preserve"> пункта 19</w:t>
      </w:r>
      <w:r w:rsidRPr="00D43281">
        <w:rPr>
          <w:rFonts w:ascii="Times New Roman" w:hAnsi="Times New Roman" w:cs="Times New Roman"/>
          <w:color w:val="000000" w:themeColor="text1"/>
          <w:sz w:val="24"/>
          <w:szCs w:val="24"/>
          <w:lang w:val="ru-MD"/>
        </w:rPr>
        <w:t xml:space="preserve">, исключительно для целей расчета взвешенных по риску сумм </w:t>
      </w:r>
      <w:r w:rsidR="00B548AE" w:rsidRPr="00D43281">
        <w:rPr>
          <w:rFonts w:ascii="Times New Roman" w:hAnsi="Times New Roman" w:cs="Times New Roman"/>
          <w:color w:val="000000" w:themeColor="text1"/>
          <w:sz w:val="24"/>
          <w:szCs w:val="24"/>
          <w:lang w:val="ru-MD"/>
        </w:rPr>
        <w:t>подверженностей</w:t>
      </w:r>
      <w:r w:rsidRPr="00D43281">
        <w:rPr>
          <w:rFonts w:ascii="Times New Roman" w:hAnsi="Times New Roman" w:cs="Times New Roman"/>
          <w:color w:val="000000" w:themeColor="text1"/>
          <w:sz w:val="24"/>
          <w:szCs w:val="24"/>
          <w:lang w:val="ru-MD"/>
        </w:rPr>
        <w:t xml:space="preserve"> и ожидаемых убытков по этим </w:t>
      </w:r>
      <w:r w:rsidR="00B548AE" w:rsidRPr="00D43281">
        <w:rPr>
          <w:rFonts w:ascii="Times New Roman" w:hAnsi="Times New Roman" w:cs="Times New Roman"/>
          <w:color w:val="000000" w:themeColor="text1"/>
          <w:sz w:val="24"/>
          <w:szCs w:val="24"/>
          <w:lang w:val="ru-MD"/>
        </w:rPr>
        <w:t>подверженностям</w:t>
      </w:r>
      <w:r w:rsidRPr="00D43281">
        <w:rPr>
          <w:rFonts w:ascii="Times New Roman" w:hAnsi="Times New Roman" w:cs="Times New Roman"/>
          <w:color w:val="000000" w:themeColor="text1"/>
          <w:sz w:val="24"/>
          <w:szCs w:val="24"/>
          <w:lang w:val="ru-MD"/>
        </w:rPr>
        <w:t xml:space="preserve">, в частности для целей пунктов 71-79 и 89-93 и пунктов 94, 98-99 и 102, значение вероятности </w:t>
      </w:r>
      <w:r w:rsidR="00B548AE" w:rsidRPr="00D43281">
        <w:rPr>
          <w:rFonts w:ascii="Times New Roman" w:hAnsi="Times New Roman" w:cs="Times New Roman"/>
          <w:color w:val="000000" w:themeColor="text1"/>
          <w:sz w:val="24"/>
          <w:szCs w:val="24"/>
          <w:lang w:val="ru-MD"/>
        </w:rPr>
        <w:t>невозврата</w:t>
      </w:r>
      <w:r w:rsidRPr="00D43281">
        <w:rPr>
          <w:rFonts w:ascii="Times New Roman" w:hAnsi="Times New Roman" w:cs="Times New Roman"/>
          <w:color w:val="000000" w:themeColor="text1"/>
          <w:sz w:val="24"/>
          <w:szCs w:val="24"/>
          <w:lang w:val="ru-MD"/>
        </w:rPr>
        <w:t xml:space="preserve"> (PD) для каждо</w:t>
      </w:r>
      <w:r w:rsidR="00A2128B" w:rsidRPr="00D43281">
        <w:rPr>
          <w:rFonts w:ascii="Times New Roman" w:hAnsi="Times New Roman" w:cs="Times New Roman"/>
          <w:color w:val="000000" w:themeColor="text1"/>
          <w:sz w:val="24"/>
          <w:szCs w:val="24"/>
          <w:lang w:val="ru-MD"/>
        </w:rPr>
        <w:t>й подверженности</w:t>
      </w:r>
      <w:r w:rsidRPr="00D43281">
        <w:rPr>
          <w:rFonts w:ascii="Times New Roman" w:hAnsi="Times New Roman" w:cs="Times New Roman"/>
          <w:color w:val="000000" w:themeColor="text1"/>
          <w:sz w:val="24"/>
          <w:szCs w:val="24"/>
          <w:lang w:val="ru-MD"/>
        </w:rPr>
        <w:t>, используемо</w:t>
      </w:r>
      <w:r w:rsidR="00A2128B" w:rsidRPr="00D43281">
        <w:rPr>
          <w:rFonts w:ascii="Times New Roman" w:hAnsi="Times New Roman" w:cs="Times New Roman"/>
          <w:color w:val="000000" w:themeColor="text1"/>
          <w:sz w:val="24"/>
          <w:szCs w:val="24"/>
          <w:lang w:val="ru-MD"/>
        </w:rPr>
        <w:t>й</w:t>
      </w:r>
      <w:r w:rsidRPr="00D43281">
        <w:rPr>
          <w:rFonts w:ascii="Times New Roman" w:hAnsi="Times New Roman" w:cs="Times New Roman"/>
          <w:color w:val="000000" w:themeColor="text1"/>
          <w:sz w:val="24"/>
          <w:szCs w:val="24"/>
          <w:lang w:val="ru-MD"/>
        </w:rPr>
        <w:t xml:space="preserve"> в качестве входных данных для формулы расчета взвешенных по риску сумм </w:t>
      </w:r>
      <w:r w:rsidR="00A2128B" w:rsidRPr="00D43281">
        <w:rPr>
          <w:rFonts w:ascii="Times New Roman" w:hAnsi="Times New Roman" w:cs="Times New Roman"/>
          <w:color w:val="000000" w:themeColor="text1"/>
          <w:sz w:val="24"/>
          <w:szCs w:val="24"/>
          <w:lang w:val="ru-MD"/>
        </w:rPr>
        <w:t>подверженностей</w:t>
      </w:r>
      <w:r w:rsidRPr="00D43281">
        <w:rPr>
          <w:rFonts w:ascii="Times New Roman" w:hAnsi="Times New Roman" w:cs="Times New Roman"/>
          <w:color w:val="000000" w:themeColor="text1"/>
          <w:sz w:val="24"/>
          <w:szCs w:val="24"/>
          <w:lang w:val="ru-MD"/>
        </w:rPr>
        <w:t xml:space="preserve"> и ожидаемых убытков, не должно быть меньше следующего минимального значения вероятности </w:t>
      </w:r>
      <w:r w:rsidR="00A2128B" w:rsidRPr="00D43281">
        <w:rPr>
          <w:rFonts w:ascii="Times New Roman" w:hAnsi="Times New Roman" w:cs="Times New Roman"/>
          <w:color w:val="000000" w:themeColor="text1"/>
          <w:sz w:val="24"/>
          <w:szCs w:val="24"/>
          <w:lang w:val="ru-MD"/>
        </w:rPr>
        <w:t>невозврата</w:t>
      </w:r>
      <w:r w:rsidRPr="00D43281">
        <w:rPr>
          <w:rFonts w:ascii="Times New Roman" w:hAnsi="Times New Roman" w:cs="Times New Roman"/>
          <w:color w:val="000000" w:themeColor="text1"/>
          <w:sz w:val="24"/>
          <w:szCs w:val="24"/>
          <w:lang w:val="ru-MD"/>
        </w:rPr>
        <w:t>: 0,05%.</w:t>
      </w:r>
    </w:p>
    <w:bookmarkEnd w:id="95"/>
    <w:p w14:paraId="0D8017DE" w14:textId="119049E6" w:rsidR="00165A3B" w:rsidRPr="00D43281" w:rsidRDefault="00165A3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В случае подверженностей, попадающих в классы подверженностей, указанные в пункте 19, подпункте 19.2, исключительно для целей расчета взвешенных по риску сумм подверженностей, попадающих в классы подверженностей и ожидаемых убытков, связанных с этими подверженностей, попадающих в классы подверженностей, значение вероятности невозврата (PD) для </w:t>
      </w:r>
      <w:r w:rsidR="00474D8A" w:rsidRPr="00D43281">
        <w:rPr>
          <w:rFonts w:ascii="Times New Roman" w:hAnsi="Times New Roman" w:cs="Times New Roman"/>
          <w:color w:val="000000" w:themeColor="text1"/>
          <w:sz w:val="24"/>
          <w:szCs w:val="24"/>
          <w:lang w:val="ru-MD"/>
        </w:rPr>
        <w:t xml:space="preserve">каждой подверженности, используемой </w:t>
      </w:r>
      <w:r w:rsidRPr="00D43281">
        <w:rPr>
          <w:rFonts w:ascii="Times New Roman" w:hAnsi="Times New Roman" w:cs="Times New Roman"/>
          <w:color w:val="000000" w:themeColor="text1"/>
          <w:sz w:val="24"/>
          <w:szCs w:val="24"/>
          <w:lang w:val="ru-MD"/>
        </w:rPr>
        <w:t xml:space="preserve">в качестве входных данных для формулы расчета взвешенных по риску сумм </w:t>
      </w:r>
      <w:r w:rsidR="00474D8A" w:rsidRPr="00D43281">
        <w:rPr>
          <w:rFonts w:ascii="Times New Roman" w:hAnsi="Times New Roman" w:cs="Times New Roman"/>
          <w:color w:val="000000" w:themeColor="text1"/>
          <w:sz w:val="24"/>
          <w:szCs w:val="24"/>
          <w:lang w:val="ru-MD"/>
        </w:rPr>
        <w:t>подверженностей</w:t>
      </w:r>
      <w:r w:rsidRPr="00D43281">
        <w:rPr>
          <w:rFonts w:ascii="Times New Roman" w:hAnsi="Times New Roman" w:cs="Times New Roman"/>
          <w:color w:val="000000" w:themeColor="text1"/>
          <w:sz w:val="24"/>
          <w:szCs w:val="24"/>
          <w:lang w:val="ru-MD"/>
        </w:rPr>
        <w:t xml:space="preserve"> и ожидаемых убытков, не должно быть меньше следующего минимального значения вероятности </w:t>
      </w:r>
      <w:r w:rsidR="00474D8A" w:rsidRPr="00D43281">
        <w:rPr>
          <w:rFonts w:ascii="Times New Roman" w:hAnsi="Times New Roman" w:cs="Times New Roman"/>
          <w:color w:val="000000" w:themeColor="text1"/>
          <w:sz w:val="24"/>
          <w:szCs w:val="24"/>
          <w:lang w:val="ru-MD"/>
        </w:rPr>
        <w:t>невозврата</w:t>
      </w:r>
      <w:r w:rsidRPr="00D43281">
        <w:rPr>
          <w:rFonts w:ascii="Times New Roman" w:hAnsi="Times New Roman" w:cs="Times New Roman"/>
          <w:color w:val="000000" w:themeColor="text1"/>
          <w:sz w:val="24"/>
          <w:szCs w:val="24"/>
          <w:lang w:val="ru-MD"/>
        </w:rPr>
        <w:t>: 0,03%.</w:t>
      </w:r>
    </w:p>
    <w:p w14:paraId="043FB58F" w14:textId="3654EE17" w:rsidR="00DC705E" w:rsidRPr="00D43281" w:rsidRDefault="00E970AF" w:rsidP="00682097">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В случае подверженностей, возникающих в связи с корпоративной дебиторской задолженностью, приобретенной банком, для которой банк не может оценить </w:t>
      </w:r>
      <w:r w:rsidR="009B4F27">
        <w:rPr>
          <w:rFonts w:ascii="Times New Roman" w:hAnsi="Times New Roman" w:cs="Times New Roman"/>
          <w:color w:val="000000" w:themeColor="text1"/>
          <w:sz w:val="24"/>
          <w:szCs w:val="24"/>
          <w:lang w:val="en-US"/>
        </w:rPr>
        <w:t>PD</w:t>
      </w:r>
      <w:r w:rsidRPr="00D43281">
        <w:rPr>
          <w:rFonts w:ascii="Times New Roman" w:hAnsi="Times New Roman" w:cs="Times New Roman"/>
          <w:color w:val="000000" w:themeColor="text1"/>
          <w:sz w:val="24"/>
          <w:szCs w:val="24"/>
          <w:lang w:val="ru-RU"/>
        </w:rPr>
        <w:t xml:space="preserve"> или для которой оценки </w:t>
      </w:r>
      <w:r w:rsidR="009B4F27">
        <w:rPr>
          <w:rFonts w:ascii="Times New Roman" w:hAnsi="Times New Roman" w:cs="Times New Roman"/>
          <w:color w:val="000000" w:themeColor="text1"/>
          <w:sz w:val="24"/>
          <w:szCs w:val="24"/>
          <w:lang w:val="en-US"/>
        </w:rPr>
        <w:t>PD</w:t>
      </w:r>
      <w:r w:rsidRPr="00D43281">
        <w:rPr>
          <w:rFonts w:ascii="Times New Roman" w:hAnsi="Times New Roman" w:cs="Times New Roman"/>
          <w:color w:val="000000" w:themeColor="text1"/>
          <w:sz w:val="24"/>
          <w:szCs w:val="24"/>
          <w:lang w:val="ru-RU"/>
        </w:rPr>
        <w:t xml:space="preserve">, произведенные банком, не соответствуют требованиям, изложенным в Главе VI, </w:t>
      </w:r>
      <w:r w:rsidR="009B4F27">
        <w:rPr>
          <w:rFonts w:ascii="Times New Roman" w:hAnsi="Times New Roman" w:cs="Times New Roman"/>
          <w:color w:val="000000" w:themeColor="text1"/>
          <w:sz w:val="24"/>
          <w:szCs w:val="24"/>
          <w:lang w:val="en-US"/>
        </w:rPr>
        <w:t>PD</w:t>
      </w:r>
      <w:r w:rsidRPr="00D43281">
        <w:rPr>
          <w:rFonts w:ascii="Times New Roman" w:hAnsi="Times New Roman" w:cs="Times New Roman"/>
          <w:color w:val="000000" w:themeColor="text1"/>
          <w:sz w:val="24"/>
          <w:szCs w:val="24"/>
          <w:lang w:val="ru-RU"/>
        </w:rPr>
        <w:t xml:space="preserve"> определяется следующими методами</w:t>
      </w:r>
      <w:r w:rsidR="00DC705E" w:rsidRPr="00D43281">
        <w:rPr>
          <w:rFonts w:ascii="Times New Roman" w:hAnsi="Times New Roman" w:cs="Times New Roman"/>
          <w:color w:val="000000" w:themeColor="text1"/>
          <w:sz w:val="24"/>
          <w:szCs w:val="24"/>
          <w:lang w:val="ru-RU"/>
        </w:rPr>
        <w:t>:</w:t>
      </w:r>
    </w:p>
    <w:p w14:paraId="1D743D6D" w14:textId="4412B877" w:rsidR="00393695" w:rsidRPr="00D43281" w:rsidRDefault="0039369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Для </w:t>
      </w:r>
      <w:r w:rsidR="00FD1B4D" w:rsidRPr="00D43281">
        <w:rPr>
          <w:rFonts w:ascii="Times New Roman" w:hAnsi="Times New Roman" w:cs="Times New Roman"/>
          <w:color w:val="000000" w:themeColor="text1"/>
          <w:sz w:val="24"/>
          <w:szCs w:val="24"/>
          <w:lang w:val="ru-RU"/>
        </w:rPr>
        <w:t xml:space="preserve">приоритетных </w:t>
      </w:r>
      <w:r w:rsidRPr="00D43281">
        <w:rPr>
          <w:rFonts w:ascii="Times New Roman" w:hAnsi="Times New Roman" w:cs="Times New Roman"/>
          <w:color w:val="000000" w:themeColor="text1"/>
          <w:sz w:val="24"/>
          <w:szCs w:val="24"/>
          <w:lang w:val="ru-RU"/>
        </w:rPr>
        <w:t xml:space="preserve">корпоративных дебиторских задолженностей, приобретенных банком, </w:t>
      </w:r>
      <w:r w:rsidR="009B4F27">
        <w:rPr>
          <w:rFonts w:ascii="Times New Roman" w:hAnsi="Times New Roman" w:cs="Times New Roman"/>
          <w:color w:val="000000" w:themeColor="text1"/>
          <w:sz w:val="24"/>
          <w:szCs w:val="24"/>
          <w:lang w:val="en-US"/>
        </w:rPr>
        <w:t>PD</w:t>
      </w:r>
      <w:r w:rsidRPr="00D43281">
        <w:rPr>
          <w:rFonts w:ascii="Times New Roman" w:hAnsi="Times New Roman" w:cs="Times New Roman"/>
          <w:color w:val="000000" w:themeColor="text1"/>
          <w:sz w:val="24"/>
          <w:szCs w:val="24"/>
          <w:lang w:val="ru-RU"/>
        </w:rPr>
        <w:t xml:space="preserve"> определяется как оценка банком ожидаемых убытков, деленная на убытки в случае невозврата по этим дебиторским задолженностям</w:t>
      </w:r>
      <w:r w:rsidR="00A72B5D" w:rsidRPr="00D43281">
        <w:rPr>
          <w:rFonts w:ascii="Times New Roman" w:hAnsi="Times New Roman" w:cs="Times New Roman"/>
          <w:color w:val="000000" w:themeColor="text1"/>
          <w:sz w:val="24"/>
          <w:szCs w:val="24"/>
          <w:lang w:val="ru-RU"/>
        </w:rPr>
        <w:t>;</w:t>
      </w:r>
    </w:p>
    <w:p w14:paraId="684D7AE9" w14:textId="0088678D" w:rsidR="00DC705E" w:rsidRPr="00D43281" w:rsidRDefault="009231FF" w:rsidP="00125C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MD"/>
        </w:rPr>
        <w:t xml:space="preserve">Для субординированных прав в отношении корпоративной дебиторской задолженности, приобретенной банком, </w:t>
      </w:r>
      <w:r w:rsidR="009B4F27">
        <w:rPr>
          <w:rFonts w:ascii="Times New Roman" w:hAnsi="Times New Roman" w:cs="Times New Roman"/>
          <w:color w:val="000000" w:themeColor="text1"/>
          <w:sz w:val="24"/>
          <w:szCs w:val="24"/>
          <w:lang w:val="en-US"/>
        </w:rPr>
        <w:t>PD</w:t>
      </w:r>
      <w:r w:rsidRPr="00D43281">
        <w:rPr>
          <w:rFonts w:ascii="Times New Roman" w:hAnsi="Times New Roman" w:cs="Times New Roman"/>
          <w:color w:val="000000" w:themeColor="text1"/>
          <w:sz w:val="24"/>
          <w:szCs w:val="24"/>
          <w:lang w:val="ru-MD"/>
        </w:rPr>
        <w:t xml:space="preserve"> представляет собой оценку банком ожидаемых убытков</w:t>
      </w:r>
      <w:r w:rsidR="00A72B5D" w:rsidRPr="00D43281">
        <w:rPr>
          <w:rFonts w:ascii="Times New Roman" w:hAnsi="Times New Roman" w:cs="Times New Roman"/>
          <w:color w:val="000000" w:themeColor="text1"/>
          <w:sz w:val="24"/>
          <w:szCs w:val="24"/>
          <w:lang w:val="ru-RU"/>
        </w:rPr>
        <w:t>.</w:t>
      </w:r>
    </w:p>
    <w:p w14:paraId="77578E43" w14:textId="4DE2C688" w:rsidR="00DB50CD" w:rsidRPr="00D43281" w:rsidRDefault="00DB50CD"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lastRenderedPageBreak/>
        <w:t xml:space="preserve">Банк, получивший в соответствии с пунктами 4-7 разрешение Национального банка Молдовы на использование собственных оценок убытков в случае </w:t>
      </w:r>
      <w:r w:rsidR="005C4EEB" w:rsidRPr="00D43281">
        <w:rPr>
          <w:rFonts w:ascii="Times New Roman" w:hAnsi="Times New Roman" w:cs="Times New Roman"/>
          <w:color w:val="000000" w:themeColor="text1"/>
          <w:sz w:val="24"/>
          <w:szCs w:val="24"/>
          <w:lang w:val="ru-RU"/>
        </w:rPr>
        <w:t>невозврата</w:t>
      </w:r>
      <w:r w:rsidR="000D74D5" w:rsidRPr="00D43281">
        <w:rPr>
          <w:rFonts w:ascii="Times New Roman" w:hAnsi="Times New Roman" w:cs="Times New Roman"/>
          <w:color w:val="000000" w:themeColor="text1"/>
          <w:sz w:val="24"/>
          <w:szCs w:val="24"/>
          <w:lang w:val="ru-RU"/>
        </w:rPr>
        <w:t xml:space="preserve"> для подверженностей перед обществами</w:t>
      </w:r>
      <w:r w:rsidRPr="00D43281">
        <w:rPr>
          <w:rFonts w:ascii="Times New Roman" w:hAnsi="Times New Roman" w:cs="Times New Roman"/>
          <w:color w:val="000000" w:themeColor="text1"/>
          <w:sz w:val="24"/>
          <w:szCs w:val="24"/>
          <w:lang w:val="ru-RU"/>
        </w:rPr>
        <w:t>, и способный разл</w:t>
      </w:r>
      <w:r w:rsidR="005542D0" w:rsidRPr="00D43281">
        <w:rPr>
          <w:rFonts w:ascii="Times New Roman" w:hAnsi="Times New Roman" w:cs="Times New Roman"/>
          <w:color w:val="000000" w:themeColor="text1"/>
          <w:sz w:val="24"/>
          <w:szCs w:val="24"/>
          <w:lang w:val="ru-RU"/>
        </w:rPr>
        <w:t>ичать</w:t>
      </w:r>
      <w:r w:rsidRPr="00D43281">
        <w:rPr>
          <w:rFonts w:ascii="Times New Roman" w:hAnsi="Times New Roman" w:cs="Times New Roman"/>
          <w:color w:val="000000" w:themeColor="text1"/>
          <w:sz w:val="24"/>
          <w:szCs w:val="24"/>
          <w:lang w:val="ru-RU"/>
        </w:rPr>
        <w:t xml:space="preserve"> свои оценки ожидаемых убытков по корпоративной дебиторской задолженности, приобретенной им, на </w:t>
      </w:r>
      <w:r w:rsidR="009B4F27">
        <w:rPr>
          <w:rFonts w:ascii="Times New Roman" w:hAnsi="Times New Roman" w:cs="Times New Roman"/>
          <w:color w:val="000000" w:themeColor="text1"/>
          <w:sz w:val="24"/>
          <w:szCs w:val="24"/>
          <w:lang w:val="en-US"/>
        </w:rPr>
        <w:t>PD</w:t>
      </w:r>
      <w:r w:rsidRPr="00D43281">
        <w:rPr>
          <w:rFonts w:ascii="Times New Roman" w:hAnsi="Times New Roman" w:cs="Times New Roman"/>
          <w:color w:val="000000" w:themeColor="text1"/>
          <w:sz w:val="24"/>
          <w:szCs w:val="24"/>
          <w:lang w:val="ru-RU"/>
        </w:rPr>
        <w:t xml:space="preserve"> и убытки в случае невыполнения обязательств таким образом, который Национальный банк Молдовы сочтет надежным, может использовать оценку </w:t>
      </w:r>
      <w:r w:rsidR="009B4F27">
        <w:rPr>
          <w:rFonts w:ascii="Times New Roman" w:hAnsi="Times New Roman" w:cs="Times New Roman"/>
          <w:color w:val="000000" w:themeColor="text1"/>
          <w:sz w:val="24"/>
          <w:szCs w:val="24"/>
          <w:lang w:val="en-US"/>
        </w:rPr>
        <w:t>PD</w:t>
      </w:r>
      <w:r w:rsidRPr="00D43281">
        <w:rPr>
          <w:rFonts w:ascii="Times New Roman" w:hAnsi="Times New Roman" w:cs="Times New Roman"/>
          <w:color w:val="000000" w:themeColor="text1"/>
          <w:sz w:val="24"/>
          <w:szCs w:val="24"/>
          <w:lang w:val="ru-RU"/>
        </w:rPr>
        <w:t>, полученную в результате такого разл</w:t>
      </w:r>
      <w:r w:rsidR="005542D0" w:rsidRPr="00D43281">
        <w:rPr>
          <w:rFonts w:ascii="Times New Roman" w:hAnsi="Times New Roman" w:cs="Times New Roman"/>
          <w:color w:val="000000" w:themeColor="text1"/>
          <w:sz w:val="24"/>
          <w:szCs w:val="24"/>
          <w:lang w:val="ru-RU"/>
        </w:rPr>
        <w:t>ичен</w:t>
      </w:r>
      <w:r w:rsidRPr="00D43281">
        <w:rPr>
          <w:rFonts w:ascii="Times New Roman" w:hAnsi="Times New Roman" w:cs="Times New Roman"/>
          <w:color w:val="000000" w:themeColor="text1"/>
          <w:sz w:val="24"/>
          <w:szCs w:val="24"/>
          <w:lang w:val="ru-RU"/>
        </w:rPr>
        <w:t>ия.</w:t>
      </w:r>
    </w:p>
    <w:p w14:paraId="6368A383" w14:textId="4307561E" w:rsidR="00DC705E" w:rsidRPr="00D43281" w:rsidRDefault="008246E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В случае неплатежеспособных должников </w:t>
      </w:r>
      <w:r w:rsidR="00822DA3">
        <w:rPr>
          <w:rFonts w:ascii="Times New Roman" w:hAnsi="Times New Roman" w:cs="Times New Roman"/>
          <w:color w:val="000000" w:themeColor="text1"/>
          <w:sz w:val="24"/>
          <w:szCs w:val="24"/>
          <w:lang w:val="en-US"/>
        </w:rPr>
        <w:t>PD</w:t>
      </w:r>
      <w:r w:rsidRPr="00D43281">
        <w:rPr>
          <w:rFonts w:ascii="Times New Roman" w:hAnsi="Times New Roman" w:cs="Times New Roman"/>
          <w:color w:val="000000" w:themeColor="text1"/>
          <w:sz w:val="24"/>
          <w:szCs w:val="24"/>
          <w:lang w:val="ru-RU"/>
        </w:rPr>
        <w:t xml:space="preserve"> составляет 100%.</w:t>
      </w:r>
    </w:p>
    <w:p w14:paraId="00A99D10" w14:textId="5C04E668" w:rsidR="004E6599" w:rsidRPr="00D43281" w:rsidRDefault="004E6599"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В случае подверженности, покрываемой необеспеченной кредитной защитой, банк, использующий собственные оценки LGD в соответствии с пунктами </w:t>
      </w:r>
      <w:r w:rsidR="00E2466A" w:rsidRPr="00D43281">
        <w:rPr>
          <w:rFonts w:ascii="Times New Roman" w:hAnsi="Times New Roman" w:cs="Times New Roman"/>
          <w:color w:val="000000" w:themeColor="text1"/>
          <w:sz w:val="24"/>
          <w:szCs w:val="24"/>
          <w:lang w:val="ru-MD"/>
        </w:rPr>
        <w:t xml:space="preserve">4–7 </w:t>
      </w:r>
      <w:r w:rsidRPr="00D43281">
        <w:rPr>
          <w:rFonts w:ascii="Times New Roman" w:hAnsi="Times New Roman" w:cs="Times New Roman"/>
          <w:color w:val="000000" w:themeColor="text1"/>
          <w:sz w:val="24"/>
          <w:szCs w:val="24"/>
          <w:lang w:val="ru-MD"/>
        </w:rPr>
        <w:t xml:space="preserve">как для </w:t>
      </w:r>
      <w:r w:rsidR="00E2466A" w:rsidRPr="00D43281">
        <w:rPr>
          <w:rFonts w:ascii="Times New Roman" w:hAnsi="Times New Roman" w:cs="Times New Roman"/>
          <w:color w:val="000000" w:themeColor="text1"/>
          <w:sz w:val="24"/>
          <w:szCs w:val="24"/>
          <w:lang w:val="ru-MD"/>
        </w:rPr>
        <w:t xml:space="preserve">подверженности, покрываемой </w:t>
      </w:r>
      <w:r w:rsidRPr="00D43281">
        <w:rPr>
          <w:rFonts w:ascii="Times New Roman" w:hAnsi="Times New Roman" w:cs="Times New Roman"/>
          <w:color w:val="000000" w:themeColor="text1"/>
          <w:sz w:val="24"/>
          <w:szCs w:val="24"/>
          <w:lang w:val="ru-MD"/>
        </w:rPr>
        <w:t xml:space="preserve">необеспеченной кредитной защитой, так и для сопоставимых прямых </w:t>
      </w:r>
      <w:r w:rsidR="00E2466A" w:rsidRPr="00D43281">
        <w:rPr>
          <w:rFonts w:ascii="Times New Roman" w:hAnsi="Times New Roman" w:cs="Times New Roman"/>
          <w:color w:val="000000" w:themeColor="text1"/>
          <w:sz w:val="24"/>
          <w:szCs w:val="24"/>
          <w:lang w:val="ru-MD"/>
        </w:rPr>
        <w:t>подверженностей</w:t>
      </w:r>
      <w:r w:rsidRPr="00D43281">
        <w:rPr>
          <w:rFonts w:ascii="Times New Roman" w:hAnsi="Times New Roman" w:cs="Times New Roman"/>
          <w:color w:val="000000" w:themeColor="text1"/>
          <w:sz w:val="24"/>
          <w:szCs w:val="24"/>
          <w:lang w:val="ru-MD"/>
        </w:rPr>
        <w:t xml:space="preserve"> перед поставщиком защиты, может признать необеспеченную кредитную защиту в LGD в соответствии с пунктами </w:t>
      </w:r>
      <w:proofErr w:type="gramStart"/>
      <w:r w:rsidRPr="00D43281">
        <w:rPr>
          <w:rFonts w:ascii="Times New Roman" w:hAnsi="Times New Roman" w:cs="Times New Roman"/>
          <w:color w:val="000000" w:themeColor="text1"/>
          <w:sz w:val="24"/>
          <w:szCs w:val="24"/>
          <w:lang w:val="ru-MD"/>
        </w:rPr>
        <w:t>22</w:t>
      </w:r>
      <w:r w:rsidR="00A56098" w:rsidRPr="00BB1E28">
        <w:rPr>
          <w:rFonts w:ascii="Times New Roman" w:hAnsi="Times New Roman" w:cs="Times New Roman"/>
          <w:color w:val="000000" w:themeColor="text1"/>
          <w:sz w:val="24"/>
          <w:szCs w:val="24"/>
          <w:lang w:val="ru-RU"/>
        </w:rPr>
        <w:t>0</w:t>
      </w:r>
      <w:r w:rsidRPr="00D43281">
        <w:rPr>
          <w:rFonts w:ascii="Times New Roman" w:hAnsi="Times New Roman" w:cs="Times New Roman"/>
          <w:color w:val="000000" w:themeColor="text1"/>
          <w:sz w:val="24"/>
          <w:szCs w:val="24"/>
          <w:lang w:val="ru-MD"/>
        </w:rPr>
        <w:t>-23</w:t>
      </w:r>
      <w:r w:rsidR="00A56098" w:rsidRPr="00BB1E28">
        <w:rPr>
          <w:rFonts w:ascii="Times New Roman" w:hAnsi="Times New Roman" w:cs="Times New Roman"/>
          <w:color w:val="000000" w:themeColor="text1"/>
          <w:sz w:val="24"/>
          <w:szCs w:val="24"/>
          <w:lang w:val="ru-RU"/>
        </w:rPr>
        <w:t>0</w:t>
      </w:r>
      <w:proofErr w:type="gramEnd"/>
      <w:r w:rsidRPr="00D43281">
        <w:rPr>
          <w:rFonts w:ascii="Times New Roman" w:hAnsi="Times New Roman" w:cs="Times New Roman"/>
          <w:color w:val="000000" w:themeColor="text1"/>
          <w:sz w:val="24"/>
          <w:szCs w:val="24"/>
          <w:lang w:val="ru-MD"/>
        </w:rPr>
        <w:t>.</w:t>
      </w:r>
    </w:p>
    <w:p w14:paraId="2024E15C" w14:textId="68440BB4" w:rsidR="004F16EB" w:rsidRPr="00D43281" w:rsidRDefault="008700AC" w:rsidP="00344B6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RU"/>
        </w:rPr>
        <w:t xml:space="preserve">Для оценки риска снижения стоимости приобретенных корпоративных дебиторских задолженностей значение параметра PD устанавливается равным оценке банка </w:t>
      </w:r>
      <w:r w:rsidR="0003341E" w:rsidRPr="00D43281">
        <w:rPr>
          <w:rFonts w:ascii="Times New Roman" w:hAnsi="Times New Roman" w:cs="Times New Roman"/>
          <w:color w:val="000000" w:themeColor="text1"/>
          <w:sz w:val="24"/>
          <w:szCs w:val="24"/>
          <w:lang w:val="ru-RU"/>
        </w:rPr>
        <w:t>ожидаемых убытков от риска снижения</w:t>
      </w:r>
      <w:r w:rsidRPr="00D43281">
        <w:rPr>
          <w:rFonts w:ascii="Times New Roman" w:hAnsi="Times New Roman" w:cs="Times New Roman"/>
          <w:color w:val="000000" w:themeColor="text1"/>
          <w:sz w:val="24"/>
          <w:szCs w:val="24"/>
          <w:lang w:val="ro-RO"/>
        </w:rPr>
        <w:t xml:space="preserve"> </w:t>
      </w:r>
      <w:r w:rsidR="00F33397" w:rsidRPr="00D43281">
        <w:rPr>
          <w:rFonts w:ascii="Times New Roman" w:hAnsi="Times New Roman" w:cs="Times New Roman"/>
          <w:color w:val="000000" w:themeColor="text1"/>
          <w:sz w:val="24"/>
          <w:szCs w:val="24"/>
          <w:lang w:val="ru-RU"/>
        </w:rPr>
        <w:t xml:space="preserve">дебиторской задолженности. </w:t>
      </w:r>
      <w:r w:rsidR="004F16EB" w:rsidRPr="00D43281">
        <w:rPr>
          <w:rFonts w:ascii="Times New Roman" w:hAnsi="Times New Roman" w:cs="Times New Roman"/>
          <w:color w:val="000000" w:themeColor="text1"/>
          <w:sz w:val="24"/>
          <w:szCs w:val="24"/>
          <w:lang w:val="ru-RU"/>
        </w:rPr>
        <w:t xml:space="preserve">Банк, получивший в соответствии с пунктами </w:t>
      </w:r>
      <w:proofErr w:type="gramStart"/>
      <w:r w:rsidR="004F16EB" w:rsidRPr="00D43281">
        <w:rPr>
          <w:rFonts w:ascii="Times New Roman" w:hAnsi="Times New Roman" w:cs="Times New Roman"/>
          <w:color w:val="000000" w:themeColor="text1"/>
          <w:sz w:val="24"/>
          <w:szCs w:val="24"/>
          <w:lang w:val="ru-RU"/>
        </w:rPr>
        <w:t>4-7</w:t>
      </w:r>
      <w:proofErr w:type="gramEnd"/>
      <w:r w:rsidR="004F16EB" w:rsidRPr="00D43281">
        <w:rPr>
          <w:rFonts w:ascii="Times New Roman" w:hAnsi="Times New Roman" w:cs="Times New Roman"/>
          <w:color w:val="000000" w:themeColor="text1"/>
          <w:sz w:val="24"/>
          <w:szCs w:val="24"/>
          <w:lang w:val="ru-RU"/>
        </w:rPr>
        <w:t xml:space="preserve"> разрешение Национального банка Молдовы на использование собственных оценок LGD для корпоративных подверженностей и способный разложить свои оценки ожидаемых потерь от риска снижения стоимости приобретенных корпоративных дебиторских задолженностей на PD и LGD таким образом, который Национальный банк Молдовы сочтет надежным, может использовать оценки PD, полученные в результате такого разложения. При расчете PD банки могут признавать необеспеченную кредитную защиту в соответствии с </w:t>
      </w:r>
      <w:r w:rsidR="00B21AB5" w:rsidRPr="00D43281">
        <w:rPr>
          <w:rFonts w:ascii="Times New Roman" w:hAnsi="Times New Roman" w:cs="Times New Roman"/>
          <w:color w:val="000000" w:themeColor="text1"/>
          <w:sz w:val="24"/>
          <w:szCs w:val="24"/>
          <w:lang w:val="ru-RU"/>
        </w:rPr>
        <w:t>Регламентом</w:t>
      </w:r>
      <w:r w:rsidR="004F16EB" w:rsidRPr="00D43281">
        <w:rPr>
          <w:rFonts w:ascii="Times New Roman" w:hAnsi="Times New Roman" w:cs="Times New Roman"/>
          <w:color w:val="000000" w:themeColor="text1"/>
          <w:sz w:val="24"/>
          <w:szCs w:val="24"/>
          <w:lang w:val="ru-RU"/>
        </w:rPr>
        <w:t xml:space="preserve"> № 112/2018.</w:t>
      </w:r>
    </w:p>
    <w:p w14:paraId="2A659D0C" w14:textId="62D51476" w:rsidR="00F212FE" w:rsidRPr="00D43281" w:rsidRDefault="00F212F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Банк, получивший в соответствии с пунктами </w:t>
      </w:r>
      <w:proofErr w:type="gramStart"/>
      <w:r w:rsidRPr="00D43281">
        <w:rPr>
          <w:rFonts w:ascii="Times New Roman" w:hAnsi="Times New Roman" w:cs="Times New Roman"/>
          <w:color w:val="000000" w:themeColor="text1"/>
          <w:sz w:val="24"/>
          <w:szCs w:val="24"/>
          <w:lang w:val="ru-RU"/>
        </w:rPr>
        <w:t>4-7</w:t>
      </w:r>
      <w:proofErr w:type="gramEnd"/>
      <w:r w:rsidRPr="00D43281">
        <w:rPr>
          <w:rFonts w:ascii="Times New Roman" w:hAnsi="Times New Roman" w:cs="Times New Roman"/>
          <w:color w:val="000000" w:themeColor="text1"/>
          <w:sz w:val="24"/>
          <w:szCs w:val="24"/>
          <w:lang w:val="ru-RU"/>
        </w:rPr>
        <w:t xml:space="preserve"> разрешение Национального банка Молдовы на использование собственных оценок LGD для оценки риска снижения стоимости приобретенной корпоративной дебиторской задолженности, может признавать необеспеченную кредитную защиту путем корректировки PD в соответствии с положениями пункта 116.</w:t>
      </w:r>
    </w:p>
    <w:p w14:paraId="48D0F261" w14:textId="555D0C72" w:rsidR="00EA3778" w:rsidRPr="00D43281" w:rsidRDefault="00DC705E" w:rsidP="00F212FE">
      <w:pPr>
        <w:pStyle w:val="ListParagraph"/>
        <w:shd w:val="clear" w:color="auto" w:fill="FFFFFF"/>
        <w:tabs>
          <w:tab w:val="left" w:pos="0"/>
          <w:tab w:val="left" w:pos="567"/>
        </w:tabs>
        <w:spacing w:before="60" w:after="0" w:line="240" w:lineRule="auto"/>
        <w:ind w:left="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highlight w:val="lightGray"/>
          <w:lang w:val="ru-RU"/>
        </w:rPr>
        <w:t xml:space="preserve"> </w:t>
      </w:r>
    </w:p>
    <w:p w14:paraId="6B8BD8C2" w14:textId="14DB60B5" w:rsidR="004A2955" w:rsidRPr="00D43281" w:rsidRDefault="005B4FA1" w:rsidP="004A2955">
      <w:pPr>
        <w:pStyle w:val="ListParagraph"/>
        <w:shd w:val="clear" w:color="auto" w:fill="FFFFFF"/>
        <w:tabs>
          <w:tab w:val="left" w:pos="0"/>
          <w:tab w:val="left" w:pos="567"/>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Подчасть</w:t>
      </w:r>
      <w:r w:rsidR="004A2955" w:rsidRPr="00D43281">
        <w:rPr>
          <w:rFonts w:ascii="Times New Roman" w:hAnsi="Times New Roman" w:cs="Times New Roman"/>
          <w:b/>
          <w:bCs/>
          <w:i/>
          <w:iCs/>
          <w:color w:val="000000" w:themeColor="text1"/>
          <w:sz w:val="24"/>
          <w:szCs w:val="24"/>
          <w:lang w:val="ro-RO"/>
        </w:rPr>
        <w:t xml:space="preserve"> 2</w:t>
      </w:r>
    </w:p>
    <w:p w14:paraId="45072731" w14:textId="29388674" w:rsidR="004A2955" w:rsidRPr="00D43281" w:rsidRDefault="005B4FA1" w:rsidP="004A2955">
      <w:pPr>
        <w:shd w:val="clear" w:color="auto" w:fill="FFFFFF"/>
        <w:tabs>
          <w:tab w:val="left" w:pos="0"/>
          <w:tab w:val="left" w:pos="567"/>
        </w:tabs>
        <w:spacing w:after="120" w:line="240" w:lineRule="auto"/>
        <w:jc w:val="center"/>
        <w:rPr>
          <w:rFonts w:ascii="Times New Roman" w:hAnsi="Times New Roman" w:cs="Times New Roman"/>
          <w:color w:val="000000" w:themeColor="text1"/>
          <w:sz w:val="24"/>
          <w:szCs w:val="24"/>
          <w:lang w:val="ro-RO"/>
        </w:rPr>
      </w:pPr>
      <w:r w:rsidRPr="00D43281">
        <w:rPr>
          <w:rFonts w:ascii="Times New Roman" w:hAnsi="Times New Roman" w:cs="Times New Roman"/>
          <w:b/>
          <w:bCs/>
          <w:i/>
          <w:iCs/>
          <w:color w:val="000000" w:themeColor="text1"/>
          <w:sz w:val="24"/>
          <w:szCs w:val="24"/>
          <w:lang w:val="ru-RU"/>
        </w:rPr>
        <w:t>Убытки в случае невозврата</w:t>
      </w:r>
    </w:p>
    <w:p w14:paraId="1FF60791" w14:textId="06C0D011" w:rsidR="004A2955" w:rsidRPr="00D43281" w:rsidRDefault="00A51FFC"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m-CH"/>
        </w:rPr>
      </w:pPr>
      <w:bookmarkStart w:id="96" w:name="_Ref215503005"/>
      <w:r w:rsidRPr="00D43281">
        <w:rPr>
          <w:rFonts w:ascii="Times New Roman" w:hAnsi="Times New Roman" w:cs="Times New Roman"/>
          <w:color w:val="000000" w:themeColor="text1"/>
          <w:sz w:val="24"/>
          <w:szCs w:val="24"/>
          <w:lang w:val="rm-CH"/>
        </w:rPr>
        <w:t>Банки должны использовать следующие значения убытков в случае невозврата</w:t>
      </w:r>
      <w:r w:rsidR="004A2955" w:rsidRPr="00D43281">
        <w:rPr>
          <w:rFonts w:ascii="Times New Roman" w:hAnsi="Times New Roman" w:cs="Times New Roman"/>
          <w:color w:val="000000" w:themeColor="text1"/>
          <w:sz w:val="24"/>
          <w:szCs w:val="24"/>
          <w:lang w:val="rm-CH"/>
        </w:rPr>
        <w:t>:</w:t>
      </w:r>
      <w:bookmarkEnd w:id="96"/>
    </w:p>
    <w:p w14:paraId="61B3B91F" w14:textId="42CF096F" w:rsidR="004A2955" w:rsidRPr="00D43281" w:rsidRDefault="00DF56E6"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m-CH"/>
        </w:rPr>
      </w:pPr>
      <w:r w:rsidRPr="00D43281">
        <w:rPr>
          <w:rFonts w:ascii="Times New Roman" w:hAnsi="Times New Roman" w:cs="Times New Roman"/>
          <w:color w:val="000000" w:themeColor="text1"/>
          <w:sz w:val="24"/>
          <w:szCs w:val="24"/>
          <w:lang w:val="rm-CH"/>
        </w:rPr>
        <w:t>Приоритетные подверженности без приемлемой финансируемой защиты перед центральными администрациями и центральными банками, субъектами финансового сектора, а также региональными администрациями, местными органами власти и субъектами публичного сектора: 45%</w:t>
      </w:r>
      <w:r w:rsidR="004A2955" w:rsidRPr="00D43281">
        <w:rPr>
          <w:rFonts w:ascii="Times New Roman" w:hAnsi="Times New Roman" w:cs="Times New Roman"/>
          <w:color w:val="000000" w:themeColor="text1"/>
          <w:sz w:val="24"/>
          <w:szCs w:val="24"/>
          <w:lang w:val="rm-CH"/>
        </w:rPr>
        <w:t>;</w:t>
      </w:r>
    </w:p>
    <w:p w14:paraId="195865EE" w14:textId="4498CF63" w:rsidR="009F200F" w:rsidRPr="00D43281" w:rsidRDefault="00482BEA"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Приоритетные подверженности без приемлемой финансируемой защиты в отношении компаний, не относящихся к финансовому сектору: 40%</w:t>
      </w:r>
      <w:r w:rsidR="004A2955" w:rsidRPr="00D43281">
        <w:rPr>
          <w:rFonts w:ascii="Times New Roman" w:hAnsi="Times New Roman" w:cs="Times New Roman"/>
          <w:color w:val="000000" w:themeColor="text1"/>
          <w:sz w:val="24"/>
          <w:szCs w:val="24"/>
          <w:lang w:val="ru-RU"/>
        </w:rPr>
        <w:t>;</w:t>
      </w:r>
    </w:p>
    <w:p w14:paraId="4338F841" w14:textId="147CDE6B" w:rsidR="004A2955" w:rsidRPr="00D43281" w:rsidRDefault="003A47F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С</w:t>
      </w:r>
      <w:r w:rsidR="003206FC" w:rsidRPr="00D43281">
        <w:rPr>
          <w:rFonts w:ascii="Times New Roman" w:hAnsi="Times New Roman" w:cs="Times New Roman"/>
          <w:color w:val="000000" w:themeColor="text1"/>
          <w:sz w:val="24"/>
          <w:szCs w:val="24"/>
          <w:lang w:val="ru-MD"/>
        </w:rPr>
        <w:t>убординированные</w:t>
      </w:r>
      <w:r w:rsidRPr="00D43281">
        <w:rPr>
          <w:rFonts w:ascii="Times New Roman" w:hAnsi="Times New Roman" w:cs="Times New Roman"/>
          <w:color w:val="000000" w:themeColor="text1"/>
          <w:sz w:val="24"/>
          <w:szCs w:val="24"/>
          <w:lang w:val="ru-MD"/>
        </w:rPr>
        <w:t xml:space="preserve"> подверженности, не обеспеченные </w:t>
      </w:r>
      <w:r w:rsidR="003206FC" w:rsidRPr="00D43281">
        <w:rPr>
          <w:rFonts w:ascii="Times New Roman" w:hAnsi="Times New Roman" w:cs="Times New Roman"/>
          <w:color w:val="000000" w:themeColor="text1"/>
          <w:sz w:val="24"/>
          <w:szCs w:val="24"/>
          <w:lang w:val="ru-MD"/>
        </w:rPr>
        <w:t>надлежащим залогом</w:t>
      </w:r>
      <w:r w:rsidRPr="00D43281">
        <w:rPr>
          <w:rFonts w:ascii="Times New Roman" w:hAnsi="Times New Roman" w:cs="Times New Roman"/>
          <w:color w:val="000000" w:themeColor="text1"/>
          <w:sz w:val="24"/>
          <w:szCs w:val="24"/>
          <w:lang w:val="ru-MD"/>
        </w:rPr>
        <w:t>: 75 %</w:t>
      </w:r>
      <w:r w:rsidR="004A2955" w:rsidRPr="00D43281">
        <w:rPr>
          <w:rFonts w:ascii="Times New Roman" w:hAnsi="Times New Roman" w:cs="Times New Roman"/>
          <w:color w:val="000000" w:themeColor="text1"/>
          <w:sz w:val="24"/>
          <w:szCs w:val="24"/>
          <w:lang w:val="ru-MD"/>
        </w:rPr>
        <w:t>;</w:t>
      </w:r>
    </w:p>
    <w:p w14:paraId="6FF6A1EA" w14:textId="08A8924D" w:rsidR="004A2955" w:rsidRPr="00D43281" w:rsidRDefault="00851DE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Обеспеченны</w:t>
      </w:r>
      <w:r w:rsidR="00617D07" w:rsidRPr="00D43281">
        <w:rPr>
          <w:rFonts w:ascii="Times New Roman" w:hAnsi="Times New Roman" w:cs="Times New Roman"/>
          <w:color w:val="000000" w:themeColor="text1"/>
          <w:sz w:val="24"/>
          <w:szCs w:val="24"/>
          <w:lang w:val="ru-MD"/>
        </w:rPr>
        <w:t>м</w:t>
      </w:r>
      <w:r w:rsidRPr="00D43281">
        <w:rPr>
          <w:rFonts w:ascii="Times New Roman" w:hAnsi="Times New Roman" w:cs="Times New Roman"/>
          <w:color w:val="000000" w:themeColor="text1"/>
          <w:sz w:val="24"/>
          <w:szCs w:val="24"/>
          <w:lang w:val="ru-MD"/>
        </w:rPr>
        <w:t xml:space="preserve"> облигаци</w:t>
      </w:r>
      <w:r w:rsidR="00617D07" w:rsidRPr="00D43281">
        <w:rPr>
          <w:rFonts w:ascii="Times New Roman" w:hAnsi="Times New Roman" w:cs="Times New Roman"/>
          <w:color w:val="000000" w:themeColor="text1"/>
          <w:sz w:val="24"/>
          <w:szCs w:val="24"/>
          <w:lang w:val="ru-MD"/>
        </w:rPr>
        <w:t>ям</w:t>
      </w:r>
      <w:r w:rsidRPr="00D43281">
        <w:rPr>
          <w:rFonts w:ascii="Times New Roman" w:hAnsi="Times New Roman" w:cs="Times New Roman"/>
          <w:color w:val="000000" w:themeColor="text1"/>
          <w:sz w:val="24"/>
          <w:szCs w:val="24"/>
          <w:lang w:val="ru-MD"/>
        </w:rPr>
        <w:t>, подлежащи</w:t>
      </w:r>
      <w:r w:rsidR="00617D07" w:rsidRPr="00D43281">
        <w:rPr>
          <w:rFonts w:ascii="Times New Roman" w:hAnsi="Times New Roman" w:cs="Times New Roman"/>
          <w:color w:val="000000" w:themeColor="text1"/>
          <w:sz w:val="24"/>
          <w:szCs w:val="24"/>
          <w:lang w:val="ru-MD"/>
        </w:rPr>
        <w:t>м</w:t>
      </w:r>
      <w:r w:rsidRPr="00D43281">
        <w:rPr>
          <w:rFonts w:ascii="Times New Roman" w:hAnsi="Times New Roman" w:cs="Times New Roman"/>
          <w:color w:val="000000" w:themeColor="text1"/>
          <w:sz w:val="24"/>
          <w:szCs w:val="24"/>
          <w:lang w:val="ru-MD"/>
        </w:rPr>
        <w:t xml:space="preserve"> обработке в соответствии </w:t>
      </w:r>
      <w:r w:rsidR="00617D07" w:rsidRPr="00D43281">
        <w:rPr>
          <w:rFonts w:ascii="Times New Roman" w:hAnsi="Times New Roman" w:cs="Times New Roman"/>
          <w:color w:val="000000" w:themeColor="text1"/>
          <w:sz w:val="24"/>
          <w:szCs w:val="24"/>
          <w:lang w:val="ru-MD"/>
        </w:rPr>
        <w:t>с пунктами</w:t>
      </w:r>
      <w:r w:rsidR="007A5722" w:rsidRPr="00D43281">
        <w:rPr>
          <w:rFonts w:ascii="Times New Roman" w:hAnsi="Times New Roman" w:cs="Times New Roman"/>
          <w:color w:val="000000" w:themeColor="text1"/>
          <w:sz w:val="24"/>
          <w:szCs w:val="24"/>
          <w:lang w:val="ru-MD"/>
        </w:rPr>
        <w:t xml:space="preserve"> 75</w:t>
      </w:r>
      <w:r w:rsidR="007A5722" w:rsidRPr="00D43281">
        <w:rPr>
          <w:rFonts w:ascii="Times New Roman" w:hAnsi="Times New Roman" w:cs="Times New Roman"/>
          <w:color w:val="000000" w:themeColor="text1"/>
          <w:sz w:val="24"/>
          <w:szCs w:val="24"/>
          <w:vertAlign w:val="superscript"/>
          <w:lang w:val="ru-MD"/>
        </w:rPr>
        <w:t>14</w:t>
      </w:r>
      <w:r w:rsidR="00721345" w:rsidRPr="00D43281">
        <w:rPr>
          <w:rFonts w:ascii="Times New Roman" w:hAnsi="Times New Roman" w:cs="Times New Roman"/>
          <w:color w:val="000000" w:themeColor="text1"/>
          <w:sz w:val="24"/>
          <w:szCs w:val="24"/>
          <w:lang w:val="ru-MD"/>
        </w:rPr>
        <w:t xml:space="preserve"> </w:t>
      </w:r>
      <w:r w:rsidR="00617D07" w:rsidRPr="00D43281">
        <w:rPr>
          <w:rFonts w:ascii="Times New Roman" w:hAnsi="Times New Roman" w:cs="Times New Roman"/>
          <w:color w:val="000000" w:themeColor="text1"/>
          <w:sz w:val="24"/>
          <w:szCs w:val="24"/>
          <w:lang w:val="ru-MD"/>
        </w:rPr>
        <w:t>и</w:t>
      </w:r>
      <w:r w:rsidR="00721345" w:rsidRPr="00D43281">
        <w:rPr>
          <w:rFonts w:ascii="Times New Roman" w:hAnsi="Times New Roman" w:cs="Times New Roman"/>
          <w:color w:val="000000" w:themeColor="text1"/>
          <w:sz w:val="24"/>
          <w:szCs w:val="24"/>
          <w:lang w:val="ru-MD"/>
        </w:rPr>
        <w:t xml:space="preserve"> </w:t>
      </w:r>
      <w:r w:rsidR="007A5722" w:rsidRPr="00D43281">
        <w:rPr>
          <w:rFonts w:ascii="Times New Roman" w:hAnsi="Times New Roman" w:cs="Times New Roman"/>
          <w:color w:val="000000" w:themeColor="text1"/>
          <w:sz w:val="24"/>
          <w:szCs w:val="24"/>
          <w:lang w:val="ru-MD"/>
        </w:rPr>
        <w:t>75</w:t>
      </w:r>
      <w:r w:rsidR="007A5722" w:rsidRPr="00D43281">
        <w:rPr>
          <w:rFonts w:ascii="Times New Roman" w:hAnsi="Times New Roman" w:cs="Times New Roman"/>
          <w:color w:val="000000" w:themeColor="text1"/>
          <w:sz w:val="24"/>
          <w:szCs w:val="24"/>
          <w:vertAlign w:val="superscript"/>
          <w:lang w:val="ru-MD"/>
        </w:rPr>
        <w:t>15</w:t>
      </w:r>
      <w:r w:rsidR="007A5722" w:rsidRPr="00D43281">
        <w:rPr>
          <w:rFonts w:ascii="Times New Roman" w:hAnsi="Times New Roman" w:cs="Times New Roman"/>
          <w:color w:val="000000" w:themeColor="text1"/>
          <w:sz w:val="24"/>
          <w:szCs w:val="24"/>
          <w:lang w:val="ru-MD"/>
        </w:rPr>
        <w:t xml:space="preserve"> </w:t>
      </w:r>
      <w:r w:rsidR="00617D07" w:rsidRPr="00D43281">
        <w:rPr>
          <w:rFonts w:ascii="Times New Roman" w:hAnsi="Times New Roman" w:cs="Times New Roman"/>
          <w:color w:val="000000" w:themeColor="text1"/>
          <w:sz w:val="24"/>
          <w:szCs w:val="24"/>
          <w:lang w:val="ru-MD"/>
        </w:rPr>
        <w:t>Регламента № 111/2018, может быть присвоена величина убытка в случае не</w:t>
      </w:r>
      <w:r w:rsidR="00522AC3" w:rsidRPr="00D43281">
        <w:rPr>
          <w:rFonts w:ascii="Times New Roman" w:hAnsi="Times New Roman" w:cs="Times New Roman"/>
          <w:color w:val="000000" w:themeColor="text1"/>
          <w:sz w:val="24"/>
          <w:szCs w:val="24"/>
          <w:lang w:val="ru-MD"/>
        </w:rPr>
        <w:t>возврата</w:t>
      </w:r>
      <w:r w:rsidR="00617D07" w:rsidRPr="00D43281">
        <w:rPr>
          <w:rFonts w:ascii="Times New Roman" w:hAnsi="Times New Roman" w:cs="Times New Roman"/>
          <w:color w:val="000000" w:themeColor="text1"/>
          <w:sz w:val="24"/>
          <w:szCs w:val="24"/>
          <w:lang w:val="ru-MD"/>
        </w:rPr>
        <w:t xml:space="preserve"> в размере </w:t>
      </w:r>
      <w:r w:rsidR="004A2955" w:rsidRPr="00D43281">
        <w:rPr>
          <w:rFonts w:ascii="Times New Roman" w:hAnsi="Times New Roman" w:cs="Times New Roman"/>
          <w:color w:val="000000" w:themeColor="text1"/>
          <w:sz w:val="24"/>
          <w:szCs w:val="24"/>
          <w:lang w:val="ru-MD"/>
        </w:rPr>
        <w:t>11,25%;</w:t>
      </w:r>
    </w:p>
    <w:p w14:paraId="1120481E" w14:textId="58DA5E1C" w:rsidR="00C97D46" w:rsidRPr="00D43281" w:rsidRDefault="00C97D46"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Для приобретенных старших корпоративных активов, по которым учреждение не может определить </w:t>
      </w:r>
      <w:r w:rsidR="00327797">
        <w:rPr>
          <w:rFonts w:ascii="Times New Roman" w:hAnsi="Times New Roman" w:cs="Times New Roman"/>
          <w:color w:val="000000" w:themeColor="text1"/>
          <w:sz w:val="24"/>
          <w:szCs w:val="24"/>
          <w:lang w:val="en-US"/>
        </w:rPr>
        <w:t>PD</w:t>
      </w:r>
      <w:r w:rsidRPr="00D43281">
        <w:rPr>
          <w:rFonts w:ascii="Times New Roman" w:hAnsi="Times New Roman" w:cs="Times New Roman"/>
          <w:color w:val="000000" w:themeColor="text1"/>
          <w:sz w:val="24"/>
          <w:szCs w:val="24"/>
          <w:lang w:val="ru-RU"/>
        </w:rPr>
        <w:t xml:space="preserve"> или </w:t>
      </w:r>
      <w:r w:rsidR="00C00F7B" w:rsidRPr="00D43281">
        <w:rPr>
          <w:rFonts w:ascii="Times New Roman" w:hAnsi="Times New Roman" w:cs="Times New Roman"/>
          <w:color w:val="000000" w:themeColor="text1"/>
          <w:sz w:val="24"/>
          <w:szCs w:val="24"/>
          <w:lang w:val="ru-RU"/>
        </w:rPr>
        <w:t>если оценки PD, выполненные банком, не соответствуют требованиям, установленным в главе VI</w:t>
      </w:r>
      <w:r w:rsidRPr="00D43281">
        <w:rPr>
          <w:rFonts w:ascii="Times New Roman" w:hAnsi="Times New Roman" w:cs="Times New Roman"/>
          <w:color w:val="000000" w:themeColor="text1"/>
          <w:sz w:val="24"/>
          <w:szCs w:val="24"/>
          <w:lang w:val="ru-RU"/>
        </w:rPr>
        <w:t>: 45%;</w:t>
      </w:r>
    </w:p>
    <w:p w14:paraId="55EB26F8" w14:textId="361F4580" w:rsidR="004A2955" w:rsidRPr="00D43281" w:rsidRDefault="00CC5E4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Для подверженностей, связанных с субординированными требованиями к компаниям, приобретёнными банком, в случае если банк не может оценить </w:t>
      </w:r>
      <w:r w:rsidR="00327797">
        <w:rPr>
          <w:rFonts w:ascii="Times New Roman" w:hAnsi="Times New Roman" w:cs="Times New Roman"/>
          <w:color w:val="000000" w:themeColor="text1"/>
          <w:sz w:val="24"/>
          <w:szCs w:val="24"/>
          <w:lang w:val="en-US"/>
        </w:rPr>
        <w:t>PD</w:t>
      </w:r>
      <w:r w:rsidRPr="00D43281">
        <w:rPr>
          <w:rFonts w:ascii="Times New Roman" w:hAnsi="Times New Roman" w:cs="Times New Roman"/>
          <w:color w:val="000000" w:themeColor="text1"/>
          <w:sz w:val="24"/>
          <w:szCs w:val="24"/>
          <w:lang w:val="ru-RU"/>
        </w:rPr>
        <w:t xml:space="preserve"> или если оценки банка в отношении </w:t>
      </w:r>
      <w:r w:rsidR="00327797">
        <w:rPr>
          <w:rFonts w:ascii="Times New Roman" w:hAnsi="Times New Roman" w:cs="Times New Roman"/>
          <w:color w:val="000000" w:themeColor="text1"/>
          <w:sz w:val="24"/>
          <w:szCs w:val="24"/>
          <w:lang w:val="en-US"/>
        </w:rPr>
        <w:t>PD</w:t>
      </w:r>
      <w:r w:rsidRPr="00D43281">
        <w:rPr>
          <w:rFonts w:ascii="Times New Roman" w:hAnsi="Times New Roman" w:cs="Times New Roman"/>
          <w:color w:val="000000" w:themeColor="text1"/>
          <w:sz w:val="24"/>
          <w:szCs w:val="24"/>
          <w:lang w:val="ru-RU"/>
        </w:rPr>
        <w:t xml:space="preserve"> не соответствуют требованиям, установленным в главе VI:</w:t>
      </w:r>
      <w:r w:rsidR="004A2955" w:rsidRPr="00D43281">
        <w:rPr>
          <w:rFonts w:ascii="Times New Roman" w:hAnsi="Times New Roman" w:cs="Times New Roman"/>
          <w:color w:val="000000" w:themeColor="text1"/>
          <w:sz w:val="24"/>
          <w:szCs w:val="24"/>
          <w:lang w:val="ru-RU"/>
        </w:rPr>
        <w:t xml:space="preserve"> 100%;</w:t>
      </w:r>
    </w:p>
    <w:p w14:paraId="08EEA770" w14:textId="404E10C1" w:rsidR="004A2955" w:rsidRPr="00D43281" w:rsidRDefault="006A250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lastRenderedPageBreak/>
        <w:t>Для риска снижения стоимости приобретенных требований к компаниям:</w:t>
      </w:r>
      <w:r w:rsidR="004A2955" w:rsidRPr="00D43281">
        <w:rPr>
          <w:rFonts w:ascii="Times New Roman" w:hAnsi="Times New Roman" w:cs="Times New Roman"/>
          <w:color w:val="000000" w:themeColor="text1"/>
          <w:sz w:val="24"/>
          <w:szCs w:val="24"/>
          <w:lang w:val="ru-RU"/>
        </w:rPr>
        <w:t xml:space="preserve"> 100%.</w:t>
      </w:r>
    </w:p>
    <w:p w14:paraId="34F7730A" w14:textId="3811B9FE" w:rsidR="000A2E61" w:rsidRPr="00D43281" w:rsidRDefault="00115E54" w:rsidP="00F24814">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В отношении риска снижения стоимости задолженности и риска невозврата, если банк получил, в соответствии с пунктами 4–7, разрешение Национального банка Молдовы на использование собственных оценок убытка в случае невозврата </w:t>
      </w:r>
      <w:r w:rsidR="000A2E61" w:rsidRPr="00D43281">
        <w:rPr>
          <w:rFonts w:ascii="Times New Roman" w:hAnsi="Times New Roman" w:cs="Times New Roman"/>
          <w:color w:val="000000" w:themeColor="text1"/>
          <w:sz w:val="24"/>
          <w:szCs w:val="24"/>
          <w:lang w:val="ru-RU"/>
        </w:rPr>
        <w:t xml:space="preserve">корпоративных подверженностей и </w:t>
      </w:r>
      <w:r w:rsidR="007876A0" w:rsidRPr="00D43281">
        <w:rPr>
          <w:rFonts w:ascii="Times New Roman" w:hAnsi="Times New Roman" w:cs="Times New Roman"/>
          <w:color w:val="000000" w:themeColor="text1"/>
          <w:sz w:val="24"/>
          <w:szCs w:val="24"/>
          <w:lang w:val="ru-RU"/>
        </w:rPr>
        <w:t xml:space="preserve"> может разложить свои оценки ожидаемых убытков по корпоративной дебиторской задолженности, приобретенной банком, на </w:t>
      </w:r>
      <w:r w:rsidR="00327797">
        <w:rPr>
          <w:rFonts w:ascii="Times New Roman" w:hAnsi="Times New Roman" w:cs="Times New Roman"/>
          <w:color w:val="000000" w:themeColor="text1"/>
          <w:sz w:val="24"/>
          <w:szCs w:val="24"/>
          <w:lang w:val="en-US"/>
        </w:rPr>
        <w:t>PD</w:t>
      </w:r>
      <w:r w:rsidR="007876A0" w:rsidRPr="00D43281">
        <w:rPr>
          <w:rFonts w:ascii="Times New Roman" w:hAnsi="Times New Roman" w:cs="Times New Roman"/>
          <w:color w:val="000000" w:themeColor="text1"/>
          <w:sz w:val="24"/>
          <w:szCs w:val="24"/>
          <w:lang w:val="ru-RU"/>
        </w:rPr>
        <w:t xml:space="preserve"> и </w:t>
      </w:r>
      <w:r w:rsidR="00DA5D36">
        <w:rPr>
          <w:rFonts w:ascii="Times New Roman" w:hAnsi="Times New Roman" w:cs="Times New Roman"/>
          <w:color w:val="000000" w:themeColor="text1"/>
          <w:sz w:val="24"/>
          <w:szCs w:val="24"/>
          <w:lang w:val="en-US"/>
        </w:rPr>
        <w:t>LGD</w:t>
      </w:r>
      <w:r w:rsidR="007876A0" w:rsidRPr="00D43281">
        <w:rPr>
          <w:rFonts w:ascii="Times New Roman" w:hAnsi="Times New Roman" w:cs="Times New Roman"/>
          <w:color w:val="000000" w:themeColor="text1"/>
          <w:sz w:val="24"/>
          <w:szCs w:val="24"/>
          <w:lang w:val="ru-RU"/>
        </w:rPr>
        <w:t xml:space="preserve"> таким образом, который Национальный банк Молдовы считает надежным, может быть использована оценка </w:t>
      </w:r>
      <w:r w:rsidR="00DA5D36">
        <w:rPr>
          <w:rFonts w:ascii="Times New Roman" w:hAnsi="Times New Roman" w:cs="Times New Roman"/>
          <w:color w:val="000000" w:themeColor="text1"/>
          <w:sz w:val="24"/>
          <w:szCs w:val="24"/>
          <w:lang w:val="en-US"/>
        </w:rPr>
        <w:t>LGD</w:t>
      </w:r>
      <w:r w:rsidR="007876A0" w:rsidRPr="00D43281">
        <w:rPr>
          <w:rFonts w:ascii="Times New Roman" w:hAnsi="Times New Roman" w:cs="Times New Roman"/>
          <w:color w:val="000000" w:themeColor="text1"/>
          <w:sz w:val="24"/>
          <w:szCs w:val="24"/>
          <w:lang w:val="ru-RU"/>
        </w:rPr>
        <w:t xml:space="preserve"> по корпоративной дебиторской задолженности, приобретенной банком</w:t>
      </w:r>
      <w:r w:rsidR="00C25AC4" w:rsidRPr="00D43281">
        <w:rPr>
          <w:rFonts w:ascii="Times New Roman" w:hAnsi="Times New Roman" w:cs="Times New Roman"/>
          <w:color w:val="000000" w:themeColor="text1"/>
          <w:sz w:val="24"/>
          <w:szCs w:val="24"/>
          <w:lang w:val="ru-RU"/>
        </w:rPr>
        <w:t>.</w:t>
      </w:r>
    </w:p>
    <w:p w14:paraId="6B84C10F" w14:textId="7FBAC97B" w:rsidR="004A2955" w:rsidRPr="00D43281" w:rsidRDefault="00617C7D" w:rsidP="00265AC1">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m-CH"/>
        </w:rPr>
      </w:pPr>
      <w:bookmarkStart w:id="97" w:name="_Ref215503108"/>
      <w:r w:rsidRPr="00D43281">
        <w:rPr>
          <w:rFonts w:ascii="Times New Roman" w:hAnsi="Times New Roman" w:cs="Times New Roman"/>
          <w:color w:val="000000" w:themeColor="text1"/>
          <w:sz w:val="24"/>
          <w:szCs w:val="24"/>
          <w:lang w:val="ru-MD"/>
        </w:rPr>
        <w:t>В случае подверженности, покрываемой необеспеченной кредитной защитой, банк, использующий собственные оценки LGD в соответствии с пунктами 4–</w:t>
      </w:r>
      <w:proofErr w:type="gramStart"/>
      <w:r w:rsidRPr="00D43281">
        <w:rPr>
          <w:rFonts w:ascii="Times New Roman" w:hAnsi="Times New Roman" w:cs="Times New Roman"/>
          <w:color w:val="000000" w:themeColor="text1"/>
          <w:sz w:val="24"/>
          <w:szCs w:val="24"/>
          <w:lang w:val="ru-MD"/>
        </w:rPr>
        <w:t>7  как</w:t>
      </w:r>
      <w:proofErr w:type="gramEnd"/>
      <w:r w:rsidRPr="00D43281">
        <w:rPr>
          <w:rFonts w:ascii="Times New Roman" w:hAnsi="Times New Roman" w:cs="Times New Roman"/>
          <w:color w:val="000000" w:themeColor="text1"/>
          <w:sz w:val="24"/>
          <w:szCs w:val="24"/>
          <w:lang w:val="ru-MD"/>
        </w:rPr>
        <w:t xml:space="preserve"> для подверженности, покрываемой необеспеченной кредитной защитой, так и для сопоставимых прямых подверженностей перед поставщиком защиты, может признать необеспеченную кредитную защиту </w:t>
      </w:r>
      <w:r w:rsidRPr="00D43281">
        <w:rPr>
          <w:rFonts w:ascii="Times New Roman" w:hAnsi="Times New Roman" w:cs="Times New Roman"/>
          <w:color w:val="000000" w:themeColor="text1"/>
          <w:sz w:val="24"/>
          <w:szCs w:val="24"/>
          <w:lang w:val="rm-CH"/>
        </w:rPr>
        <w:t xml:space="preserve">в LGD в соответствии с пунктами </w:t>
      </w:r>
      <w:proofErr w:type="gramStart"/>
      <w:r w:rsidR="00DA5D36">
        <w:rPr>
          <w:rFonts w:ascii="Times New Roman" w:hAnsi="Times New Roman" w:cs="Times New Roman"/>
          <w:color w:val="000000" w:themeColor="text1"/>
          <w:sz w:val="24"/>
          <w:szCs w:val="24"/>
          <w:lang w:val="rm-CH"/>
        </w:rPr>
        <w:t>220</w:t>
      </w:r>
      <w:r w:rsidR="00A77563" w:rsidRPr="00D43281">
        <w:rPr>
          <w:rFonts w:ascii="Times New Roman" w:hAnsi="Times New Roman" w:cs="Times New Roman"/>
          <w:color w:val="000000" w:themeColor="text1"/>
          <w:sz w:val="24"/>
          <w:szCs w:val="24"/>
          <w:lang w:val="rm-CH"/>
        </w:rPr>
        <w:t>-</w:t>
      </w:r>
      <w:r w:rsidR="00DA5D36">
        <w:rPr>
          <w:rFonts w:ascii="Times New Roman" w:hAnsi="Times New Roman" w:cs="Times New Roman"/>
          <w:color w:val="000000" w:themeColor="text1"/>
          <w:sz w:val="24"/>
          <w:szCs w:val="24"/>
          <w:lang w:val="rm-CH"/>
        </w:rPr>
        <w:t>230</w:t>
      </w:r>
      <w:proofErr w:type="gramEnd"/>
      <w:r w:rsidR="004A2955" w:rsidRPr="00D43281">
        <w:rPr>
          <w:rFonts w:ascii="Times New Roman" w:hAnsi="Times New Roman" w:cs="Times New Roman"/>
          <w:color w:val="000000" w:themeColor="text1"/>
          <w:sz w:val="24"/>
          <w:szCs w:val="24"/>
          <w:lang w:val="rm-CH"/>
        </w:rPr>
        <w:t>.</w:t>
      </w:r>
      <w:bookmarkEnd w:id="97"/>
    </w:p>
    <w:p w14:paraId="5EEF5801" w14:textId="041E68AB" w:rsidR="004A2955" w:rsidRPr="00D43281" w:rsidRDefault="0001227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m-CH"/>
        </w:rPr>
      </w:pPr>
      <w:bookmarkStart w:id="98" w:name="_Ref215221969"/>
      <w:r w:rsidRPr="00D43281">
        <w:rPr>
          <w:rFonts w:ascii="Times New Roman" w:hAnsi="Times New Roman" w:cs="Times New Roman"/>
          <w:color w:val="000000" w:themeColor="text1"/>
          <w:sz w:val="24"/>
          <w:szCs w:val="24"/>
          <w:lang w:val="rm-CH"/>
        </w:rPr>
        <w:t>В случае подверженностей перед обществами, относящихся к классам рисков, указанным в подпункте 19. 4 пункта 19, исключительно в целях расчета взвешенных по риску сумм подверженностей и сумм ожидаемых убытков, связанных с такими подверженностями, в частности в значении подпункта 71.3, пунктов 89–93 и пунктов 94, 98–99 и 102, в случае использования собственных оценок LGD, значения LGD, которые используются для каждой подверженности в качестве входных данных в формуле расчета взвешенных по риску сумм подверженностей и ожидаемых убытков, не ниже значений минимального порога LGD, представленных в таблице № 3, рассчитанных в соответствии с пунктами 119–121</w:t>
      </w:r>
      <w:r w:rsidR="004A2955" w:rsidRPr="00D43281">
        <w:rPr>
          <w:rFonts w:ascii="Times New Roman" w:hAnsi="Times New Roman" w:cs="Times New Roman"/>
          <w:color w:val="000000" w:themeColor="text1"/>
          <w:sz w:val="24"/>
          <w:szCs w:val="24"/>
          <w:lang w:val="rm-CH"/>
        </w:rPr>
        <w:t>.</w:t>
      </w:r>
      <w:bookmarkEnd w:id="98"/>
    </w:p>
    <w:p w14:paraId="1F81EB56" w14:textId="1E76EDA3" w:rsidR="001829E2" w:rsidRPr="00D43281" w:rsidRDefault="0001227D" w:rsidP="00974D7D">
      <w:pPr>
        <w:pStyle w:val="title-table"/>
        <w:shd w:val="clear" w:color="auto" w:fill="FFFFFF"/>
        <w:spacing w:before="120" w:beforeAutospacing="0" w:after="120" w:afterAutospacing="0" w:line="312" w:lineRule="atLeast"/>
        <w:ind w:firstLine="567"/>
        <w:jc w:val="right"/>
        <w:rPr>
          <w:rFonts w:eastAsiaTheme="minorHAnsi"/>
          <w:i/>
          <w:iCs/>
          <w:color w:val="000000" w:themeColor="text1"/>
          <w:lang w:val="ru-MD" w:eastAsia="en-US"/>
        </w:rPr>
      </w:pPr>
      <w:r w:rsidRPr="00D43281">
        <w:rPr>
          <w:rFonts w:eastAsiaTheme="minorHAnsi"/>
          <w:i/>
          <w:iCs/>
          <w:color w:val="000000" w:themeColor="text1"/>
          <w:lang w:val="ru-MD" w:eastAsia="en-US"/>
        </w:rPr>
        <w:t xml:space="preserve">Таблица № </w:t>
      </w:r>
      <w:r w:rsidR="001829E2" w:rsidRPr="00D43281">
        <w:rPr>
          <w:rFonts w:eastAsiaTheme="minorHAnsi"/>
          <w:i/>
          <w:iCs/>
          <w:color w:val="000000" w:themeColor="text1"/>
          <w:lang w:val="ru-MD" w:eastAsia="en-US"/>
        </w:rPr>
        <w:t>3</w:t>
      </w:r>
    </w:p>
    <w:tbl>
      <w:tblPr>
        <w:tblW w:w="9338"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114"/>
        <w:gridCol w:w="3788"/>
        <w:gridCol w:w="1436"/>
      </w:tblGrid>
      <w:tr w:rsidR="001829E2" w:rsidRPr="00D43281" w14:paraId="40BBF187" w14:textId="77777777" w:rsidTr="001829E2">
        <w:trPr>
          <w:jc w:val="center"/>
        </w:trPr>
        <w:tc>
          <w:tcPr>
            <w:tcW w:w="0" w:type="auto"/>
            <w:gridSpan w:val="3"/>
            <w:tcBorders>
              <w:top w:val="outset" w:sz="6" w:space="0" w:color="auto"/>
              <w:left w:val="outset" w:sz="6" w:space="0" w:color="auto"/>
              <w:bottom w:val="outset" w:sz="6" w:space="0" w:color="auto"/>
              <w:right w:val="outset" w:sz="6" w:space="0" w:color="auto"/>
            </w:tcBorders>
            <w:hideMark/>
          </w:tcPr>
          <w:p w14:paraId="562E13D7" w14:textId="45BCD280" w:rsidR="001829E2" w:rsidRPr="00D43281" w:rsidRDefault="006A48A2" w:rsidP="00974D7D">
            <w:pPr>
              <w:pStyle w:val="tbl-norm"/>
              <w:spacing w:before="60" w:beforeAutospacing="0" w:after="60" w:afterAutospacing="0" w:line="312" w:lineRule="atLeast"/>
              <w:ind w:firstLine="567"/>
              <w:jc w:val="both"/>
              <w:rPr>
                <w:b/>
                <w:bCs/>
              </w:rPr>
            </w:pPr>
            <w:r w:rsidRPr="00D43281">
              <w:rPr>
                <w:b/>
                <w:bCs/>
                <w:lang w:val="ru-RU"/>
              </w:rPr>
              <w:t>Минимальные</w:t>
            </w:r>
            <w:r w:rsidRPr="00D43281">
              <w:rPr>
                <w:b/>
                <w:bCs/>
                <w:lang w:val="ru-MD"/>
              </w:rPr>
              <w:t xml:space="preserve"> </w:t>
            </w:r>
            <w:r w:rsidRPr="00D43281">
              <w:rPr>
                <w:b/>
                <w:bCs/>
                <w:lang w:val="ru-RU"/>
              </w:rPr>
              <w:t>пороги</w:t>
            </w:r>
            <w:r w:rsidR="001829E2" w:rsidRPr="00D43281">
              <w:rPr>
                <w:b/>
                <w:bCs/>
              </w:rPr>
              <w:t xml:space="preserve"> LGD (</w:t>
            </w:r>
            <w:proofErr w:type="spellStart"/>
            <w:r w:rsidR="001829E2" w:rsidRPr="00D43281">
              <w:rPr>
                <w:b/>
                <w:bCs/>
              </w:rPr>
              <w:t>LGD</w:t>
            </w:r>
            <w:r w:rsidR="001829E2" w:rsidRPr="00D43281">
              <w:rPr>
                <w:rStyle w:val="subscript"/>
                <w:b/>
                <w:bCs/>
                <w:vertAlign w:val="subscript"/>
              </w:rPr>
              <w:t>floor</w:t>
            </w:r>
            <w:proofErr w:type="spellEnd"/>
            <w:r w:rsidR="001829E2" w:rsidRPr="00D43281">
              <w:rPr>
                <w:b/>
                <w:bCs/>
              </w:rPr>
              <w:t xml:space="preserve">) </w:t>
            </w:r>
            <w:r w:rsidRPr="00D43281">
              <w:rPr>
                <w:b/>
                <w:bCs/>
                <w:lang w:val="ru-RU"/>
              </w:rPr>
              <w:t xml:space="preserve">для </w:t>
            </w:r>
            <w:r w:rsidRPr="00D43281">
              <w:rPr>
                <w:b/>
                <w:bCs/>
                <w:color w:val="000000" w:themeColor="text1"/>
                <w:lang w:val="rm-CH"/>
              </w:rPr>
              <w:t>подверженностей перед обществами, относящихся к классам рисков, указанным в подпункте 19. 4 пункта 19</w:t>
            </w:r>
          </w:p>
        </w:tc>
      </w:tr>
      <w:tr w:rsidR="001829E2" w:rsidRPr="00D43281" w14:paraId="35492441" w14:textId="77777777" w:rsidTr="001829E2">
        <w:trPr>
          <w:jc w:val="center"/>
        </w:trPr>
        <w:tc>
          <w:tcPr>
            <w:tcW w:w="4245" w:type="dxa"/>
            <w:tcBorders>
              <w:top w:val="outset" w:sz="6" w:space="0" w:color="auto"/>
              <w:left w:val="outset" w:sz="6" w:space="0" w:color="auto"/>
              <w:bottom w:val="outset" w:sz="6" w:space="0" w:color="auto"/>
              <w:right w:val="outset" w:sz="6" w:space="0" w:color="auto"/>
            </w:tcBorders>
            <w:hideMark/>
          </w:tcPr>
          <w:p w14:paraId="052D9A65" w14:textId="2BDA169D" w:rsidR="001829E2" w:rsidRPr="00D43281" w:rsidRDefault="00F92DCB" w:rsidP="00974D7D">
            <w:pPr>
              <w:pStyle w:val="tbl-norm"/>
              <w:spacing w:before="60" w:beforeAutospacing="0" w:after="60" w:afterAutospacing="0" w:line="312" w:lineRule="atLeast"/>
              <w:ind w:left="97" w:right="132" w:firstLine="567"/>
              <w:jc w:val="both"/>
              <w:rPr>
                <w:b/>
                <w:bCs/>
                <w:lang w:val="ru-MD"/>
              </w:rPr>
            </w:pPr>
            <w:r w:rsidRPr="00D43281">
              <w:rPr>
                <w:b/>
                <w:bCs/>
                <w:lang w:val="ru-MD"/>
              </w:rPr>
              <w:t>Приемлемая подверженность</w:t>
            </w:r>
            <w:r w:rsidR="00D5570B" w:rsidRPr="00BB1E28">
              <w:rPr>
                <w:b/>
                <w:bCs/>
                <w:lang w:val="ru-RU"/>
              </w:rPr>
              <w:t xml:space="preserve"> </w:t>
            </w:r>
            <w:r w:rsidR="00D5570B" w:rsidRPr="00D5570B">
              <w:rPr>
                <w:b/>
                <w:bCs/>
                <w:lang w:val="ru-MD"/>
              </w:rPr>
              <w:t xml:space="preserve">без финансируемой кредитной защиты </w:t>
            </w:r>
            <w:r w:rsidR="002E6E6C" w:rsidRPr="00D43281">
              <w:rPr>
                <w:b/>
                <w:bCs/>
                <w:lang w:val="ru-MD"/>
              </w:rPr>
              <w:t xml:space="preserve">(FCP) </w:t>
            </w:r>
            <w:r w:rsidRPr="00D43281">
              <w:rPr>
                <w:b/>
                <w:bCs/>
                <w:lang w:val="ru-MD"/>
              </w:rPr>
              <w:t xml:space="preserve">без финансируемой кредитной защиты </w:t>
            </w:r>
            <w:r w:rsidR="001829E2" w:rsidRPr="00D43281">
              <w:rPr>
                <w:b/>
                <w:bCs/>
                <w:lang w:val="ru-MD"/>
              </w:rPr>
              <w:t>(LGD</w:t>
            </w:r>
            <w:r w:rsidR="001829E2" w:rsidRPr="00D43281">
              <w:rPr>
                <w:rStyle w:val="subscript"/>
                <w:b/>
                <w:bCs/>
                <w:vertAlign w:val="subscript"/>
                <w:lang w:val="ru-MD"/>
              </w:rPr>
              <w:t>U-</w:t>
            </w:r>
            <w:proofErr w:type="spellStart"/>
            <w:r w:rsidR="001829E2" w:rsidRPr="00D43281">
              <w:rPr>
                <w:rStyle w:val="subscript"/>
                <w:b/>
                <w:bCs/>
                <w:vertAlign w:val="subscript"/>
                <w:lang w:val="ru-MD"/>
              </w:rPr>
              <w:t>floor</w:t>
            </w:r>
            <w:proofErr w:type="spellEnd"/>
            <w:r w:rsidR="001829E2" w:rsidRPr="00D43281">
              <w:rPr>
                <w:b/>
                <w:bCs/>
                <w:lang w:val="ru-MD"/>
              </w:rPr>
              <w:t>)</w:t>
            </w:r>
          </w:p>
        </w:tc>
        <w:tc>
          <w:tcPr>
            <w:tcW w:w="5093" w:type="dxa"/>
            <w:gridSpan w:val="2"/>
            <w:tcBorders>
              <w:top w:val="outset" w:sz="6" w:space="0" w:color="auto"/>
              <w:left w:val="outset" w:sz="6" w:space="0" w:color="auto"/>
              <w:bottom w:val="outset" w:sz="6" w:space="0" w:color="auto"/>
              <w:right w:val="outset" w:sz="6" w:space="0" w:color="auto"/>
            </w:tcBorders>
            <w:hideMark/>
          </w:tcPr>
          <w:p w14:paraId="4188B9B5" w14:textId="1EAC3E13" w:rsidR="001829E2" w:rsidRPr="00D43281" w:rsidRDefault="00992B33" w:rsidP="00974D7D">
            <w:pPr>
              <w:pStyle w:val="tbl-norm"/>
              <w:spacing w:before="60" w:beforeAutospacing="0" w:after="60" w:afterAutospacing="0" w:line="312" w:lineRule="atLeast"/>
              <w:ind w:firstLine="567"/>
              <w:jc w:val="both"/>
              <w:rPr>
                <w:b/>
                <w:bCs/>
                <w:lang w:val="ru-MD"/>
              </w:rPr>
            </w:pPr>
            <w:r w:rsidRPr="00D43281">
              <w:rPr>
                <w:b/>
                <w:bCs/>
                <w:lang w:val="ru-MD"/>
              </w:rPr>
              <w:t>Полностью обеспеченная</w:t>
            </w:r>
            <w:r w:rsidR="0077656B" w:rsidRPr="00D43281">
              <w:rPr>
                <w:b/>
                <w:bCs/>
                <w:lang w:val="ru-MD"/>
              </w:rPr>
              <w:t xml:space="preserve"> приемлемая</w:t>
            </w:r>
            <w:r w:rsidRPr="00D43281">
              <w:rPr>
                <w:b/>
                <w:bCs/>
                <w:lang w:val="ru-MD"/>
              </w:rPr>
              <w:t xml:space="preserve"> подверженность </w:t>
            </w:r>
            <w:r w:rsidR="001829E2" w:rsidRPr="00D43281">
              <w:rPr>
                <w:b/>
                <w:bCs/>
                <w:lang w:val="ru-MD"/>
              </w:rPr>
              <w:t>FCP (LGD</w:t>
            </w:r>
            <w:r w:rsidR="001829E2" w:rsidRPr="00D43281">
              <w:rPr>
                <w:rStyle w:val="subscript"/>
                <w:b/>
                <w:bCs/>
                <w:vertAlign w:val="subscript"/>
                <w:lang w:val="ru-MD"/>
              </w:rPr>
              <w:t>S-</w:t>
            </w:r>
            <w:proofErr w:type="spellStart"/>
            <w:r w:rsidR="001829E2" w:rsidRPr="00D43281">
              <w:rPr>
                <w:rStyle w:val="subscript"/>
                <w:b/>
                <w:bCs/>
                <w:vertAlign w:val="subscript"/>
                <w:lang w:val="ru-MD"/>
              </w:rPr>
              <w:t>floor</w:t>
            </w:r>
            <w:proofErr w:type="spellEnd"/>
            <w:r w:rsidR="001829E2" w:rsidRPr="00D43281">
              <w:rPr>
                <w:b/>
                <w:bCs/>
                <w:lang w:val="ru-MD"/>
              </w:rPr>
              <w:t>)</w:t>
            </w:r>
          </w:p>
        </w:tc>
      </w:tr>
      <w:tr w:rsidR="00992B33" w:rsidRPr="00D43281" w14:paraId="5F1E6805" w14:textId="77777777" w:rsidTr="001829E2">
        <w:trPr>
          <w:jc w:val="center"/>
        </w:trPr>
        <w:tc>
          <w:tcPr>
            <w:tcW w:w="4245" w:type="dxa"/>
            <w:vMerge w:val="restart"/>
            <w:tcBorders>
              <w:top w:val="outset" w:sz="6" w:space="0" w:color="auto"/>
              <w:left w:val="outset" w:sz="6" w:space="0" w:color="auto"/>
              <w:bottom w:val="outset" w:sz="6" w:space="0" w:color="auto"/>
              <w:right w:val="outset" w:sz="6" w:space="0" w:color="auto"/>
            </w:tcBorders>
            <w:hideMark/>
          </w:tcPr>
          <w:p w14:paraId="5200A0BD" w14:textId="77777777" w:rsidR="001829E2" w:rsidRPr="00D43281" w:rsidRDefault="001829E2" w:rsidP="00EB6873">
            <w:pPr>
              <w:pStyle w:val="tbl-norm"/>
              <w:spacing w:before="0" w:beforeAutospacing="0" w:after="0" w:afterAutospacing="0" w:line="312" w:lineRule="atLeast"/>
              <w:ind w:firstLine="567"/>
              <w:jc w:val="both"/>
            </w:pPr>
            <w:r w:rsidRPr="00D43281">
              <w:t>25 %</w:t>
            </w:r>
          </w:p>
        </w:tc>
        <w:tc>
          <w:tcPr>
            <w:tcW w:w="4275" w:type="dxa"/>
            <w:tcBorders>
              <w:top w:val="outset" w:sz="6" w:space="0" w:color="auto"/>
              <w:left w:val="outset" w:sz="6" w:space="0" w:color="auto"/>
              <w:bottom w:val="outset" w:sz="6" w:space="0" w:color="auto"/>
              <w:right w:val="outset" w:sz="6" w:space="0" w:color="auto"/>
            </w:tcBorders>
            <w:hideMark/>
          </w:tcPr>
          <w:p w14:paraId="7D23454D" w14:textId="2237B558" w:rsidR="001829E2" w:rsidRPr="00D43281" w:rsidRDefault="0077656B" w:rsidP="00EB6873">
            <w:pPr>
              <w:pStyle w:val="tbl-norm"/>
              <w:spacing w:before="0" w:beforeAutospacing="0" w:after="0" w:afterAutospacing="0" w:line="312" w:lineRule="atLeast"/>
              <w:ind w:left="159"/>
              <w:jc w:val="both"/>
              <w:rPr>
                <w:lang w:val="ru-MD"/>
              </w:rPr>
            </w:pPr>
            <w:r w:rsidRPr="00D43281">
              <w:rPr>
                <w:lang w:val="ru-MD"/>
              </w:rPr>
              <w:t>финансовые гарантии</w:t>
            </w:r>
          </w:p>
        </w:tc>
        <w:tc>
          <w:tcPr>
            <w:tcW w:w="0" w:type="auto"/>
            <w:tcBorders>
              <w:top w:val="outset" w:sz="6" w:space="0" w:color="auto"/>
              <w:left w:val="outset" w:sz="6" w:space="0" w:color="auto"/>
              <w:bottom w:val="outset" w:sz="6" w:space="0" w:color="auto"/>
              <w:right w:val="outset" w:sz="6" w:space="0" w:color="auto"/>
            </w:tcBorders>
            <w:hideMark/>
          </w:tcPr>
          <w:p w14:paraId="4D26A896" w14:textId="77777777" w:rsidR="001829E2" w:rsidRPr="00D43281" w:rsidRDefault="001829E2" w:rsidP="00EB6873">
            <w:pPr>
              <w:pStyle w:val="tbl-norm"/>
              <w:spacing w:before="0" w:beforeAutospacing="0" w:after="0" w:afterAutospacing="0" w:line="312" w:lineRule="atLeast"/>
              <w:ind w:firstLine="567"/>
              <w:jc w:val="both"/>
            </w:pPr>
            <w:r w:rsidRPr="00D43281">
              <w:t>0 %</w:t>
            </w:r>
          </w:p>
        </w:tc>
      </w:tr>
      <w:tr w:rsidR="00992B33" w:rsidRPr="00D43281" w14:paraId="366720A8" w14:textId="77777777" w:rsidTr="001829E2">
        <w:trPr>
          <w:jc w:val="center"/>
        </w:trPr>
        <w:tc>
          <w:tcPr>
            <w:tcW w:w="4245" w:type="dxa"/>
            <w:vMerge/>
            <w:tcBorders>
              <w:top w:val="outset" w:sz="6" w:space="0" w:color="auto"/>
              <w:left w:val="outset" w:sz="6" w:space="0" w:color="auto"/>
              <w:bottom w:val="outset" w:sz="6" w:space="0" w:color="auto"/>
              <w:right w:val="outset" w:sz="6" w:space="0" w:color="auto"/>
            </w:tcBorders>
            <w:vAlign w:val="center"/>
            <w:hideMark/>
          </w:tcPr>
          <w:p w14:paraId="2C896661" w14:textId="77777777" w:rsidR="001829E2" w:rsidRPr="00D43281" w:rsidRDefault="001829E2" w:rsidP="00EB6873">
            <w:pPr>
              <w:spacing w:after="0"/>
              <w:ind w:firstLine="567"/>
              <w:rPr>
                <w:sz w:val="24"/>
                <w:szCs w:val="24"/>
              </w:rPr>
            </w:pPr>
          </w:p>
        </w:tc>
        <w:tc>
          <w:tcPr>
            <w:tcW w:w="4275" w:type="dxa"/>
            <w:tcBorders>
              <w:top w:val="outset" w:sz="6" w:space="0" w:color="auto"/>
              <w:left w:val="outset" w:sz="6" w:space="0" w:color="auto"/>
              <w:bottom w:val="outset" w:sz="6" w:space="0" w:color="auto"/>
              <w:right w:val="outset" w:sz="6" w:space="0" w:color="auto"/>
            </w:tcBorders>
            <w:hideMark/>
          </w:tcPr>
          <w:p w14:paraId="2E29538F" w14:textId="2934D28A" w:rsidR="001829E2" w:rsidRPr="00D43281" w:rsidRDefault="00BF0812" w:rsidP="00EB6873">
            <w:pPr>
              <w:pStyle w:val="tbl-norm"/>
              <w:spacing w:before="0" w:beforeAutospacing="0" w:after="0" w:afterAutospacing="0" w:line="312" w:lineRule="atLeast"/>
              <w:ind w:left="159"/>
              <w:jc w:val="both"/>
              <w:rPr>
                <w:lang w:val="ru-MD"/>
              </w:rPr>
            </w:pPr>
            <w:r w:rsidRPr="00D43281">
              <w:rPr>
                <w:lang w:val="ru-MD"/>
              </w:rPr>
              <w:t>требования</w:t>
            </w:r>
          </w:p>
        </w:tc>
        <w:tc>
          <w:tcPr>
            <w:tcW w:w="0" w:type="auto"/>
            <w:tcBorders>
              <w:top w:val="outset" w:sz="6" w:space="0" w:color="auto"/>
              <w:left w:val="outset" w:sz="6" w:space="0" w:color="auto"/>
              <w:bottom w:val="outset" w:sz="6" w:space="0" w:color="auto"/>
              <w:right w:val="outset" w:sz="6" w:space="0" w:color="auto"/>
            </w:tcBorders>
            <w:hideMark/>
          </w:tcPr>
          <w:p w14:paraId="027750E5" w14:textId="77777777" w:rsidR="001829E2" w:rsidRPr="00D43281" w:rsidRDefault="001829E2" w:rsidP="00EB6873">
            <w:pPr>
              <w:pStyle w:val="tbl-norm"/>
              <w:spacing w:before="0" w:beforeAutospacing="0" w:after="0" w:afterAutospacing="0" w:line="312" w:lineRule="atLeast"/>
              <w:ind w:firstLine="567"/>
              <w:jc w:val="both"/>
            </w:pPr>
            <w:r w:rsidRPr="00D43281">
              <w:t>10 %</w:t>
            </w:r>
          </w:p>
        </w:tc>
      </w:tr>
      <w:tr w:rsidR="00992B33" w:rsidRPr="00D43281" w14:paraId="59A492C6" w14:textId="77777777" w:rsidTr="001829E2">
        <w:trPr>
          <w:jc w:val="center"/>
        </w:trPr>
        <w:tc>
          <w:tcPr>
            <w:tcW w:w="4245" w:type="dxa"/>
            <w:vMerge/>
            <w:tcBorders>
              <w:top w:val="outset" w:sz="6" w:space="0" w:color="auto"/>
              <w:left w:val="outset" w:sz="6" w:space="0" w:color="auto"/>
              <w:bottom w:val="outset" w:sz="6" w:space="0" w:color="auto"/>
              <w:right w:val="outset" w:sz="6" w:space="0" w:color="auto"/>
            </w:tcBorders>
            <w:vAlign w:val="center"/>
            <w:hideMark/>
          </w:tcPr>
          <w:p w14:paraId="2D5CA11B" w14:textId="77777777" w:rsidR="001829E2" w:rsidRPr="00D43281" w:rsidRDefault="001829E2" w:rsidP="00EB6873">
            <w:pPr>
              <w:spacing w:after="0"/>
              <w:ind w:firstLine="567"/>
              <w:rPr>
                <w:sz w:val="24"/>
                <w:szCs w:val="24"/>
              </w:rPr>
            </w:pPr>
          </w:p>
        </w:tc>
        <w:tc>
          <w:tcPr>
            <w:tcW w:w="4275" w:type="dxa"/>
            <w:tcBorders>
              <w:top w:val="outset" w:sz="6" w:space="0" w:color="auto"/>
              <w:left w:val="outset" w:sz="6" w:space="0" w:color="auto"/>
              <w:bottom w:val="outset" w:sz="6" w:space="0" w:color="auto"/>
              <w:right w:val="outset" w:sz="6" w:space="0" w:color="auto"/>
            </w:tcBorders>
            <w:hideMark/>
          </w:tcPr>
          <w:p w14:paraId="559D4BA5" w14:textId="4F7F8BAE" w:rsidR="001829E2" w:rsidRPr="00D43281" w:rsidRDefault="00BF0812" w:rsidP="00EB6873">
            <w:pPr>
              <w:pStyle w:val="tbl-norm"/>
              <w:spacing w:before="0" w:beforeAutospacing="0" w:after="0" w:afterAutospacing="0" w:line="312" w:lineRule="atLeast"/>
              <w:ind w:left="159"/>
              <w:jc w:val="both"/>
              <w:rPr>
                <w:lang w:val="ru-MD"/>
              </w:rPr>
            </w:pPr>
            <w:r w:rsidRPr="00D43281">
              <w:rPr>
                <w:lang w:val="ru-MD"/>
              </w:rPr>
              <w:t>жилая или коммерческая недвижимость</w:t>
            </w:r>
          </w:p>
        </w:tc>
        <w:tc>
          <w:tcPr>
            <w:tcW w:w="0" w:type="auto"/>
            <w:tcBorders>
              <w:top w:val="outset" w:sz="6" w:space="0" w:color="auto"/>
              <w:left w:val="outset" w:sz="6" w:space="0" w:color="auto"/>
              <w:bottom w:val="outset" w:sz="6" w:space="0" w:color="auto"/>
              <w:right w:val="outset" w:sz="6" w:space="0" w:color="auto"/>
            </w:tcBorders>
            <w:hideMark/>
          </w:tcPr>
          <w:p w14:paraId="0E6BD3AF" w14:textId="77777777" w:rsidR="001829E2" w:rsidRPr="00D43281" w:rsidRDefault="001829E2" w:rsidP="00EB6873">
            <w:pPr>
              <w:pStyle w:val="tbl-norm"/>
              <w:spacing w:before="0" w:beforeAutospacing="0" w:after="0" w:afterAutospacing="0" w:line="312" w:lineRule="atLeast"/>
              <w:ind w:firstLine="567"/>
              <w:jc w:val="both"/>
            </w:pPr>
            <w:r w:rsidRPr="00D43281">
              <w:t>10 %</w:t>
            </w:r>
          </w:p>
        </w:tc>
      </w:tr>
      <w:tr w:rsidR="00992B33" w:rsidRPr="00D43281" w14:paraId="56B41B0A" w14:textId="77777777" w:rsidTr="001829E2">
        <w:trPr>
          <w:jc w:val="center"/>
        </w:trPr>
        <w:tc>
          <w:tcPr>
            <w:tcW w:w="4245" w:type="dxa"/>
            <w:vMerge/>
            <w:tcBorders>
              <w:top w:val="outset" w:sz="6" w:space="0" w:color="auto"/>
              <w:left w:val="outset" w:sz="6" w:space="0" w:color="auto"/>
              <w:bottom w:val="outset" w:sz="6" w:space="0" w:color="auto"/>
              <w:right w:val="outset" w:sz="6" w:space="0" w:color="auto"/>
            </w:tcBorders>
            <w:vAlign w:val="center"/>
            <w:hideMark/>
          </w:tcPr>
          <w:p w14:paraId="199FAA99" w14:textId="77777777" w:rsidR="001829E2" w:rsidRPr="00D43281" w:rsidRDefault="001829E2" w:rsidP="00EB6873">
            <w:pPr>
              <w:spacing w:after="0"/>
              <w:ind w:firstLine="567"/>
              <w:rPr>
                <w:sz w:val="24"/>
                <w:szCs w:val="24"/>
              </w:rPr>
            </w:pPr>
          </w:p>
        </w:tc>
        <w:tc>
          <w:tcPr>
            <w:tcW w:w="4275" w:type="dxa"/>
            <w:tcBorders>
              <w:top w:val="outset" w:sz="6" w:space="0" w:color="auto"/>
              <w:left w:val="outset" w:sz="6" w:space="0" w:color="auto"/>
              <w:bottom w:val="outset" w:sz="6" w:space="0" w:color="auto"/>
              <w:right w:val="outset" w:sz="6" w:space="0" w:color="auto"/>
            </w:tcBorders>
            <w:hideMark/>
          </w:tcPr>
          <w:p w14:paraId="1D605BF1" w14:textId="2EBA1D04" w:rsidR="001829E2" w:rsidRPr="00D43281" w:rsidRDefault="00BF0812" w:rsidP="00EB6873">
            <w:pPr>
              <w:pStyle w:val="tbl-norm"/>
              <w:spacing w:before="0" w:beforeAutospacing="0" w:after="0" w:afterAutospacing="0" w:line="312" w:lineRule="atLeast"/>
              <w:ind w:left="159"/>
              <w:jc w:val="both"/>
              <w:rPr>
                <w:lang w:val="ru-MD"/>
              </w:rPr>
            </w:pPr>
            <w:r w:rsidRPr="00D43281">
              <w:rPr>
                <w:lang w:val="ru-MD"/>
              </w:rPr>
              <w:t>прочие вещные обеспечения</w:t>
            </w:r>
          </w:p>
        </w:tc>
        <w:tc>
          <w:tcPr>
            <w:tcW w:w="0" w:type="auto"/>
            <w:tcBorders>
              <w:top w:val="outset" w:sz="6" w:space="0" w:color="auto"/>
              <w:left w:val="outset" w:sz="6" w:space="0" w:color="auto"/>
              <w:bottom w:val="outset" w:sz="6" w:space="0" w:color="auto"/>
              <w:right w:val="outset" w:sz="6" w:space="0" w:color="auto"/>
            </w:tcBorders>
            <w:hideMark/>
          </w:tcPr>
          <w:p w14:paraId="14B3F469" w14:textId="77777777" w:rsidR="001829E2" w:rsidRPr="00D43281" w:rsidRDefault="001829E2" w:rsidP="00EB6873">
            <w:pPr>
              <w:pStyle w:val="tbl-norm"/>
              <w:spacing w:before="0" w:beforeAutospacing="0" w:after="0" w:afterAutospacing="0" w:line="312" w:lineRule="atLeast"/>
              <w:ind w:firstLine="567"/>
              <w:jc w:val="both"/>
            </w:pPr>
            <w:r w:rsidRPr="00D43281">
              <w:t>15 %</w:t>
            </w:r>
          </w:p>
        </w:tc>
      </w:tr>
    </w:tbl>
    <w:p w14:paraId="77D2BCE6" w14:textId="77777777" w:rsidR="001829E2" w:rsidRPr="00D43281" w:rsidRDefault="001829E2" w:rsidP="00974D7D">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p>
    <w:p w14:paraId="27ABF446" w14:textId="51A560BA" w:rsidR="00C7296A" w:rsidRPr="00D43281" w:rsidRDefault="00C7296A" w:rsidP="0018418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m-CH"/>
        </w:rPr>
        <w:t>В случае подверженностей перед обществами, относящихся к классам рисков, указанным в подпункте 19.</w:t>
      </w:r>
      <w:r w:rsidRPr="00D43281">
        <w:rPr>
          <w:rFonts w:ascii="Times New Roman" w:hAnsi="Times New Roman" w:cs="Times New Roman"/>
          <w:color w:val="000000" w:themeColor="text1"/>
          <w:sz w:val="24"/>
          <w:szCs w:val="24"/>
          <w:lang w:val="ru-RU"/>
        </w:rPr>
        <w:t>2</w:t>
      </w:r>
      <w:r w:rsidRPr="00D43281">
        <w:rPr>
          <w:rFonts w:ascii="Times New Roman" w:hAnsi="Times New Roman" w:cs="Times New Roman"/>
          <w:color w:val="000000" w:themeColor="text1"/>
          <w:sz w:val="24"/>
          <w:szCs w:val="24"/>
          <w:lang w:val="rm-CH"/>
        </w:rPr>
        <w:t xml:space="preserve"> пункта 19, исключительно в целях расчета взвешенных по риску сумм подверженностей и сумм ожидаемых убытков, связанных с такими подверженностями, в частности в значении подпункта 71.3, пунктов 89–93 и пунктов 94, 98–99 и 102, в случае использования собственных оценок LGD, значения LGD, которые используются для каждой подверженности в качестве входных данных в формуле расчета взвешенных по риску сумм подверженностей и ожидаемых убытков</w:t>
      </w:r>
      <w:r w:rsidR="00071DE2" w:rsidRPr="00D43281">
        <w:rPr>
          <w:rFonts w:ascii="Times New Roman" w:hAnsi="Times New Roman" w:cs="Times New Roman"/>
          <w:color w:val="000000" w:themeColor="text1"/>
          <w:sz w:val="24"/>
          <w:szCs w:val="24"/>
          <w:lang w:val="ru-RU"/>
        </w:rPr>
        <w:t xml:space="preserve"> для подверженностей без приемлемой </w:t>
      </w:r>
      <w:r w:rsidR="00071DE2" w:rsidRPr="00D43281">
        <w:rPr>
          <w:rFonts w:ascii="Times New Roman" w:hAnsi="Times New Roman" w:cs="Times New Roman"/>
          <w:color w:val="000000" w:themeColor="text1"/>
          <w:sz w:val="24"/>
          <w:szCs w:val="24"/>
          <w:lang w:val="ro-RO"/>
        </w:rPr>
        <w:t>FCP</w:t>
      </w:r>
      <w:r w:rsidRPr="00D43281">
        <w:rPr>
          <w:rFonts w:ascii="Times New Roman" w:hAnsi="Times New Roman" w:cs="Times New Roman"/>
          <w:color w:val="000000" w:themeColor="text1"/>
          <w:sz w:val="24"/>
          <w:szCs w:val="24"/>
          <w:lang w:val="rm-CH"/>
        </w:rPr>
        <w:t xml:space="preserve">, </w:t>
      </w:r>
      <w:r w:rsidR="00071DE2" w:rsidRPr="00D43281">
        <w:rPr>
          <w:rFonts w:ascii="Times New Roman" w:hAnsi="Times New Roman" w:cs="Times New Roman"/>
          <w:color w:val="000000" w:themeColor="text1"/>
          <w:sz w:val="24"/>
          <w:szCs w:val="24"/>
          <w:lang w:val="rm-CH"/>
        </w:rPr>
        <w:t>не может быть меньше следующего минимального порогового значения LGD: 5 %.</w:t>
      </w:r>
    </w:p>
    <w:p w14:paraId="3648697C" w14:textId="1BA9B600" w:rsidR="004A2955" w:rsidRPr="00D43281" w:rsidRDefault="0014599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99" w:name="_Ref215221786"/>
      <w:r w:rsidRPr="00D43281">
        <w:rPr>
          <w:rFonts w:ascii="Times New Roman" w:hAnsi="Times New Roman" w:cs="Times New Roman"/>
          <w:color w:val="000000" w:themeColor="text1"/>
          <w:sz w:val="24"/>
          <w:szCs w:val="24"/>
          <w:lang w:val="ru-RU"/>
        </w:rPr>
        <w:t xml:space="preserve">В смысле пункта 117 минимальные пороговые значения LGD из таблицы № 3 для подверженностей, полностью обеспеченных приемлемой финансируемой защитой кредита, </w:t>
      </w:r>
      <w:r w:rsidRPr="00D43281">
        <w:rPr>
          <w:rFonts w:ascii="Times New Roman" w:hAnsi="Times New Roman" w:cs="Times New Roman"/>
          <w:color w:val="000000" w:themeColor="text1"/>
          <w:sz w:val="24"/>
          <w:szCs w:val="24"/>
          <w:lang w:val="ru-RU"/>
        </w:rPr>
        <w:lastRenderedPageBreak/>
        <w:t xml:space="preserve">применяются в тех случаях, когда величина финансируемой защиты кредита, после применения соответствующих </w:t>
      </w:r>
      <w:r w:rsidR="001B35CF" w:rsidRPr="00D43281">
        <w:rPr>
          <w:rFonts w:ascii="Times New Roman" w:hAnsi="Times New Roman" w:cs="Times New Roman"/>
          <w:color w:val="000000" w:themeColor="text1"/>
          <w:sz w:val="24"/>
          <w:szCs w:val="24"/>
          <w:lang w:val="ru-RU"/>
        </w:rPr>
        <w:t>корректирово</w:t>
      </w:r>
      <w:r w:rsidRPr="00D43281">
        <w:rPr>
          <w:rFonts w:ascii="Times New Roman" w:hAnsi="Times New Roman" w:cs="Times New Roman"/>
          <w:color w:val="000000" w:themeColor="text1"/>
          <w:sz w:val="24"/>
          <w:szCs w:val="24"/>
          <w:lang w:val="ru-RU"/>
        </w:rPr>
        <w:t xml:space="preserve">к на волатильность </w:t>
      </w:r>
      <w:proofErr w:type="spellStart"/>
      <w:r w:rsidRPr="00D43281">
        <w:rPr>
          <w:rFonts w:ascii="Times New Roman" w:hAnsi="Times New Roman" w:cs="Times New Roman"/>
          <w:color w:val="000000" w:themeColor="text1"/>
          <w:sz w:val="24"/>
          <w:szCs w:val="24"/>
          <w:lang w:val="ru-RU"/>
        </w:rPr>
        <w:t>Hc</w:t>
      </w:r>
      <w:proofErr w:type="spellEnd"/>
      <w:r w:rsidRPr="00D43281">
        <w:rPr>
          <w:rFonts w:ascii="Times New Roman" w:hAnsi="Times New Roman" w:cs="Times New Roman"/>
          <w:color w:val="000000" w:themeColor="text1"/>
          <w:sz w:val="24"/>
          <w:szCs w:val="24"/>
          <w:lang w:val="ru-RU"/>
        </w:rPr>
        <w:t xml:space="preserve"> и </w:t>
      </w:r>
      <w:proofErr w:type="spellStart"/>
      <w:r w:rsidRPr="00D43281">
        <w:rPr>
          <w:rFonts w:ascii="Times New Roman" w:hAnsi="Times New Roman" w:cs="Times New Roman"/>
          <w:color w:val="000000" w:themeColor="text1"/>
          <w:sz w:val="24"/>
          <w:szCs w:val="24"/>
          <w:lang w:val="ru-RU"/>
        </w:rPr>
        <w:t>Hfx</w:t>
      </w:r>
      <w:proofErr w:type="spellEnd"/>
      <w:r w:rsidRPr="00D43281">
        <w:rPr>
          <w:rFonts w:ascii="Times New Roman" w:hAnsi="Times New Roman" w:cs="Times New Roman"/>
          <w:color w:val="000000" w:themeColor="text1"/>
          <w:sz w:val="24"/>
          <w:szCs w:val="24"/>
          <w:lang w:val="ru-RU"/>
        </w:rPr>
        <w:t>, в соответствии с пунктами 107</w:t>
      </w:r>
      <w:r w:rsidRPr="00D43281">
        <w:rPr>
          <w:rFonts w:ascii="Times New Roman" w:hAnsi="Times New Roman" w:cs="Times New Roman"/>
          <w:color w:val="000000" w:themeColor="text1"/>
          <w:sz w:val="24"/>
          <w:szCs w:val="24"/>
          <w:vertAlign w:val="superscript"/>
          <w:lang w:val="ru-RU"/>
        </w:rPr>
        <w:t>6</w:t>
      </w:r>
      <w:r w:rsidRPr="00D43281">
        <w:rPr>
          <w:rFonts w:ascii="Times New Roman" w:hAnsi="Times New Roman" w:cs="Times New Roman"/>
          <w:color w:val="000000" w:themeColor="text1"/>
          <w:sz w:val="24"/>
          <w:szCs w:val="24"/>
          <w:lang w:val="ru-RU"/>
        </w:rPr>
        <w:t>–107</w:t>
      </w:r>
      <w:r w:rsidRPr="00D43281">
        <w:rPr>
          <w:rFonts w:ascii="Times New Roman" w:hAnsi="Times New Roman" w:cs="Times New Roman"/>
          <w:color w:val="000000" w:themeColor="text1"/>
          <w:sz w:val="24"/>
          <w:szCs w:val="24"/>
          <w:vertAlign w:val="superscript"/>
          <w:lang w:val="ru-RU"/>
        </w:rPr>
        <w:t>10</w:t>
      </w:r>
      <w:r w:rsidRPr="00D43281">
        <w:rPr>
          <w:rFonts w:ascii="Times New Roman" w:hAnsi="Times New Roman" w:cs="Times New Roman"/>
          <w:color w:val="000000" w:themeColor="text1"/>
          <w:sz w:val="24"/>
          <w:szCs w:val="24"/>
          <w:lang w:val="ru-RU"/>
        </w:rPr>
        <w:t xml:space="preserve"> Регламента № 112/2018, равна или превышает величину базовой подверженности</w:t>
      </w:r>
      <w:r w:rsidR="004A2955" w:rsidRPr="00D43281">
        <w:rPr>
          <w:rFonts w:ascii="Times New Roman" w:hAnsi="Times New Roman" w:cs="Times New Roman"/>
          <w:color w:val="000000" w:themeColor="text1"/>
          <w:sz w:val="24"/>
          <w:szCs w:val="24"/>
          <w:lang w:val="ru-RU"/>
        </w:rPr>
        <w:t>.</w:t>
      </w:r>
      <w:bookmarkEnd w:id="99"/>
    </w:p>
    <w:p w14:paraId="13039889" w14:textId="3F3BAD97" w:rsidR="004A2955" w:rsidRPr="00D43281" w:rsidRDefault="001B35C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В смысле пункта 117 и в целях применения соответствующих корректировок </w:t>
      </w:r>
      <w:proofErr w:type="spellStart"/>
      <w:r w:rsidRPr="00D43281">
        <w:rPr>
          <w:rFonts w:ascii="Times New Roman" w:hAnsi="Times New Roman" w:cs="Times New Roman"/>
          <w:color w:val="000000" w:themeColor="text1"/>
          <w:sz w:val="24"/>
          <w:szCs w:val="24"/>
          <w:lang w:val="ru-MD"/>
        </w:rPr>
        <w:t>Hc</w:t>
      </w:r>
      <w:proofErr w:type="spellEnd"/>
      <w:r w:rsidRPr="00D43281">
        <w:rPr>
          <w:rFonts w:ascii="Times New Roman" w:hAnsi="Times New Roman" w:cs="Times New Roman"/>
          <w:color w:val="000000" w:themeColor="text1"/>
          <w:sz w:val="24"/>
          <w:szCs w:val="24"/>
          <w:lang w:val="ru-MD"/>
        </w:rPr>
        <w:t xml:space="preserve"> и </w:t>
      </w:r>
      <w:proofErr w:type="spellStart"/>
      <w:r w:rsidRPr="00D43281">
        <w:rPr>
          <w:rFonts w:ascii="Times New Roman" w:hAnsi="Times New Roman" w:cs="Times New Roman"/>
          <w:color w:val="000000" w:themeColor="text1"/>
          <w:sz w:val="24"/>
          <w:szCs w:val="24"/>
          <w:lang w:val="ru-MD"/>
        </w:rPr>
        <w:t>Hfx</w:t>
      </w:r>
      <w:proofErr w:type="spellEnd"/>
      <w:r w:rsidRPr="00D43281">
        <w:rPr>
          <w:rFonts w:ascii="Times New Roman" w:hAnsi="Times New Roman" w:cs="Times New Roman"/>
          <w:color w:val="000000" w:themeColor="text1"/>
          <w:sz w:val="24"/>
          <w:szCs w:val="24"/>
          <w:lang w:val="ru-MD"/>
        </w:rPr>
        <w:t xml:space="preserve"> в соответствии с пунктами 107</w:t>
      </w:r>
      <w:r w:rsidRPr="00D43281">
        <w:rPr>
          <w:rFonts w:ascii="Times New Roman" w:hAnsi="Times New Roman" w:cs="Times New Roman"/>
          <w:color w:val="000000" w:themeColor="text1"/>
          <w:sz w:val="24"/>
          <w:szCs w:val="24"/>
          <w:vertAlign w:val="superscript"/>
          <w:lang w:val="ru-MD"/>
        </w:rPr>
        <w:t>6</w:t>
      </w:r>
      <w:r w:rsidRPr="00D43281">
        <w:rPr>
          <w:rFonts w:ascii="Times New Roman" w:hAnsi="Times New Roman" w:cs="Times New Roman"/>
          <w:color w:val="000000" w:themeColor="text1"/>
          <w:sz w:val="24"/>
          <w:szCs w:val="24"/>
          <w:lang w:val="ru-MD"/>
        </w:rPr>
        <w:t>–107</w:t>
      </w:r>
      <w:r w:rsidRPr="00D43281">
        <w:rPr>
          <w:rFonts w:ascii="Times New Roman" w:hAnsi="Times New Roman" w:cs="Times New Roman"/>
          <w:color w:val="000000" w:themeColor="text1"/>
          <w:sz w:val="24"/>
          <w:szCs w:val="24"/>
          <w:vertAlign w:val="superscript"/>
          <w:lang w:val="ru-MD"/>
        </w:rPr>
        <w:t>10</w:t>
      </w:r>
      <w:r w:rsidRPr="00D43281">
        <w:rPr>
          <w:rFonts w:ascii="Times New Roman" w:hAnsi="Times New Roman" w:cs="Times New Roman"/>
          <w:color w:val="000000" w:themeColor="text1"/>
          <w:sz w:val="24"/>
          <w:szCs w:val="24"/>
          <w:lang w:val="ru-MD"/>
        </w:rPr>
        <w:t xml:space="preserve"> Регламента № 112/2018 финансируемое обеспечение кредита является приемлемым на основании настоящего регламента. В этом случае тип финансируемой защиты кредита «прочие вещные гарантии», предусмотренный в таблице № 5 Регламента № 112/2018, понимается как «прочие вещные гарантии и прочие допустимые гарантии»</w:t>
      </w:r>
      <w:r w:rsidR="004A2955" w:rsidRPr="00D43281">
        <w:rPr>
          <w:rFonts w:ascii="Times New Roman" w:hAnsi="Times New Roman" w:cs="Times New Roman"/>
          <w:color w:val="000000" w:themeColor="text1"/>
          <w:sz w:val="24"/>
          <w:szCs w:val="24"/>
          <w:lang w:val="ru-MD"/>
        </w:rPr>
        <w:t>.</w:t>
      </w:r>
    </w:p>
    <w:p w14:paraId="623CE653" w14:textId="58B7ED33" w:rsidR="004A2955" w:rsidRPr="00D43281" w:rsidRDefault="00C20002"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00" w:name="_Ref215221791"/>
      <w:r w:rsidRPr="00D43281">
        <w:rPr>
          <w:rFonts w:ascii="Times New Roman" w:hAnsi="Times New Roman" w:cs="Times New Roman"/>
          <w:color w:val="000000" w:themeColor="text1"/>
          <w:sz w:val="24"/>
          <w:szCs w:val="24"/>
          <w:lang w:val="ru-MD"/>
        </w:rPr>
        <w:t>Минимальный порог</w:t>
      </w:r>
      <w:r w:rsidR="004A2955" w:rsidRPr="00D43281">
        <w:rPr>
          <w:rFonts w:ascii="Times New Roman" w:hAnsi="Times New Roman" w:cs="Times New Roman"/>
          <w:color w:val="000000" w:themeColor="text1"/>
          <w:sz w:val="24"/>
          <w:szCs w:val="24"/>
          <w:lang w:val="ru-MD"/>
        </w:rPr>
        <w:t xml:space="preserve"> LGD (</w:t>
      </w:r>
      <w:proofErr w:type="spellStart"/>
      <w:r w:rsidR="004A2955" w:rsidRPr="00D43281">
        <w:rPr>
          <w:rFonts w:ascii="Times New Roman" w:hAnsi="Times New Roman" w:cs="Times New Roman"/>
          <w:color w:val="000000" w:themeColor="text1"/>
          <w:sz w:val="24"/>
          <w:szCs w:val="24"/>
          <w:lang w:val="ru-MD"/>
        </w:rPr>
        <w:t>LGD</w:t>
      </w:r>
      <w:r w:rsidR="004A2955" w:rsidRPr="00D43281">
        <w:rPr>
          <w:rFonts w:ascii="Times New Roman" w:hAnsi="Times New Roman" w:cs="Times New Roman"/>
          <w:color w:val="000000" w:themeColor="text1"/>
          <w:sz w:val="24"/>
          <w:szCs w:val="24"/>
          <w:vertAlign w:val="subscript"/>
          <w:lang w:val="ru-MD"/>
        </w:rPr>
        <w:t>floor</w:t>
      </w:r>
      <w:proofErr w:type="spellEnd"/>
      <w:r w:rsidR="004A2955" w:rsidRPr="00D43281">
        <w:rPr>
          <w:rFonts w:ascii="Times New Roman" w:hAnsi="Times New Roman" w:cs="Times New Roman"/>
          <w:color w:val="000000" w:themeColor="text1"/>
          <w:sz w:val="24"/>
          <w:szCs w:val="24"/>
          <w:lang w:val="ru-MD"/>
        </w:rPr>
        <w:t xml:space="preserve">) </w:t>
      </w:r>
      <w:r w:rsidRPr="00D43281">
        <w:rPr>
          <w:rFonts w:ascii="Times New Roman" w:hAnsi="Times New Roman" w:cs="Times New Roman"/>
          <w:color w:val="000000" w:themeColor="text1"/>
          <w:sz w:val="24"/>
          <w:szCs w:val="24"/>
          <w:lang w:val="ru-MD"/>
        </w:rPr>
        <w:t xml:space="preserve">для частично обеспеченной FCP подверженности рассчитывается как средневзвешенное значение между </w:t>
      </w:r>
      <w:r w:rsidR="004A2955" w:rsidRPr="00D43281">
        <w:rPr>
          <w:rFonts w:ascii="Times New Roman" w:hAnsi="Times New Roman" w:cs="Times New Roman"/>
          <w:color w:val="000000" w:themeColor="text1"/>
          <w:sz w:val="24"/>
          <w:szCs w:val="24"/>
          <w:lang w:val="ru-MD"/>
        </w:rPr>
        <w:t>LGD</w:t>
      </w:r>
      <w:r w:rsidR="004A2955" w:rsidRPr="00D43281">
        <w:rPr>
          <w:rFonts w:ascii="Times New Roman" w:hAnsi="Times New Roman" w:cs="Times New Roman"/>
          <w:color w:val="000000" w:themeColor="text1"/>
          <w:sz w:val="24"/>
          <w:szCs w:val="24"/>
          <w:vertAlign w:val="subscript"/>
          <w:lang w:val="ru-MD"/>
        </w:rPr>
        <w:t>U-</w:t>
      </w:r>
      <w:proofErr w:type="spellStart"/>
      <w:r w:rsidR="004A2955" w:rsidRPr="00D43281">
        <w:rPr>
          <w:rFonts w:ascii="Times New Roman" w:hAnsi="Times New Roman" w:cs="Times New Roman"/>
          <w:color w:val="000000" w:themeColor="text1"/>
          <w:sz w:val="24"/>
          <w:szCs w:val="24"/>
          <w:vertAlign w:val="subscript"/>
          <w:lang w:val="ru-MD"/>
        </w:rPr>
        <w:t>floor</w:t>
      </w:r>
      <w:proofErr w:type="spellEnd"/>
      <w:r w:rsidR="004A2955" w:rsidRPr="00D43281">
        <w:rPr>
          <w:rFonts w:ascii="Times New Roman" w:hAnsi="Times New Roman" w:cs="Times New Roman"/>
          <w:color w:val="000000" w:themeColor="text1"/>
          <w:sz w:val="24"/>
          <w:szCs w:val="24"/>
          <w:vertAlign w:val="subscript"/>
          <w:lang w:val="ru-MD"/>
        </w:rPr>
        <w:t xml:space="preserve"> </w:t>
      </w:r>
      <w:r w:rsidRPr="00D43281">
        <w:rPr>
          <w:rFonts w:ascii="Times New Roman" w:hAnsi="Times New Roman" w:cs="Times New Roman"/>
          <w:color w:val="000000" w:themeColor="text1"/>
          <w:sz w:val="24"/>
          <w:szCs w:val="24"/>
          <w:lang w:val="ru-MD"/>
        </w:rPr>
        <w:t xml:space="preserve">для части подверженности, не обеспеченной </w:t>
      </w:r>
      <w:r w:rsidR="004A2955" w:rsidRPr="00D43281">
        <w:rPr>
          <w:rFonts w:ascii="Times New Roman" w:hAnsi="Times New Roman" w:cs="Times New Roman"/>
          <w:color w:val="000000" w:themeColor="text1"/>
          <w:sz w:val="24"/>
          <w:szCs w:val="24"/>
          <w:lang w:val="ru-MD"/>
        </w:rPr>
        <w:t>FCP</w:t>
      </w:r>
      <w:r w:rsidRPr="00D43281">
        <w:rPr>
          <w:rFonts w:ascii="Times New Roman" w:hAnsi="Times New Roman" w:cs="Times New Roman"/>
          <w:color w:val="000000" w:themeColor="text1"/>
          <w:sz w:val="24"/>
          <w:szCs w:val="24"/>
          <w:lang w:val="ru-MD"/>
        </w:rPr>
        <w:t>,</w:t>
      </w:r>
      <w:r w:rsidR="004A2955" w:rsidRPr="00D43281">
        <w:rPr>
          <w:rFonts w:ascii="Times New Roman" w:hAnsi="Times New Roman" w:cs="Times New Roman"/>
          <w:color w:val="000000" w:themeColor="text1"/>
          <w:sz w:val="24"/>
          <w:szCs w:val="24"/>
          <w:lang w:val="ru-MD"/>
        </w:rPr>
        <w:t xml:space="preserve"> </w:t>
      </w:r>
      <w:r w:rsidRPr="00D43281">
        <w:rPr>
          <w:rFonts w:ascii="Times New Roman" w:hAnsi="Times New Roman" w:cs="Times New Roman"/>
          <w:color w:val="000000" w:themeColor="text1"/>
          <w:sz w:val="24"/>
          <w:szCs w:val="24"/>
          <w:lang w:val="ru-MD"/>
        </w:rPr>
        <w:t>и</w:t>
      </w:r>
      <w:r w:rsidR="004A2955" w:rsidRPr="00D43281">
        <w:rPr>
          <w:rFonts w:ascii="Times New Roman" w:hAnsi="Times New Roman" w:cs="Times New Roman"/>
          <w:color w:val="000000" w:themeColor="text1"/>
          <w:sz w:val="24"/>
          <w:szCs w:val="24"/>
          <w:lang w:val="ru-MD"/>
        </w:rPr>
        <w:t xml:space="preserve"> LGD</w:t>
      </w:r>
      <w:r w:rsidR="004A2955" w:rsidRPr="00D43281">
        <w:rPr>
          <w:rFonts w:ascii="Times New Roman" w:hAnsi="Times New Roman" w:cs="Times New Roman"/>
          <w:color w:val="000000" w:themeColor="text1"/>
          <w:sz w:val="24"/>
          <w:szCs w:val="24"/>
          <w:vertAlign w:val="subscript"/>
          <w:lang w:val="ru-MD"/>
        </w:rPr>
        <w:t>S-</w:t>
      </w:r>
      <w:proofErr w:type="spellStart"/>
      <w:r w:rsidR="004A2955" w:rsidRPr="00D43281">
        <w:rPr>
          <w:rFonts w:ascii="Times New Roman" w:hAnsi="Times New Roman" w:cs="Times New Roman"/>
          <w:color w:val="000000" w:themeColor="text1"/>
          <w:sz w:val="24"/>
          <w:szCs w:val="24"/>
          <w:vertAlign w:val="subscript"/>
          <w:lang w:val="ru-MD"/>
        </w:rPr>
        <w:t>floor</w:t>
      </w:r>
      <w:proofErr w:type="spellEnd"/>
      <w:r w:rsidR="004A2955" w:rsidRPr="00D43281">
        <w:rPr>
          <w:rFonts w:ascii="Times New Roman" w:hAnsi="Times New Roman" w:cs="Times New Roman"/>
          <w:color w:val="000000" w:themeColor="text1"/>
          <w:sz w:val="24"/>
          <w:szCs w:val="24"/>
          <w:vertAlign w:val="subscript"/>
          <w:lang w:val="ru-MD"/>
        </w:rPr>
        <w:t xml:space="preserve"> </w:t>
      </w:r>
      <w:r w:rsidR="00C846FB" w:rsidRPr="00D43281">
        <w:rPr>
          <w:rFonts w:ascii="Times New Roman" w:hAnsi="Times New Roman" w:cs="Times New Roman"/>
          <w:color w:val="000000" w:themeColor="text1"/>
          <w:sz w:val="24"/>
          <w:szCs w:val="24"/>
          <w:lang w:val="ru-MD"/>
        </w:rPr>
        <w:t>для полностью обеспеченной части, следующим образом</w:t>
      </w:r>
      <w:r w:rsidR="004A2955" w:rsidRPr="00D43281">
        <w:rPr>
          <w:rFonts w:ascii="Times New Roman" w:hAnsi="Times New Roman" w:cs="Times New Roman"/>
          <w:color w:val="000000" w:themeColor="text1"/>
          <w:sz w:val="24"/>
          <w:szCs w:val="24"/>
          <w:lang w:val="ru-MD"/>
        </w:rPr>
        <w:t>:</w:t>
      </w:r>
      <w:bookmarkEnd w:id="100"/>
    </w:p>
    <w:p w14:paraId="4854C65B" w14:textId="0E72C50C" w:rsidR="004A2955" w:rsidRPr="00D43281" w:rsidRDefault="000F1725" w:rsidP="00974D7D">
      <w:p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43281">
        <w:rPr>
          <w:rFonts w:ascii="Times New Roman" w:hAnsi="Times New Roman" w:cs="Times New Roman"/>
          <w:noProof/>
          <w:sz w:val="24"/>
          <w:szCs w:val="24"/>
          <w:lang w:val="ro-RO"/>
        </w:rPr>
        <w:drawing>
          <wp:inline distT="0" distB="0" distL="0" distR="0" wp14:anchorId="63FE1B19" wp14:editId="2C794461">
            <wp:extent cx="4953000" cy="504825"/>
            <wp:effectExtent l="0" t="0" r="0" b="9525"/>
            <wp:docPr id="1" name="Picture 1"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953000" cy="504825"/>
                    </a:xfrm>
                    <a:prstGeom prst="rect">
                      <a:avLst/>
                    </a:prstGeom>
                    <a:noFill/>
                    <a:ln>
                      <a:noFill/>
                    </a:ln>
                  </pic:spPr>
                </pic:pic>
              </a:graphicData>
            </a:graphic>
          </wp:inline>
        </w:drawing>
      </w:r>
    </w:p>
    <w:p w14:paraId="774A72FD" w14:textId="3F59535D" w:rsidR="004A2955" w:rsidRPr="00D43281" w:rsidRDefault="00C846FB" w:rsidP="00974D7D">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RU"/>
        </w:rPr>
        <w:t>где</w:t>
      </w:r>
      <w:r w:rsidR="004A2955" w:rsidRPr="00D43281">
        <w:rPr>
          <w:rFonts w:ascii="Times New Roman" w:hAnsi="Times New Roman" w:cs="Times New Roman"/>
          <w:color w:val="000000" w:themeColor="text1"/>
          <w:sz w:val="24"/>
          <w:szCs w:val="24"/>
          <w:lang w:val="ro-RO"/>
        </w:rPr>
        <w:t>:</w:t>
      </w:r>
    </w:p>
    <w:p w14:paraId="7E2A3D42" w14:textId="77777777" w:rsidR="004A2955" w:rsidRPr="00D43281" w:rsidRDefault="004A2955" w:rsidP="00974D7D">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o-RO"/>
        </w:rPr>
      </w:pPr>
    </w:p>
    <w:p w14:paraId="357CF5CD" w14:textId="177B1B7C" w:rsidR="004A2955" w:rsidRPr="00D43281" w:rsidRDefault="004A2955" w:rsidP="00974D7D">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LGD</w:t>
      </w:r>
      <w:r w:rsidRPr="00D43281">
        <w:rPr>
          <w:rFonts w:ascii="Times New Roman" w:hAnsi="Times New Roman" w:cs="Times New Roman"/>
          <w:color w:val="000000" w:themeColor="text1"/>
          <w:sz w:val="24"/>
          <w:szCs w:val="24"/>
          <w:vertAlign w:val="subscript"/>
          <w:lang w:val="ru-MD"/>
        </w:rPr>
        <w:t>U-</w:t>
      </w:r>
      <w:proofErr w:type="spellStart"/>
      <w:proofErr w:type="gramStart"/>
      <w:r w:rsidRPr="00D43281">
        <w:rPr>
          <w:rFonts w:ascii="Times New Roman" w:hAnsi="Times New Roman" w:cs="Times New Roman"/>
          <w:color w:val="000000" w:themeColor="text1"/>
          <w:sz w:val="24"/>
          <w:szCs w:val="24"/>
          <w:vertAlign w:val="subscript"/>
          <w:lang w:val="ru-MD"/>
        </w:rPr>
        <w:t>floor</w:t>
      </w:r>
      <w:proofErr w:type="spellEnd"/>
      <w:r w:rsidRPr="00D43281">
        <w:rPr>
          <w:rFonts w:ascii="Times New Roman" w:hAnsi="Times New Roman" w:cs="Times New Roman"/>
          <w:color w:val="000000" w:themeColor="text1"/>
          <w:sz w:val="24"/>
          <w:szCs w:val="24"/>
          <w:vertAlign w:val="subscript"/>
          <w:lang w:val="ru-MD"/>
        </w:rPr>
        <w:t xml:space="preserve"> </w:t>
      </w:r>
      <w:r w:rsidRPr="00D43281">
        <w:rPr>
          <w:rFonts w:ascii="Times New Roman" w:hAnsi="Times New Roman" w:cs="Times New Roman"/>
          <w:color w:val="000000" w:themeColor="text1"/>
          <w:sz w:val="24"/>
          <w:szCs w:val="24"/>
          <w:lang w:val="ru-MD"/>
        </w:rPr>
        <w:t xml:space="preserve"> </w:t>
      </w:r>
      <w:r w:rsidR="00C846FB" w:rsidRPr="00D43281">
        <w:rPr>
          <w:rFonts w:ascii="Times New Roman" w:hAnsi="Times New Roman" w:cs="Times New Roman"/>
          <w:color w:val="000000" w:themeColor="text1"/>
          <w:sz w:val="24"/>
          <w:szCs w:val="24"/>
          <w:lang w:val="ru-MD"/>
        </w:rPr>
        <w:t>и</w:t>
      </w:r>
      <w:proofErr w:type="gramEnd"/>
      <w:r w:rsidR="00C846FB" w:rsidRPr="00D43281">
        <w:rPr>
          <w:rFonts w:ascii="Times New Roman" w:hAnsi="Times New Roman" w:cs="Times New Roman"/>
          <w:color w:val="000000" w:themeColor="text1"/>
          <w:sz w:val="24"/>
          <w:szCs w:val="24"/>
          <w:lang w:val="ru-MD"/>
        </w:rPr>
        <w:t xml:space="preserve"> </w:t>
      </w:r>
      <w:r w:rsidRPr="00D43281">
        <w:rPr>
          <w:rFonts w:ascii="Times New Roman" w:hAnsi="Times New Roman" w:cs="Times New Roman"/>
          <w:color w:val="000000" w:themeColor="text1"/>
          <w:sz w:val="24"/>
          <w:szCs w:val="24"/>
          <w:lang w:val="ru-MD"/>
        </w:rPr>
        <w:t>LGD</w:t>
      </w:r>
      <w:r w:rsidRPr="00D43281">
        <w:rPr>
          <w:rFonts w:ascii="Times New Roman" w:hAnsi="Times New Roman" w:cs="Times New Roman"/>
          <w:color w:val="000000" w:themeColor="text1"/>
          <w:sz w:val="24"/>
          <w:szCs w:val="24"/>
          <w:vertAlign w:val="subscript"/>
          <w:lang w:val="ru-MD"/>
        </w:rPr>
        <w:t>S-</w:t>
      </w:r>
      <w:proofErr w:type="spellStart"/>
      <w:r w:rsidRPr="00D43281">
        <w:rPr>
          <w:rFonts w:ascii="Times New Roman" w:hAnsi="Times New Roman" w:cs="Times New Roman"/>
          <w:color w:val="000000" w:themeColor="text1"/>
          <w:sz w:val="24"/>
          <w:szCs w:val="24"/>
          <w:vertAlign w:val="subscript"/>
          <w:lang w:val="ru-MD"/>
        </w:rPr>
        <w:t>floor</w:t>
      </w:r>
      <w:proofErr w:type="spellEnd"/>
      <w:r w:rsidRPr="00D43281">
        <w:rPr>
          <w:rFonts w:ascii="Times New Roman" w:hAnsi="Times New Roman" w:cs="Times New Roman"/>
          <w:color w:val="000000" w:themeColor="text1"/>
          <w:sz w:val="24"/>
          <w:szCs w:val="24"/>
          <w:vertAlign w:val="subscript"/>
          <w:lang w:val="ru-MD"/>
        </w:rPr>
        <w:t xml:space="preserve"> </w:t>
      </w:r>
      <w:r w:rsidR="00C846FB" w:rsidRPr="00D43281">
        <w:rPr>
          <w:rFonts w:ascii="Times New Roman" w:hAnsi="Times New Roman" w:cs="Times New Roman"/>
          <w:color w:val="000000" w:themeColor="text1"/>
          <w:sz w:val="24"/>
          <w:szCs w:val="24"/>
          <w:lang w:val="ru-MD"/>
        </w:rPr>
        <w:t>— это соответствующие значения минимальных пороговых значений из таблицы № 3</w:t>
      </w:r>
      <w:r w:rsidRPr="00D43281">
        <w:rPr>
          <w:rFonts w:ascii="Times New Roman" w:hAnsi="Times New Roman" w:cs="Times New Roman"/>
          <w:color w:val="000000" w:themeColor="text1"/>
          <w:sz w:val="24"/>
          <w:szCs w:val="24"/>
          <w:lang w:val="ru-MD"/>
        </w:rPr>
        <w:t>;</w:t>
      </w:r>
    </w:p>
    <w:p w14:paraId="7D42ADF9" w14:textId="43A8A099" w:rsidR="004A2955" w:rsidRPr="00D43281" w:rsidRDefault="004A2955" w:rsidP="00974D7D">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E, E</w:t>
      </w:r>
      <w:r w:rsidRPr="00D43281">
        <w:rPr>
          <w:rFonts w:ascii="Times New Roman" w:hAnsi="Times New Roman" w:cs="Times New Roman"/>
          <w:color w:val="000000" w:themeColor="text1"/>
          <w:sz w:val="24"/>
          <w:szCs w:val="24"/>
          <w:vertAlign w:val="subscript"/>
          <w:lang w:val="ru-MD"/>
        </w:rPr>
        <w:t>S</w:t>
      </w:r>
      <w:r w:rsidRPr="00D43281">
        <w:rPr>
          <w:rFonts w:ascii="Times New Roman" w:hAnsi="Times New Roman" w:cs="Times New Roman"/>
          <w:color w:val="000000" w:themeColor="text1"/>
          <w:sz w:val="24"/>
          <w:szCs w:val="24"/>
          <w:lang w:val="ru-MD"/>
        </w:rPr>
        <w:t>, E</w:t>
      </w:r>
      <w:r w:rsidRPr="00D43281">
        <w:rPr>
          <w:rFonts w:ascii="Times New Roman" w:hAnsi="Times New Roman" w:cs="Times New Roman"/>
          <w:color w:val="000000" w:themeColor="text1"/>
          <w:sz w:val="24"/>
          <w:szCs w:val="24"/>
          <w:vertAlign w:val="subscript"/>
          <w:lang w:val="ru-MD"/>
        </w:rPr>
        <w:t>U</w:t>
      </w:r>
      <w:r w:rsidRPr="00D43281">
        <w:rPr>
          <w:rFonts w:ascii="Times New Roman" w:hAnsi="Times New Roman" w:cs="Times New Roman"/>
          <w:color w:val="000000" w:themeColor="text1"/>
          <w:sz w:val="24"/>
          <w:szCs w:val="24"/>
          <w:lang w:val="ru-MD"/>
        </w:rPr>
        <w:t xml:space="preserve"> </w:t>
      </w:r>
      <w:r w:rsidR="00690885" w:rsidRPr="00D43281">
        <w:rPr>
          <w:rFonts w:ascii="Times New Roman" w:hAnsi="Times New Roman" w:cs="Times New Roman"/>
          <w:color w:val="000000" w:themeColor="text1"/>
          <w:sz w:val="24"/>
          <w:szCs w:val="24"/>
          <w:lang w:val="ru-MD"/>
        </w:rPr>
        <w:t>и</w:t>
      </w:r>
      <w:r w:rsidRPr="00D43281">
        <w:rPr>
          <w:rFonts w:ascii="Times New Roman" w:hAnsi="Times New Roman" w:cs="Times New Roman"/>
          <w:color w:val="000000" w:themeColor="text1"/>
          <w:sz w:val="24"/>
          <w:szCs w:val="24"/>
          <w:lang w:val="ru-MD"/>
        </w:rPr>
        <w:t xml:space="preserve"> H</w:t>
      </w:r>
      <w:r w:rsidRPr="00D43281">
        <w:rPr>
          <w:rFonts w:ascii="Times New Roman" w:hAnsi="Times New Roman" w:cs="Times New Roman"/>
          <w:color w:val="000000" w:themeColor="text1"/>
          <w:sz w:val="24"/>
          <w:szCs w:val="24"/>
          <w:vertAlign w:val="subscript"/>
          <w:lang w:val="ru-MD"/>
        </w:rPr>
        <w:t>E</w:t>
      </w:r>
      <w:r w:rsidRPr="00D43281">
        <w:rPr>
          <w:rFonts w:ascii="Times New Roman" w:hAnsi="Times New Roman" w:cs="Times New Roman"/>
          <w:color w:val="000000" w:themeColor="text1"/>
          <w:sz w:val="24"/>
          <w:szCs w:val="24"/>
          <w:lang w:val="ru-MD"/>
        </w:rPr>
        <w:t xml:space="preserve"> </w:t>
      </w:r>
      <w:r w:rsidR="00A65C94" w:rsidRPr="00D43281">
        <w:rPr>
          <w:rFonts w:ascii="Times New Roman" w:hAnsi="Times New Roman" w:cs="Times New Roman"/>
          <w:color w:val="000000" w:themeColor="text1"/>
          <w:sz w:val="24"/>
          <w:szCs w:val="24"/>
          <w:lang w:val="ru-MD"/>
        </w:rPr>
        <w:t>определяются в соответствии с пунктами</w:t>
      </w:r>
      <w:r w:rsidR="00503C3C" w:rsidRPr="00D43281">
        <w:rPr>
          <w:rFonts w:ascii="Times New Roman" w:hAnsi="Times New Roman" w:cs="Times New Roman"/>
          <w:color w:val="000000" w:themeColor="text1"/>
          <w:sz w:val="24"/>
          <w:szCs w:val="24"/>
          <w:lang w:val="ru-MD"/>
        </w:rPr>
        <w:t>107</w:t>
      </w:r>
      <w:r w:rsidR="00503C3C" w:rsidRPr="00D43281">
        <w:rPr>
          <w:rFonts w:ascii="Times New Roman" w:hAnsi="Times New Roman" w:cs="Times New Roman"/>
          <w:color w:val="000000" w:themeColor="text1"/>
          <w:sz w:val="24"/>
          <w:szCs w:val="24"/>
          <w:vertAlign w:val="superscript"/>
          <w:lang w:val="ru-MD"/>
        </w:rPr>
        <w:t>6</w:t>
      </w:r>
      <w:r w:rsidR="00503C3C" w:rsidRPr="00D43281">
        <w:rPr>
          <w:rFonts w:ascii="Times New Roman" w:hAnsi="Times New Roman" w:cs="Times New Roman"/>
          <w:color w:val="000000" w:themeColor="text1"/>
          <w:sz w:val="24"/>
          <w:szCs w:val="24"/>
          <w:lang w:val="ru-MD"/>
        </w:rPr>
        <w:t>-107</w:t>
      </w:r>
      <w:r w:rsidR="00503C3C" w:rsidRPr="00D43281">
        <w:rPr>
          <w:rFonts w:ascii="Times New Roman" w:hAnsi="Times New Roman" w:cs="Times New Roman"/>
          <w:color w:val="000000" w:themeColor="text1"/>
          <w:sz w:val="24"/>
          <w:szCs w:val="24"/>
          <w:vertAlign w:val="superscript"/>
          <w:lang w:val="ru-MD"/>
        </w:rPr>
        <w:t>10</w:t>
      </w:r>
      <w:r w:rsidR="00503C3C" w:rsidRPr="00D43281">
        <w:rPr>
          <w:rFonts w:ascii="Times New Roman" w:hAnsi="Times New Roman" w:cs="Times New Roman"/>
          <w:color w:val="000000" w:themeColor="text1"/>
          <w:sz w:val="24"/>
          <w:szCs w:val="24"/>
          <w:lang w:val="ru-MD"/>
        </w:rPr>
        <w:t xml:space="preserve"> </w:t>
      </w:r>
      <w:r w:rsidR="00A65C94" w:rsidRPr="00D43281">
        <w:rPr>
          <w:rFonts w:ascii="Times New Roman" w:hAnsi="Times New Roman" w:cs="Times New Roman"/>
          <w:color w:val="000000" w:themeColor="text1"/>
          <w:sz w:val="24"/>
          <w:szCs w:val="24"/>
          <w:lang w:val="ru-MD"/>
        </w:rPr>
        <w:t xml:space="preserve">Регламента № </w:t>
      </w:r>
      <w:r w:rsidR="00503C3C" w:rsidRPr="00D43281">
        <w:rPr>
          <w:rFonts w:ascii="Times New Roman" w:hAnsi="Times New Roman" w:cs="Times New Roman"/>
          <w:color w:val="000000" w:themeColor="text1"/>
          <w:sz w:val="24"/>
          <w:szCs w:val="24"/>
          <w:lang w:val="ru-MD"/>
        </w:rPr>
        <w:t>112/2018</w:t>
      </w:r>
      <w:r w:rsidRPr="00D43281">
        <w:rPr>
          <w:rFonts w:ascii="Times New Roman" w:hAnsi="Times New Roman" w:cs="Times New Roman"/>
          <w:color w:val="000000" w:themeColor="text1"/>
          <w:sz w:val="24"/>
          <w:szCs w:val="24"/>
          <w:lang w:val="ru-MD"/>
        </w:rPr>
        <w:t>.</w:t>
      </w:r>
    </w:p>
    <w:p w14:paraId="0A2B26B1" w14:textId="23139725" w:rsidR="00EA3778" w:rsidRPr="00D43281" w:rsidRDefault="00E37E1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В случае если банк, использующий собственные оценки LGD для определенного вида необеспеченных подверженностей перед обществами, а также необеспеченных подверженностей перед региональными администрациями, местными органами и субъектами публичного сектора, не в состоянии учесть в своих оценках LGD влияние финансируемой защиты кредита, обеспечивающей одну из таких подверженностей, из-за отсутствия данных о возмещениях по данной финансируемой защите кредита, банк вправе применять формулу, предусмотренную пунктами </w:t>
      </w:r>
      <w:r w:rsidR="00503C3C" w:rsidRPr="00D43281">
        <w:rPr>
          <w:rFonts w:ascii="Times New Roman" w:hAnsi="Times New Roman" w:cs="Times New Roman"/>
          <w:color w:val="000000" w:themeColor="text1"/>
          <w:sz w:val="24"/>
          <w:szCs w:val="24"/>
          <w:lang w:val="ru-MD"/>
        </w:rPr>
        <w:t>107</w:t>
      </w:r>
      <w:r w:rsidR="00503C3C" w:rsidRPr="00D43281">
        <w:rPr>
          <w:rFonts w:ascii="Times New Roman" w:hAnsi="Times New Roman" w:cs="Times New Roman"/>
          <w:color w:val="000000" w:themeColor="text1"/>
          <w:sz w:val="24"/>
          <w:szCs w:val="24"/>
          <w:vertAlign w:val="superscript"/>
          <w:lang w:val="ru-MD"/>
        </w:rPr>
        <w:t>6</w:t>
      </w:r>
      <w:r w:rsidR="00503C3C" w:rsidRPr="00D43281">
        <w:rPr>
          <w:rFonts w:ascii="Times New Roman" w:hAnsi="Times New Roman" w:cs="Times New Roman"/>
          <w:color w:val="000000" w:themeColor="text1"/>
          <w:sz w:val="24"/>
          <w:szCs w:val="24"/>
          <w:lang w:val="ru-MD"/>
        </w:rPr>
        <w:t>-107</w:t>
      </w:r>
      <w:r w:rsidR="00503C3C" w:rsidRPr="00D43281">
        <w:rPr>
          <w:rFonts w:ascii="Times New Roman" w:hAnsi="Times New Roman" w:cs="Times New Roman"/>
          <w:color w:val="000000" w:themeColor="text1"/>
          <w:sz w:val="24"/>
          <w:szCs w:val="24"/>
          <w:vertAlign w:val="superscript"/>
          <w:lang w:val="ru-MD"/>
        </w:rPr>
        <w:t>10</w:t>
      </w:r>
      <w:r w:rsidR="00503C3C" w:rsidRPr="00D43281">
        <w:rPr>
          <w:rFonts w:ascii="Times New Roman" w:hAnsi="Times New Roman" w:cs="Times New Roman"/>
          <w:color w:val="000000" w:themeColor="text1"/>
          <w:sz w:val="24"/>
          <w:szCs w:val="24"/>
          <w:lang w:val="ru-MD"/>
        </w:rPr>
        <w:t xml:space="preserve"> </w:t>
      </w:r>
      <w:r w:rsidR="00690885" w:rsidRPr="00D43281">
        <w:rPr>
          <w:rFonts w:ascii="Times New Roman" w:hAnsi="Times New Roman" w:cs="Times New Roman"/>
          <w:color w:val="000000" w:themeColor="text1"/>
          <w:sz w:val="24"/>
          <w:szCs w:val="24"/>
          <w:lang w:val="ru-MD"/>
        </w:rPr>
        <w:t>Регламента № 112/2018, за исключением того, что LGD, применимое к необеспеченной подверженности (LGDU) в данной формуле, представляет собой собственную оценку LGD банка для необеспеченных подверженностей. В этом случае финансируемое обеспечение кредита является приемлемым в соответствии с Регламентом № 112/2018, а собственная оценка LGD банка, используемая в качестве LGDU, рассчитывается на основе базовой потери, исключая любые возмещения, полученные в результате данного финансируемого обеспечения кредита</w:t>
      </w:r>
      <w:r w:rsidR="004A2955" w:rsidRPr="00D43281">
        <w:rPr>
          <w:rFonts w:ascii="Times New Roman" w:hAnsi="Times New Roman" w:cs="Times New Roman"/>
          <w:color w:val="000000" w:themeColor="text1"/>
          <w:sz w:val="24"/>
          <w:szCs w:val="24"/>
          <w:lang w:val="ru-MD"/>
        </w:rPr>
        <w:t>.</w:t>
      </w:r>
    </w:p>
    <w:p w14:paraId="57EB7BB1" w14:textId="0E28240B" w:rsidR="002A1A57" w:rsidRPr="00D43281" w:rsidRDefault="00690885" w:rsidP="002A1A57">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 xml:space="preserve">Подчасть </w:t>
      </w:r>
      <w:r w:rsidR="002A1A57" w:rsidRPr="00D43281">
        <w:rPr>
          <w:rFonts w:ascii="Times New Roman" w:hAnsi="Times New Roman" w:cs="Times New Roman"/>
          <w:b/>
          <w:bCs/>
          <w:i/>
          <w:iCs/>
          <w:color w:val="000000" w:themeColor="text1"/>
          <w:sz w:val="24"/>
          <w:szCs w:val="24"/>
          <w:lang w:val="ro-RO"/>
        </w:rPr>
        <w:t>3</w:t>
      </w:r>
    </w:p>
    <w:p w14:paraId="320A2C72" w14:textId="419A2335" w:rsidR="004A2955" w:rsidRPr="00D43281" w:rsidRDefault="00690885" w:rsidP="00FA47FC">
      <w:pPr>
        <w:pStyle w:val="ListParagraph"/>
        <w:shd w:val="clear" w:color="auto" w:fill="FFFFFF"/>
        <w:tabs>
          <w:tab w:val="left" w:pos="0"/>
        </w:tabs>
        <w:spacing w:after="120" w:line="240" w:lineRule="auto"/>
        <w:ind w:left="0"/>
        <w:contextualSpacing w:val="0"/>
        <w:jc w:val="center"/>
        <w:rPr>
          <w:rFonts w:ascii="Times New Roman" w:hAnsi="Times New Roman" w:cs="Times New Roman"/>
          <w:color w:val="000000" w:themeColor="text1"/>
          <w:sz w:val="24"/>
          <w:szCs w:val="24"/>
          <w:lang w:val="ro-RO"/>
        </w:rPr>
      </w:pPr>
      <w:r w:rsidRPr="00D43281">
        <w:rPr>
          <w:rFonts w:ascii="Times New Roman" w:hAnsi="Times New Roman" w:cs="Times New Roman"/>
          <w:b/>
          <w:bCs/>
          <w:i/>
          <w:iCs/>
          <w:color w:val="000000" w:themeColor="text1"/>
          <w:sz w:val="24"/>
          <w:szCs w:val="24"/>
          <w:lang w:val="ru-RU"/>
        </w:rPr>
        <w:t>Срок погашения</w:t>
      </w:r>
    </w:p>
    <w:p w14:paraId="275CFF8F" w14:textId="71B32B6C" w:rsidR="00980331" w:rsidRPr="00D43281" w:rsidRDefault="00E45B23" w:rsidP="006166A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В случае подверженностей, в отношении которых банк не получил разрешения от Национального банка Молдовы на использование собственных оценок LGD, значение срока погашения (M) применяется последовательно и либо устанавливается на уровне 2,5 лет, за исключением подверженностей, возникающих в результате операций финансирования с использованием финансовых инструментов, в случае которых срок погашения составляет 0,5 года, либо, в качестве альтернативы, рассчитывается в соответствии с пунктом 124.</w:t>
      </w:r>
    </w:p>
    <w:p w14:paraId="41405A2B" w14:textId="1C439683" w:rsidR="00980331" w:rsidRPr="00D43281" w:rsidRDefault="00A2726A" w:rsidP="006166A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01" w:name="_Ref215222862"/>
      <w:r w:rsidRPr="00D43281">
        <w:rPr>
          <w:rFonts w:ascii="Times New Roman" w:hAnsi="Times New Roman" w:cs="Times New Roman"/>
          <w:color w:val="000000" w:themeColor="text1"/>
          <w:sz w:val="24"/>
          <w:szCs w:val="24"/>
          <w:lang w:val="ru-MD"/>
        </w:rPr>
        <w:t xml:space="preserve">В случае подверженностей, в отношении которых банк применяет собственные оценки LGD, срок погашения (M) рассчитывается с использованием периодов, выраженных в годах, как предусмотрено в настоящем пункте и с учетом пунктов 125–126, 127 и 128. M не превышает пяти лет, за исключением случаев, относящихся к базовому подходу к учету риска корректировки оценки кредита для банков, в которых используется M, указанное в </w:t>
      </w:r>
      <w:r w:rsidRPr="00D43281">
        <w:rPr>
          <w:rFonts w:ascii="Times New Roman" w:hAnsi="Times New Roman" w:cs="Times New Roman"/>
          <w:color w:val="000000" w:themeColor="text1"/>
          <w:sz w:val="24"/>
          <w:szCs w:val="24"/>
          <w:lang w:val="ru-MD"/>
        </w:rPr>
        <w:lastRenderedPageBreak/>
        <w:t>соответствующем пункте. M рассчитывается в каждом из следующих случаев следующим образом</w:t>
      </w:r>
      <w:r w:rsidR="00980331" w:rsidRPr="00D43281">
        <w:rPr>
          <w:rFonts w:ascii="Times New Roman" w:hAnsi="Times New Roman" w:cs="Times New Roman"/>
          <w:color w:val="000000" w:themeColor="text1"/>
          <w:sz w:val="24"/>
          <w:szCs w:val="24"/>
          <w:lang w:val="ru-MD"/>
        </w:rPr>
        <w:t>:</w:t>
      </w:r>
      <w:bookmarkEnd w:id="101"/>
    </w:p>
    <w:p w14:paraId="30F3B849" w14:textId="08767259" w:rsidR="00980331" w:rsidRPr="00D43281" w:rsidRDefault="00A2726A"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bookmarkStart w:id="102" w:name="_Ref215227852"/>
      <w:r w:rsidRPr="00D43281">
        <w:rPr>
          <w:rFonts w:ascii="Times New Roman" w:hAnsi="Times New Roman" w:cs="Times New Roman"/>
          <w:color w:val="000000" w:themeColor="text1"/>
          <w:sz w:val="24"/>
          <w:szCs w:val="24"/>
          <w:lang w:val="ru-MD"/>
        </w:rPr>
        <w:t>Для инструмента, подлежащего рассрочке денежных потоков, срок погашения (M) рассчитывается по следующей формуле</w:t>
      </w:r>
      <w:r w:rsidR="00980331" w:rsidRPr="00D43281">
        <w:rPr>
          <w:rFonts w:ascii="Times New Roman" w:hAnsi="Times New Roman" w:cs="Times New Roman"/>
          <w:color w:val="000000" w:themeColor="text1"/>
          <w:sz w:val="24"/>
          <w:szCs w:val="24"/>
          <w:lang w:val="ru-MD"/>
        </w:rPr>
        <w:t>:</w:t>
      </w:r>
      <w:bookmarkEnd w:id="102"/>
    </w:p>
    <w:p w14:paraId="6079D4F8" w14:textId="132F18FC" w:rsidR="001D77EA" w:rsidRPr="00D43281" w:rsidRDefault="001D77EA" w:rsidP="006469DB">
      <w:pPr>
        <w:pStyle w:val="ListParagraph"/>
        <w:spacing w:before="120" w:after="120" w:line="360" w:lineRule="auto"/>
        <w:ind w:left="0" w:firstLine="567"/>
        <w:contextualSpacing w:val="0"/>
        <w:jc w:val="both"/>
        <w:rPr>
          <w:rFonts w:ascii="Times New Roman" w:eastAsiaTheme="minorEastAsia" w:hAnsi="Times New Roman" w:cs="Times New Roman"/>
          <w:sz w:val="24"/>
          <w:szCs w:val="24"/>
          <w:lang w:val="ru-MD"/>
        </w:rPr>
      </w:pPr>
      <m:oMathPara>
        <m:oMathParaPr>
          <m:jc m:val="center"/>
        </m:oMathParaPr>
        <m:oMath>
          <m:r>
            <w:rPr>
              <w:rFonts w:ascii="Cambria Math" w:eastAsiaTheme="minorEastAsia" w:hAnsi="Cambria Math" w:cs="Times New Roman"/>
              <w:sz w:val="24"/>
              <w:szCs w:val="24"/>
              <w:lang w:val="ru-MD"/>
            </w:rPr>
            <m:t>M=</m:t>
          </m:r>
          <m:r>
            <m:rPr>
              <m:sty m:val="p"/>
            </m:rPr>
            <w:rPr>
              <w:rFonts w:ascii="Cambria Math" w:eastAsiaTheme="minorEastAsia" w:hAnsi="Cambria Math" w:cs="Times New Roman"/>
              <w:sz w:val="24"/>
              <w:szCs w:val="24"/>
              <w:lang w:val="ru-MD"/>
            </w:rPr>
            <m:t>max⁡</m:t>
          </m:r>
          <m:d>
            <m:dPr>
              <m:begChr m:val="{"/>
              <m:endChr m:val="}"/>
              <m:ctrlPr>
                <w:rPr>
                  <w:rFonts w:ascii="Cambria Math" w:eastAsiaTheme="minorEastAsia" w:hAnsi="Cambria Math" w:cs="Times New Roman"/>
                  <w:i/>
                  <w:sz w:val="24"/>
                  <w:szCs w:val="24"/>
                  <w:lang w:val="ru-MD"/>
                </w:rPr>
              </m:ctrlPr>
            </m:dPr>
            <m:e>
              <m:r>
                <w:rPr>
                  <w:rFonts w:ascii="Cambria Math" w:eastAsiaTheme="minorEastAsia" w:hAnsi="Cambria Math" w:cs="Times New Roman"/>
                  <w:sz w:val="24"/>
                  <w:szCs w:val="24"/>
                  <w:lang w:val="ru-MD"/>
                </w:rPr>
                <m:t>1,min</m:t>
              </m:r>
              <m:d>
                <m:dPr>
                  <m:begChr m:val="{"/>
                  <m:endChr m:val="}"/>
                  <m:ctrlPr>
                    <w:rPr>
                      <w:rFonts w:ascii="Cambria Math" w:eastAsiaTheme="minorEastAsia" w:hAnsi="Cambria Math" w:cs="Times New Roman"/>
                      <w:i/>
                      <w:sz w:val="24"/>
                      <w:szCs w:val="24"/>
                      <w:lang w:val="ru-MD"/>
                    </w:rPr>
                  </m:ctrlPr>
                </m:dPr>
                <m:e>
                  <m:f>
                    <m:fPr>
                      <m:ctrlPr>
                        <w:rPr>
                          <w:rFonts w:ascii="Cambria Math" w:eastAsiaTheme="minorEastAsia" w:hAnsi="Cambria Math" w:cs="Times New Roman"/>
                          <w:i/>
                          <w:sz w:val="24"/>
                          <w:szCs w:val="24"/>
                          <w:lang w:val="ru-MD"/>
                        </w:rPr>
                      </m:ctrlPr>
                    </m:fPr>
                    <m:num>
                      <m:nary>
                        <m:naryPr>
                          <m:chr m:val="∑"/>
                          <m:limLoc m:val="subSup"/>
                          <m:supHide m:val="1"/>
                          <m:ctrlPr>
                            <w:rPr>
                              <w:rFonts w:ascii="Cambria Math" w:eastAsiaTheme="minorEastAsia" w:hAnsi="Cambria Math" w:cs="Times New Roman"/>
                              <w:i/>
                              <w:sz w:val="24"/>
                              <w:szCs w:val="24"/>
                              <w:lang w:val="ru-MD"/>
                            </w:rPr>
                          </m:ctrlPr>
                        </m:naryPr>
                        <m:sub>
                          <m:r>
                            <w:rPr>
                              <w:rFonts w:ascii="Cambria Math" w:eastAsiaTheme="minorEastAsia" w:hAnsi="Cambria Math" w:cs="Times New Roman"/>
                              <w:sz w:val="24"/>
                              <w:szCs w:val="24"/>
                              <w:lang w:val="ru-MD"/>
                            </w:rPr>
                            <m:t>t</m:t>
                          </m:r>
                        </m:sub>
                        <m:sup/>
                        <m:e>
                          <m:r>
                            <w:rPr>
                              <w:rFonts w:ascii="Cambria Math" w:eastAsiaTheme="minorEastAsia" w:hAnsi="Cambria Math" w:cs="Times New Roman"/>
                              <w:sz w:val="24"/>
                              <w:szCs w:val="24"/>
                              <w:lang w:val="ru-MD"/>
                            </w:rPr>
                            <m:t>t∙</m:t>
                          </m:r>
                          <m:sSub>
                            <m:sSubPr>
                              <m:ctrlPr>
                                <w:rPr>
                                  <w:rFonts w:ascii="Cambria Math" w:eastAsiaTheme="minorEastAsia" w:hAnsi="Cambria Math" w:cs="Times New Roman"/>
                                  <w:i/>
                                  <w:sz w:val="24"/>
                                  <w:szCs w:val="24"/>
                                  <w:lang w:val="ru-MD"/>
                                </w:rPr>
                              </m:ctrlPr>
                            </m:sSubPr>
                            <m:e>
                              <m:r>
                                <w:rPr>
                                  <w:rFonts w:ascii="Cambria Math" w:eastAsiaTheme="minorEastAsia" w:hAnsi="Cambria Math" w:cs="Times New Roman"/>
                                  <w:sz w:val="24"/>
                                  <w:szCs w:val="24"/>
                                  <w:lang w:val="ru-MD"/>
                                </w:rPr>
                                <m:t>CF</m:t>
                              </m:r>
                            </m:e>
                            <m:sub>
                              <m:r>
                                <w:rPr>
                                  <w:rFonts w:ascii="Cambria Math" w:eastAsiaTheme="minorEastAsia" w:hAnsi="Cambria Math" w:cs="Times New Roman"/>
                                  <w:sz w:val="24"/>
                                  <w:szCs w:val="24"/>
                                  <w:lang w:val="ru-MD"/>
                                </w:rPr>
                                <m:t>t</m:t>
                              </m:r>
                            </m:sub>
                          </m:sSub>
                        </m:e>
                      </m:nary>
                    </m:num>
                    <m:den>
                      <m:nary>
                        <m:naryPr>
                          <m:chr m:val="∑"/>
                          <m:limLoc m:val="subSup"/>
                          <m:supHide m:val="1"/>
                          <m:ctrlPr>
                            <w:rPr>
                              <w:rFonts w:ascii="Cambria Math" w:eastAsiaTheme="minorEastAsia" w:hAnsi="Cambria Math" w:cs="Times New Roman"/>
                              <w:i/>
                              <w:sz w:val="24"/>
                              <w:szCs w:val="24"/>
                              <w:lang w:val="ru-MD"/>
                            </w:rPr>
                          </m:ctrlPr>
                        </m:naryPr>
                        <m:sub>
                          <m:r>
                            <w:rPr>
                              <w:rFonts w:ascii="Cambria Math" w:eastAsiaTheme="minorEastAsia" w:hAnsi="Cambria Math" w:cs="Times New Roman"/>
                              <w:sz w:val="24"/>
                              <w:szCs w:val="24"/>
                              <w:lang w:val="ru-MD"/>
                            </w:rPr>
                            <m:t>t</m:t>
                          </m:r>
                        </m:sub>
                        <m:sup/>
                        <m:e>
                          <m:sSub>
                            <m:sSubPr>
                              <m:ctrlPr>
                                <w:rPr>
                                  <w:rFonts w:ascii="Cambria Math" w:eastAsiaTheme="minorEastAsia" w:hAnsi="Cambria Math" w:cs="Times New Roman"/>
                                  <w:i/>
                                  <w:sz w:val="24"/>
                                  <w:szCs w:val="24"/>
                                  <w:lang w:val="ru-MD"/>
                                </w:rPr>
                              </m:ctrlPr>
                            </m:sSubPr>
                            <m:e>
                              <m:r>
                                <w:rPr>
                                  <w:rFonts w:ascii="Cambria Math" w:eastAsiaTheme="minorEastAsia" w:hAnsi="Cambria Math" w:cs="Times New Roman"/>
                                  <w:sz w:val="24"/>
                                  <w:szCs w:val="24"/>
                                  <w:lang w:val="ru-MD"/>
                                </w:rPr>
                                <m:t>CF</m:t>
                              </m:r>
                            </m:e>
                            <m:sub>
                              <m:r>
                                <w:rPr>
                                  <w:rFonts w:ascii="Cambria Math" w:eastAsiaTheme="minorEastAsia" w:hAnsi="Cambria Math" w:cs="Times New Roman"/>
                                  <w:sz w:val="24"/>
                                  <w:szCs w:val="24"/>
                                  <w:lang w:val="ru-MD"/>
                                </w:rPr>
                                <m:t>t</m:t>
                              </m:r>
                            </m:sub>
                          </m:sSub>
                        </m:e>
                      </m:nary>
                    </m:den>
                  </m:f>
                  <m:r>
                    <w:rPr>
                      <w:rFonts w:ascii="Cambria Math" w:eastAsiaTheme="minorEastAsia" w:hAnsi="Cambria Math" w:cs="Times New Roman"/>
                      <w:sz w:val="24"/>
                      <w:szCs w:val="24"/>
                      <w:lang w:val="ru-MD"/>
                    </w:rPr>
                    <m:t>,5</m:t>
                  </m:r>
                </m:e>
              </m:d>
            </m:e>
          </m:d>
        </m:oMath>
      </m:oMathPara>
    </w:p>
    <w:p w14:paraId="06B677EB" w14:textId="47849535" w:rsidR="00980331" w:rsidRPr="00D43281" w:rsidRDefault="00A2726A" w:rsidP="006469DB">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где</w:t>
      </w:r>
      <w:r w:rsidR="00980331" w:rsidRPr="00D43281">
        <w:rPr>
          <w:rFonts w:ascii="Times New Roman" w:hAnsi="Times New Roman" w:cs="Times New Roman"/>
          <w:color w:val="000000" w:themeColor="text1"/>
          <w:sz w:val="24"/>
          <w:szCs w:val="24"/>
          <w:lang w:val="ru-MD"/>
        </w:rPr>
        <w:t xml:space="preserve"> </w:t>
      </w:r>
      <w:proofErr w:type="spellStart"/>
      <w:r w:rsidR="00980331" w:rsidRPr="00D43281">
        <w:rPr>
          <w:rFonts w:ascii="Times New Roman" w:hAnsi="Times New Roman" w:cs="Times New Roman"/>
          <w:color w:val="000000" w:themeColor="text1"/>
          <w:sz w:val="24"/>
          <w:szCs w:val="24"/>
          <w:lang w:val="ru-MD"/>
        </w:rPr>
        <w:t>CF</w:t>
      </w:r>
      <w:r w:rsidR="00980331" w:rsidRPr="00D43281">
        <w:rPr>
          <w:rFonts w:ascii="Times New Roman" w:hAnsi="Times New Roman" w:cs="Times New Roman"/>
          <w:color w:val="000000" w:themeColor="text1"/>
          <w:sz w:val="24"/>
          <w:szCs w:val="24"/>
          <w:vertAlign w:val="subscript"/>
          <w:lang w:val="ru-MD"/>
        </w:rPr>
        <w:t>t</w:t>
      </w:r>
      <w:proofErr w:type="spellEnd"/>
      <w:r w:rsidR="00980331" w:rsidRPr="00D43281">
        <w:rPr>
          <w:rFonts w:ascii="Times New Roman" w:hAnsi="Times New Roman" w:cs="Times New Roman"/>
          <w:color w:val="000000" w:themeColor="text1"/>
          <w:sz w:val="24"/>
          <w:szCs w:val="24"/>
          <w:lang w:val="ru-MD"/>
        </w:rPr>
        <w:t xml:space="preserve"> </w:t>
      </w:r>
      <w:r w:rsidR="007F6CA5" w:rsidRPr="00D43281">
        <w:rPr>
          <w:rFonts w:ascii="Times New Roman" w:hAnsi="Times New Roman" w:cs="Times New Roman"/>
          <w:color w:val="000000" w:themeColor="text1"/>
          <w:sz w:val="24"/>
          <w:szCs w:val="24"/>
          <w:lang w:val="ru-MD"/>
        </w:rPr>
        <w:t>представляет собой денежные потоки (основная сумма, проценты и комиссии), которые заемщик должен выплатить в соответствии с договором в период</w:t>
      </w:r>
      <w:r w:rsidR="000115B8" w:rsidRPr="00D43281">
        <w:rPr>
          <w:rFonts w:ascii="Times New Roman" w:hAnsi="Times New Roman" w:cs="Times New Roman"/>
          <w:color w:val="000000" w:themeColor="text1"/>
          <w:sz w:val="24"/>
          <w:szCs w:val="24"/>
          <w:lang w:val="ru-MD"/>
        </w:rPr>
        <w:t xml:space="preserve"> </w:t>
      </w:r>
      <w:r w:rsidR="00980331" w:rsidRPr="00D43281">
        <w:rPr>
          <w:rFonts w:ascii="Times New Roman" w:hAnsi="Times New Roman" w:cs="Times New Roman"/>
          <w:color w:val="000000" w:themeColor="text1"/>
          <w:sz w:val="24"/>
          <w:szCs w:val="24"/>
          <w:lang w:val="ru-MD"/>
        </w:rPr>
        <w:t>t;</w:t>
      </w:r>
      <w:r w:rsidR="001D77EA" w:rsidRPr="00D43281">
        <w:rPr>
          <w:rFonts w:ascii="Times New Roman" w:hAnsi="Times New Roman" w:cs="Times New Roman"/>
          <w:color w:val="000000" w:themeColor="text1"/>
          <w:sz w:val="24"/>
          <w:szCs w:val="24"/>
          <w:highlight w:val="lightGray"/>
          <w:lang w:val="ru-MD"/>
        </w:rPr>
        <w:t xml:space="preserve"> </w:t>
      </w:r>
    </w:p>
    <w:p w14:paraId="595C66AE" w14:textId="05B942E5" w:rsidR="00980331" w:rsidRPr="00D43281" w:rsidRDefault="000115B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В отношении производных финансовых инструментов, на которые распространяется рамочное соглашение о клиринге, срок погашения представляет собой средневзвешенный остаточный срок погашения подверженностей и должен составлять не менее 1 года. Для взвешивания сроков погашения используется номинальная сумма каждой подверженности</w:t>
      </w:r>
      <w:r w:rsidR="00980331" w:rsidRPr="00D43281">
        <w:rPr>
          <w:rFonts w:ascii="Times New Roman" w:hAnsi="Times New Roman" w:cs="Times New Roman"/>
          <w:color w:val="000000" w:themeColor="text1"/>
          <w:sz w:val="24"/>
          <w:szCs w:val="24"/>
          <w:lang w:val="ru-MD"/>
        </w:rPr>
        <w:t>;</w:t>
      </w:r>
    </w:p>
    <w:p w14:paraId="3EE4213D" w14:textId="5F91A05F" w:rsidR="00980331" w:rsidRPr="00D43281" w:rsidRDefault="00A5277C"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03" w:name="_Ref215223228"/>
      <w:r w:rsidRPr="00D43281">
        <w:rPr>
          <w:rFonts w:ascii="Times New Roman" w:hAnsi="Times New Roman" w:cs="Times New Roman"/>
          <w:color w:val="000000" w:themeColor="text1"/>
          <w:sz w:val="24"/>
          <w:szCs w:val="24"/>
          <w:lang w:val="ru-RU"/>
        </w:rPr>
        <w:t>Для подверженностей, возникающих из производных финансовых инструментов, перечисленными в приложении № 1 к Регламенту о подходе к рыночному риску  согласно стандартизированному подходу, утвержденному Постановлением Исполнительного комитета Национального банка Молдовы № 114/2018 (далее —Регламент № 114/2018), полностью или почти полностью обеспеченные вещным обеспечением, а также для подверженностей, связанных с маржинальными кредитными сделками, полностью или почти полностью обеспеченными вещным обеспечением, которые являются предметом рамочного соглашения о зачете, срок погашения представляет собой средневзвешенный срок оставшегося срока погашения сделок и должен составлять не менее 10 дней</w:t>
      </w:r>
      <w:r w:rsidR="00980331" w:rsidRPr="00D43281">
        <w:rPr>
          <w:rFonts w:ascii="Times New Roman" w:hAnsi="Times New Roman" w:cs="Times New Roman"/>
          <w:color w:val="000000" w:themeColor="text1"/>
          <w:sz w:val="24"/>
          <w:szCs w:val="24"/>
          <w:lang w:val="ru-RU"/>
        </w:rPr>
        <w:t>;</w:t>
      </w:r>
      <w:bookmarkEnd w:id="103"/>
    </w:p>
    <w:p w14:paraId="3565B986" w14:textId="2F47FE38" w:rsidR="00980331" w:rsidRPr="00D43281" w:rsidRDefault="0078702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04" w:name="_Ref215223254"/>
      <w:r w:rsidRPr="00D43281">
        <w:rPr>
          <w:rFonts w:ascii="Times New Roman" w:hAnsi="Times New Roman" w:cs="Times New Roman"/>
          <w:color w:val="000000" w:themeColor="text1"/>
          <w:sz w:val="24"/>
          <w:szCs w:val="24"/>
          <w:lang w:val="ru-RU"/>
        </w:rPr>
        <w:t xml:space="preserve">Для сделок обратного выкупа или операций </w:t>
      </w:r>
      <w:r w:rsidR="00ED1E8B" w:rsidRPr="00D43281">
        <w:rPr>
          <w:rFonts w:ascii="Times New Roman" w:hAnsi="Times New Roman" w:cs="Times New Roman"/>
          <w:color w:val="000000" w:themeColor="text1"/>
          <w:sz w:val="24"/>
          <w:szCs w:val="24"/>
          <w:lang w:val="ru-RU"/>
        </w:rPr>
        <w:t>дачи и принятия ценных бумаг или товаров взаймы</w:t>
      </w:r>
      <w:r w:rsidRPr="00D43281">
        <w:rPr>
          <w:rFonts w:ascii="Times New Roman" w:hAnsi="Times New Roman" w:cs="Times New Roman"/>
          <w:color w:val="000000" w:themeColor="text1"/>
          <w:sz w:val="24"/>
          <w:szCs w:val="24"/>
          <w:lang w:val="ru-RU"/>
        </w:rPr>
        <w:t>, которые являются предметом рамочного соглашения о клиринге, срок погашения представляет собой средневзвешенное значение оставшихся сроков погашения сделок и должен составлять не менее 5 дней. Для взвешивания сроков погашения используется номинальная сумма каждой сделки</w:t>
      </w:r>
      <w:r w:rsidR="00980331" w:rsidRPr="00D43281">
        <w:rPr>
          <w:rFonts w:ascii="Times New Roman" w:hAnsi="Times New Roman" w:cs="Times New Roman"/>
          <w:color w:val="000000" w:themeColor="text1"/>
          <w:sz w:val="24"/>
          <w:szCs w:val="24"/>
          <w:lang w:val="ru-RU"/>
        </w:rPr>
        <w:t>;</w:t>
      </w:r>
      <w:bookmarkEnd w:id="104"/>
    </w:p>
    <w:p w14:paraId="505105A1" w14:textId="77F07891" w:rsidR="00980331" w:rsidRPr="00D43281" w:rsidRDefault="0078702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05" w:name="_Ref215223274"/>
      <w:r w:rsidRPr="00D43281">
        <w:rPr>
          <w:rFonts w:ascii="Times New Roman" w:hAnsi="Times New Roman" w:cs="Times New Roman"/>
          <w:color w:val="000000" w:themeColor="text1"/>
          <w:sz w:val="24"/>
          <w:szCs w:val="24"/>
          <w:lang w:val="ru-RU"/>
        </w:rPr>
        <w:t>Для сделок по предоставлению гарантированного кредита, на которые распространяется рамочное соглашение о зачете, M представляет собой средневзвешенное значение остаточных сроков погашения сделок и составляет не менее 20 дней; для взвешивания сроков погашения используется номинальная сумма каждой сделки</w:t>
      </w:r>
      <w:r w:rsidR="00980331" w:rsidRPr="00D43281">
        <w:rPr>
          <w:rFonts w:ascii="Times New Roman" w:hAnsi="Times New Roman" w:cs="Times New Roman"/>
          <w:color w:val="000000" w:themeColor="text1"/>
          <w:sz w:val="24"/>
          <w:szCs w:val="24"/>
          <w:lang w:val="ru-RU"/>
        </w:rPr>
        <w:t>;</w:t>
      </w:r>
      <w:bookmarkEnd w:id="105"/>
    </w:p>
    <w:p w14:paraId="0FD9DEEC" w14:textId="5F4E44CA" w:rsidR="00980331" w:rsidRPr="00D43281" w:rsidRDefault="002A12C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06" w:name="_Ref215229237"/>
      <w:r w:rsidRPr="00D43281">
        <w:rPr>
          <w:rFonts w:ascii="Times New Roman" w:hAnsi="Times New Roman" w:cs="Times New Roman"/>
          <w:color w:val="000000" w:themeColor="text1"/>
          <w:sz w:val="24"/>
          <w:szCs w:val="24"/>
          <w:lang w:val="ru-RU"/>
        </w:rPr>
        <w:t>Для рамочного соглашения о компенсации, включающего несколько видов сделок, соответствующих подпунктам 124.3, 124.4 или 124.5, M представляет собой средневзвешенное значение остаточных сроков погашения сделок и составляет не менее самого длительного срока владения, выраженного в годах, применимого к таким сделкам, как предусмотрено в пунктах 96–96</w:t>
      </w:r>
      <w:r w:rsidRPr="00D43281">
        <w:rPr>
          <w:rFonts w:ascii="Times New Roman" w:hAnsi="Times New Roman" w:cs="Times New Roman"/>
          <w:color w:val="000000" w:themeColor="text1"/>
          <w:sz w:val="24"/>
          <w:szCs w:val="24"/>
          <w:vertAlign w:val="superscript"/>
          <w:lang w:val="ru-RU"/>
        </w:rPr>
        <w:t>1</w:t>
      </w:r>
      <w:r w:rsidRPr="00D43281">
        <w:rPr>
          <w:rFonts w:ascii="Times New Roman" w:hAnsi="Times New Roman" w:cs="Times New Roman"/>
          <w:color w:val="000000" w:themeColor="text1"/>
          <w:sz w:val="24"/>
          <w:szCs w:val="24"/>
          <w:lang w:val="ru-RU"/>
        </w:rPr>
        <w:t xml:space="preserve"> Регламента № 112/2018, а именно 10 или 20 дней, в зависимости от случая; для взвешивания сроков погашения используется номинальная сумма каждой сделки</w:t>
      </w:r>
      <w:r w:rsidR="00980331" w:rsidRPr="00D43281">
        <w:rPr>
          <w:rFonts w:ascii="Times New Roman" w:hAnsi="Times New Roman" w:cs="Times New Roman"/>
          <w:color w:val="000000" w:themeColor="text1"/>
          <w:sz w:val="24"/>
          <w:szCs w:val="24"/>
          <w:lang w:val="ru-RU"/>
        </w:rPr>
        <w:t>;</w:t>
      </w:r>
      <w:bookmarkEnd w:id="106"/>
    </w:p>
    <w:p w14:paraId="3AFEB7F4" w14:textId="58B1EBCC" w:rsidR="00980331" w:rsidRPr="00D43281" w:rsidRDefault="00774DDA"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Для банка, получившего в соответствии с пунктами 4–7 разрешение Национального банка Молдовы на использование собственных оценок </w:t>
      </w:r>
      <w:r w:rsidR="007C0D43">
        <w:rPr>
          <w:rFonts w:ascii="Times New Roman" w:hAnsi="Times New Roman" w:cs="Times New Roman"/>
          <w:color w:val="000000" w:themeColor="text1"/>
          <w:sz w:val="24"/>
          <w:szCs w:val="24"/>
          <w:lang w:val="en-US"/>
        </w:rPr>
        <w:t>PD</w:t>
      </w:r>
      <w:r w:rsidRPr="00D43281">
        <w:rPr>
          <w:rFonts w:ascii="Times New Roman" w:hAnsi="Times New Roman" w:cs="Times New Roman"/>
          <w:color w:val="000000" w:themeColor="text1"/>
          <w:sz w:val="24"/>
          <w:szCs w:val="24"/>
          <w:lang w:val="ru-RU"/>
        </w:rPr>
        <w:t xml:space="preserve"> </w:t>
      </w:r>
      <w:r w:rsidR="001C6CB6" w:rsidRPr="00D43281">
        <w:rPr>
          <w:rFonts w:ascii="Times New Roman" w:hAnsi="Times New Roman" w:cs="Times New Roman"/>
          <w:color w:val="000000" w:themeColor="text1"/>
          <w:sz w:val="24"/>
          <w:szCs w:val="24"/>
          <w:lang w:val="ru-RU"/>
        </w:rPr>
        <w:t>для приобретаемых корпоративных дебиторских задолженностей</w:t>
      </w:r>
      <w:r w:rsidRPr="00D43281">
        <w:rPr>
          <w:rFonts w:ascii="Times New Roman" w:hAnsi="Times New Roman" w:cs="Times New Roman"/>
          <w:color w:val="000000" w:themeColor="text1"/>
          <w:sz w:val="24"/>
          <w:szCs w:val="24"/>
          <w:lang w:val="ru-RU"/>
        </w:rPr>
        <w:t xml:space="preserve">, в случае использованных сумм срок погашения равен средневзвешенному сроку погашения подверженностей, связанных с приобретенными требованиями, и должен составлять не менее 90 дней. Такой же срок применим и к неиспользованным средствам в рамках механизма твердой покупки, при условии, что механизм покупки предусматривает фактические обязательства, условия, при которых наступает досрочное погашение, или иные элементы, защищающие банк-покупателя от значительного ухудшения качества требований, которые он обязан приобрести до истечения срока действия механизма. В отсутствие таких эффективных мер защиты для неиспользованных сумм срок погашения рассчитывается как сумма самого </w:t>
      </w:r>
      <w:r w:rsidRPr="00D43281">
        <w:rPr>
          <w:rFonts w:ascii="Times New Roman" w:hAnsi="Times New Roman" w:cs="Times New Roman"/>
          <w:color w:val="000000" w:themeColor="text1"/>
          <w:sz w:val="24"/>
          <w:szCs w:val="24"/>
          <w:lang w:val="ru-RU"/>
        </w:rPr>
        <w:lastRenderedPageBreak/>
        <w:t>длительного срока погашения потенциальной задолженности в соответствии с договором покупки и остаточного срока действия механизма покупки и должен составлять не менее 90 дней</w:t>
      </w:r>
      <w:r w:rsidR="00980331" w:rsidRPr="00D43281">
        <w:rPr>
          <w:rFonts w:ascii="Times New Roman" w:hAnsi="Times New Roman" w:cs="Times New Roman"/>
          <w:color w:val="000000" w:themeColor="text1"/>
          <w:sz w:val="24"/>
          <w:szCs w:val="24"/>
          <w:lang w:val="ru-RU"/>
        </w:rPr>
        <w:t>;</w:t>
      </w:r>
    </w:p>
    <w:p w14:paraId="7A9CF0C3" w14:textId="3CAFD8F6" w:rsidR="00980331" w:rsidRPr="00D43281" w:rsidRDefault="0012167A"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В отношении любых инструментов, кроме упомянутых в настоящем пункте, или в случае, если банк не в состоянии рассчитать M в соответствии с подпунктом 124.1, M представляет собой максимальный остаточный срок в годах, который может быть предоставлен заемщику для полного погашения своих договорных обязательств, включая основную сумму, проценты и комиссионные, и составляет не менее одного года</w:t>
      </w:r>
      <w:r w:rsidR="00980331" w:rsidRPr="00D43281">
        <w:rPr>
          <w:rFonts w:ascii="Times New Roman" w:hAnsi="Times New Roman" w:cs="Times New Roman"/>
          <w:color w:val="000000" w:themeColor="text1"/>
          <w:sz w:val="24"/>
          <w:szCs w:val="24"/>
          <w:lang w:val="ru-MD"/>
        </w:rPr>
        <w:t>;</w:t>
      </w:r>
    </w:p>
    <w:p w14:paraId="25A8A93A" w14:textId="58388B3C" w:rsidR="00980331" w:rsidRPr="00D43281" w:rsidRDefault="00BB5D7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В случае банков, которые определяют стоимость подверженностей с использованием метода внутренних моделей, предусмотренного в нормативных актах Национального банка Молдовы, касающихся учета кредитного риска контрагента, для подверженностей, к которым применяется указанный метод и которые включены в набор для зачета, в котором срок действия самого долгосрочного договора превышает один год, срок действия рассчитывается по следующей формуле</w:t>
      </w:r>
      <w:r w:rsidR="00980331" w:rsidRPr="00D43281">
        <w:rPr>
          <w:rFonts w:ascii="Times New Roman" w:hAnsi="Times New Roman" w:cs="Times New Roman"/>
          <w:color w:val="000000" w:themeColor="text1"/>
          <w:sz w:val="24"/>
          <w:szCs w:val="24"/>
          <w:lang w:val="ru-MD"/>
        </w:rPr>
        <w:t>:</w:t>
      </w:r>
    </w:p>
    <w:p w14:paraId="62077E87" w14:textId="49B9F451" w:rsidR="00201105" w:rsidRPr="00D43281" w:rsidRDefault="00201105" w:rsidP="00261467">
      <w:pPr>
        <w:pStyle w:val="container-center"/>
        <w:shd w:val="clear" w:color="auto" w:fill="FFFFFF"/>
        <w:spacing w:before="240" w:beforeAutospacing="0" w:after="0" w:afterAutospacing="0" w:line="312" w:lineRule="atLeast"/>
        <w:rPr>
          <w:rFonts w:ascii="Arial Unicode MS" w:eastAsia="Arial Unicode MS" w:hAnsi="Arial Unicode MS" w:cs="Arial Unicode MS"/>
          <w:color w:val="333333"/>
        </w:rPr>
      </w:pPr>
      <w:r w:rsidRPr="00D43281">
        <w:rPr>
          <w:rFonts w:eastAsiaTheme="minorHAnsi"/>
          <w:noProof/>
          <w:color w:val="000000" w:themeColor="text1"/>
          <w:lang w:val="ro-RO" w:eastAsia="en-US"/>
        </w:rPr>
        <w:drawing>
          <wp:inline distT="0" distB="0" distL="0" distR="0" wp14:anchorId="7D33285E" wp14:editId="2414B6EA">
            <wp:extent cx="5939790" cy="476250"/>
            <wp:effectExtent l="0" t="0" r="3810" b="0"/>
            <wp:docPr id="2" name="Picture 2"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39790" cy="476250"/>
                    </a:xfrm>
                    <a:prstGeom prst="rect">
                      <a:avLst/>
                    </a:prstGeom>
                    <a:noFill/>
                    <a:ln>
                      <a:noFill/>
                    </a:ln>
                  </pic:spPr>
                </pic:pic>
              </a:graphicData>
            </a:graphic>
          </wp:inline>
        </w:drawing>
      </w:r>
    </w:p>
    <w:p w14:paraId="776D7ED0" w14:textId="7B9093E9" w:rsidR="00980331" w:rsidRPr="00D43281" w:rsidRDefault="00980331" w:rsidP="001D77EA">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p>
    <w:p w14:paraId="4FAF5EAB" w14:textId="05315C06" w:rsidR="00201105" w:rsidRPr="00D43281" w:rsidRDefault="00BB5D71" w:rsidP="00201105">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RU"/>
        </w:rPr>
        <w:t>где</w:t>
      </w:r>
      <w:r w:rsidR="00201105" w:rsidRPr="00D43281">
        <w:rPr>
          <w:rFonts w:ascii="Times New Roman" w:hAnsi="Times New Roman" w:cs="Times New Roman"/>
          <w:color w:val="000000" w:themeColor="text1"/>
          <w:sz w:val="24"/>
          <w:szCs w:val="24"/>
          <w:lang w:val="ro-RO"/>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57"/>
        <w:gridCol w:w="7697"/>
      </w:tblGrid>
      <w:tr w:rsidR="00201105" w:rsidRPr="00D43281" w14:paraId="505F6A10" w14:textId="77777777" w:rsidTr="00261467">
        <w:tc>
          <w:tcPr>
            <w:tcW w:w="1657" w:type="dxa"/>
          </w:tcPr>
          <w:p w14:paraId="1BCCE79E" w14:textId="188AF461" w:rsidR="00201105" w:rsidRPr="00D43281" w:rsidRDefault="00201105" w:rsidP="00201105">
            <w:pPr>
              <w:pStyle w:val="ListParagraph"/>
              <w:tabs>
                <w:tab w:val="left" w:pos="0"/>
                <w:tab w:val="left" w:pos="567"/>
              </w:tabs>
              <w:spacing w:before="60"/>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b/>
                <w:bCs/>
                <w:color w:val="000000" w:themeColor="text1"/>
                <w:sz w:val="24"/>
                <w:szCs w:val="24"/>
                <w:lang w:val="ro-RO"/>
              </w:rPr>
              <w:t>S</w:t>
            </w:r>
            <m:oMath>
              <m:sSub>
                <m:sSubPr>
                  <m:ctrlPr>
                    <w:rPr>
                      <w:rFonts w:ascii="Cambria Math" w:hAnsi="Cambria Math" w:cs="Times New Roman"/>
                      <w:b/>
                      <w:bCs/>
                      <w:i/>
                      <w:color w:val="000000" w:themeColor="text1"/>
                      <w:kern w:val="0"/>
                      <w:sz w:val="24"/>
                      <w:szCs w:val="24"/>
                      <w:vertAlign w:val="subscript"/>
                      <w:lang w:val="ro-RO"/>
                      <w14:ligatures w14:val="none"/>
                    </w:rPr>
                  </m:ctrlPr>
                </m:sSubPr>
                <m:e>
                  <m:r>
                    <m:rPr>
                      <m:sty m:val="bi"/>
                    </m:rPr>
                    <w:rPr>
                      <w:rFonts w:ascii="Cambria Math" w:hAnsi="Cambria Math" w:cs="Times New Roman"/>
                      <w:color w:val="000000" w:themeColor="text1"/>
                      <w:sz w:val="24"/>
                      <w:szCs w:val="24"/>
                      <w:vertAlign w:val="subscript"/>
                      <w:lang w:val="ro-RO"/>
                    </w:rPr>
                    <m:t>t</m:t>
                  </m:r>
                </m:e>
                <m:sub>
                  <m:r>
                    <m:rPr>
                      <m:sty m:val="bi"/>
                    </m:rPr>
                    <w:rPr>
                      <w:rFonts w:ascii="Cambria Math" w:hAnsi="Cambria Math" w:cs="Times New Roman"/>
                      <w:color w:val="000000" w:themeColor="text1"/>
                      <w:sz w:val="24"/>
                      <w:szCs w:val="24"/>
                      <w:vertAlign w:val="subscript"/>
                      <w:lang w:val="ro-RO"/>
                    </w:rPr>
                    <m:t>k</m:t>
                  </m:r>
                </m:sub>
              </m:sSub>
            </m:oMath>
            <w:r w:rsidRPr="00D43281">
              <w:rPr>
                <w:rFonts w:ascii="Times New Roman" w:hAnsi="Times New Roman" w:cs="Times New Roman"/>
                <w:color w:val="000000" w:themeColor="text1"/>
                <w:sz w:val="24"/>
                <w:szCs w:val="24"/>
                <w:lang w:val="ro-RO"/>
              </w:rPr>
              <w:t xml:space="preserve">     </w:t>
            </w:r>
          </w:p>
        </w:tc>
        <w:tc>
          <w:tcPr>
            <w:tcW w:w="7697" w:type="dxa"/>
          </w:tcPr>
          <w:p w14:paraId="1EDE473B" w14:textId="04A23BE1" w:rsidR="00201105" w:rsidRPr="00D43281" w:rsidRDefault="00201105" w:rsidP="00201105">
            <w:pPr>
              <w:pStyle w:val="ListParagraph"/>
              <w:shd w:val="clear" w:color="auto" w:fill="FFFFFF"/>
              <w:tabs>
                <w:tab w:val="left" w:pos="0"/>
                <w:tab w:val="left" w:pos="567"/>
              </w:tabs>
              <w:spacing w:before="60"/>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 </w:t>
            </w:r>
            <w:r w:rsidR="00620834" w:rsidRPr="00D43281">
              <w:rPr>
                <w:rFonts w:ascii="Times New Roman" w:hAnsi="Times New Roman" w:cs="Times New Roman"/>
                <w:color w:val="000000" w:themeColor="text1"/>
                <w:sz w:val="24"/>
                <w:szCs w:val="24"/>
                <w:lang w:val="ru-RU"/>
              </w:rPr>
              <w:t xml:space="preserve">«фиктивная» переменная, значение которой для следующего периода </w:t>
            </w:r>
            <w:proofErr w:type="spellStart"/>
            <w:r w:rsidR="00620834" w:rsidRPr="00D43281">
              <w:rPr>
                <w:rFonts w:ascii="Times New Roman" w:hAnsi="Times New Roman" w:cs="Times New Roman"/>
                <w:color w:val="000000" w:themeColor="text1"/>
                <w:sz w:val="24"/>
                <w:szCs w:val="24"/>
                <w:lang w:val="ru-RU"/>
              </w:rPr>
              <w:t>tk</w:t>
            </w:r>
            <w:proofErr w:type="spellEnd"/>
            <w:r w:rsidR="00620834" w:rsidRPr="00D43281">
              <w:rPr>
                <w:rFonts w:ascii="Times New Roman" w:hAnsi="Times New Roman" w:cs="Times New Roman"/>
                <w:color w:val="000000" w:themeColor="text1"/>
                <w:sz w:val="24"/>
                <w:szCs w:val="24"/>
                <w:lang w:val="ru-RU"/>
              </w:rPr>
              <w:t xml:space="preserve"> равно 0, если </w:t>
            </w:r>
            <w:proofErr w:type="spellStart"/>
            <w:proofErr w:type="gramStart"/>
            <w:r w:rsidR="00620834" w:rsidRPr="00D43281">
              <w:rPr>
                <w:rFonts w:ascii="Times New Roman" w:hAnsi="Times New Roman" w:cs="Times New Roman"/>
                <w:color w:val="000000" w:themeColor="text1"/>
                <w:sz w:val="24"/>
                <w:szCs w:val="24"/>
                <w:lang w:val="ru-RU"/>
              </w:rPr>
              <w:t>tk</w:t>
            </w:r>
            <w:proofErr w:type="spellEnd"/>
            <w:r w:rsidR="00620834" w:rsidRPr="00D43281">
              <w:rPr>
                <w:rFonts w:ascii="Times New Roman" w:hAnsi="Times New Roman" w:cs="Times New Roman"/>
                <w:color w:val="000000" w:themeColor="text1"/>
                <w:sz w:val="24"/>
                <w:szCs w:val="24"/>
                <w:lang w:val="ru-RU"/>
              </w:rPr>
              <w:t xml:space="preserve"> &gt;</w:t>
            </w:r>
            <w:proofErr w:type="gramEnd"/>
            <w:r w:rsidR="00620834" w:rsidRPr="00D43281">
              <w:rPr>
                <w:rFonts w:ascii="Times New Roman" w:hAnsi="Times New Roman" w:cs="Times New Roman"/>
                <w:color w:val="000000" w:themeColor="text1"/>
                <w:sz w:val="24"/>
                <w:szCs w:val="24"/>
                <w:lang w:val="ru-RU"/>
              </w:rPr>
              <w:t xml:space="preserve"> 1 год, и равно 1, если </w:t>
            </w:r>
            <w:proofErr w:type="spellStart"/>
            <w:r w:rsidR="00620834" w:rsidRPr="00D43281">
              <w:rPr>
                <w:rFonts w:ascii="Times New Roman" w:hAnsi="Times New Roman" w:cs="Times New Roman"/>
                <w:color w:val="000000" w:themeColor="text1"/>
                <w:sz w:val="24"/>
                <w:szCs w:val="24"/>
                <w:lang w:val="ru-RU"/>
              </w:rPr>
              <w:t>tk</w:t>
            </w:r>
            <w:proofErr w:type="spellEnd"/>
            <w:r w:rsidR="00620834" w:rsidRPr="00D43281">
              <w:rPr>
                <w:rFonts w:ascii="Times New Roman" w:hAnsi="Times New Roman" w:cs="Times New Roman"/>
                <w:color w:val="000000" w:themeColor="text1"/>
                <w:sz w:val="24"/>
                <w:szCs w:val="24"/>
                <w:lang w:val="ru-RU"/>
              </w:rPr>
              <w:t xml:space="preserve"> ≤ 1;</w:t>
            </w:r>
          </w:p>
        </w:tc>
      </w:tr>
      <w:tr w:rsidR="00201105" w:rsidRPr="00D43281" w14:paraId="156337D9" w14:textId="77777777" w:rsidTr="00261467">
        <w:tc>
          <w:tcPr>
            <w:tcW w:w="1657" w:type="dxa"/>
          </w:tcPr>
          <w:p w14:paraId="7774DA86" w14:textId="4E1B1D5E" w:rsidR="00201105" w:rsidRPr="00D43281" w:rsidRDefault="00201105" w:rsidP="00201105">
            <w:pPr>
              <w:pStyle w:val="ListParagraph"/>
              <w:tabs>
                <w:tab w:val="left" w:pos="0"/>
                <w:tab w:val="left" w:pos="567"/>
              </w:tabs>
              <w:spacing w:before="60"/>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b/>
                <w:bCs/>
                <w:color w:val="000000" w:themeColor="text1"/>
                <w:sz w:val="24"/>
                <w:szCs w:val="24"/>
                <w:lang w:val="ro-RO"/>
              </w:rPr>
              <w:t>EE</w:t>
            </w:r>
            <m:oMath>
              <m:sSub>
                <m:sSubPr>
                  <m:ctrlPr>
                    <w:rPr>
                      <w:rFonts w:ascii="Cambria Math" w:hAnsi="Cambria Math" w:cs="Times New Roman"/>
                      <w:b/>
                      <w:bCs/>
                      <w:i/>
                      <w:color w:val="000000" w:themeColor="text1"/>
                      <w:kern w:val="0"/>
                      <w:sz w:val="24"/>
                      <w:szCs w:val="24"/>
                      <w:vertAlign w:val="subscript"/>
                      <w:lang w:val="ro-RO"/>
                      <w14:ligatures w14:val="none"/>
                    </w:rPr>
                  </m:ctrlPr>
                </m:sSubPr>
                <m:e>
                  <m:r>
                    <m:rPr>
                      <m:sty m:val="bi"/>
                    </m:rPr>
                    <w:rPr>
                      <w:rFonts w:ascii="Cambria Math" w:hAnsi="Cambria Math" w:cs="Times New Roman"/>
                      <w:color w:val="000000" w:themeColor="text1"/>
                      <w:sz w:val="24"/>
                      <w:szCs w:val="24"/>
                      <w:vertAlign w:val="subscript"/>
                      <w:lang w:val="ro-RO"/>
                    </w:rPr>
                    <m:t>t</m:t>
                  </m:r>
                </m:e>
                <m:sub>
                  <m:r>
                    <m:rPr>
                      <m:sty m:val="bi"/>
                    </m:rPr>
                    <w:rPr>
                      <w:rFonts w:ascii="Cambria Math" w:hAnsi="Cambria Math" w:cs="Times New Roman"/>
                      <w:color w:val="000000" w:themeColor="text1"/>
                      <w:sz w:val="24"/>
                      <w:szCs w:val="24"/>
                      <w:vertAlign w:val="subscript"/>
                      <w:lang w:val="ro-RO"/>
                    </w:rPr>
                    <m:t>k</m:t>
                  </m:r>
                </m:sub>
              </m:sSub>
              <m:r>
                <w:rPr>
                  <w:rFonts w:ascii="Cambria Math" w:hAnsi="Cambria Math" w:cs="Times New Roman"/>
                  <w:color w:val="000000" w:themeColor="text1"/>
                  <w:sz w:val="24"/>
                  <w:szCs w:val="24"/>
                  <w:vertAlign w:val="subscript"/>
                  <w:lang w:val="ro-RO"/>
                </w:rPr>
                <m:t xml:space="preserve">  </m:t>
              </m:r>
            </m:oMath>
          </w:p>
        </w:tc>
        <w:tc>
          <w:tcPr>
            <w:tcW w:w="7697" w:type="dxa"/>
          </w:tcPr>
          <w:p w14:paraId="58F04A67" w14:textId="21A7E265" w:rsidR="00201105" w:rsidRPr="00D43281" w:rsidRDefault="00201105" w:rsidP="00201105">
            <w:pPr>
              <w:pStyle w:val="ListParagraph"/>
              <w:shd w:val="clear" w:color="auto" w:fill="FFFFFF"/>
              <w:tabs>
                <w:tab w:val="left" w:pos="0"/>
                <w:tab w:val="left" w:pos="567"/>
              </w:tabs>
              <w:spacing w:before="60"/>
              <w:ind w:left="0"/>
              <w:jc w:val="both"/>
              <w:rPr>
                <w:rFonts w:ascii="Times New Roman" w:hAnsi="Times New Roman" w:cs="Times New Roman"/>
                <w:color w:val="000000" w:themeColor="text1"/>
                <w:kern w:val="0"/>
                <w:sz w:val="24"/>
                <w:szCs w:val="24"/>
                <w:lang w:val="ru-RU"/>
                <w14:ligatures w14:val="none"/>
              </w:rPr>
            </w:pPr>
            <w:r w:rsidRPr="00D43281">
              <w:rPr>
                <w:rFonts w:ascii="Times New Roman" w:hAnsi="Times New Roman" w:cs="Times New Roman"/>
                <w:color w:val="000000" w:themeColor="text1"/>
                <w:sz w:val="24"/>
                <w:szCs w:val="24"/>
                <w:lang w:val="ru-RU"/>
              </w:rPr>
              <w:t xml:space="preserve">= </w:t>
            </w:r>
            <w:r w:rsidR="00ED5AB5" w:rsidRPr="00D43281">
              <w:rPr>
                <w:rFonts w:ascii="Times New Roman" w:hAnsi="Times New Roman" w:cs="Times New Roman"/>
                <w:color w:val="000000" w:themeColor="text1"/>
                <w:sz w:val="24"/>
                <w:szCs w:val="24"/>
                <w:lang w:val="ru-RU"/>
              </w:rPr>
              <w:t xml:space="preserve">ожидаемая подверженность в будущем периоде </w:t>
            </w:r>
            <w:proofErr w:type="spellStart"/>
            <w:r w:rsidRPr="00D43281">
              <w:rPr>
                <w:rFonts w:ascii="Times New Roman" w:hAnsi="Times New Roman" w:cs="Times New Roman"/>
                <w:color w:val="000000" w:themeColor="text1"/>
                <w:sz w:val="24"/>
                <w:szCs w:val="24"/>
                <w:lang w:val="ru-RU"/>
              </w:rPr>
              <w:t>t</w:t>
            </w:r>
            <w:r w:rsidRPr="00D43281">
              <w:rPr>
                <w:rFonts w:ascii="Times New Roman" w:hAnsi="Times New Roman" w:cs="Times New Roman"/>
                <w:color w:val="000000" w:themeColor="text1"/>
                <w:sz w:val="24"/>
                <w:szCs w:val="24"/>
                <w:vertAlign w:val="subscript"/>
                <w:lang w:val="ru-RU"/>
              </w:rPr>
              <w:t>k</w:t>
            </w:r>
            <w:proofErr w:type="spellEnd"/>
            <w:r w:rsidRPr="00D43281">
              <w:rPr>
                <w:rFonts w:ascii="Times New Roman" w:hAnsi="Times New Roman" w:cs="Times New Roman"/>
                <w:color w:val="000000" w:themeColor="text1"/>
                <w:sz w:val="24"/>
                <w:szCs w:val="24"/>
                <w:lang w:val="ru-RU"/>
              </w:rPr>
              <w:t>;</w:t>
            </w:r>
          </w:p>
        </w:tc>
      </w:tr>
      <w:tr w:rsidR="00201105" w:rsidRPr="00D43281" w14:paraId="246345F5" w14:textId="77777777" w:rsidTr="00261467">
        <w:tc>
          <w:tcPr>
            <w:tcW w:w="1657" w:type="dxa"/>
          </w:tcPr>
          <w:p w14:paraId="1A623EED" w14:textId="08816EE7" w:rsidR="00201105" w:rsidRPr="00D43281" w:rsidRDefault="00201105" w:rsidP="00201105">
            <w:pPr>
              <w:pStyle w:val="ListParagraph"/>
              <w:tabs>
                <w:tab w:val="left" w:pos="0"/>
                <w:tab w:val="left" w:pos="567"/>
              </w:tabs>
              <w:spacing w:before="60"/>
              <w:ind w:left="0"/>
              <w:jc w:val="both"/>
              <w:rPr>
                <w:rFonts w:ascii="Times New Roman" w:hAnsi="Times New Roman" w:cs="Times New Roman"/>
                <w:color w:val="000000" w:themeColor="text1"/>
                <w:sz w:val="24"/>
                <w:szCs w:val="24"/>
                <w:lang w:val="ro-RO"/>
              </w:rPr>
            </w:pPr>
            <w:proofErr w:type="spellStart"/>
            <w:r w:rsidRPr="00D43281">
              <w:rPr>
                <w:rFonts w:ascii="Times New Roman" w:hAnsi="Times New Roman" w:cs="Times New Roman"/>
                <w:b/>
                <w:bCs/>
                <w:color w:val="000000" w:themeColor="text1"/>
                <w:sz w:val="24"/>
                <w:szCs w:val="24"/>
                <w:lang w:val="ro-RO"/>
              </w:rPr>
              <w:t>EffectiveEE</w:t>
            </w:r>
            <w:proofErr w:type="spellEnd"/>
            <m:oMath>
              <m:sSub>
                <m:sSubPr>
                  <m:ctrlPr>
                    <w:rPr>
                      <w:rFonts w:ascii="Cambria Math" w:hAnsi="Cambria Math" w:cs="Times New Roman"/>
                      <w:b/>
                      <w:bCs/>
                      <w:i/>
                      <w:color w:val="000000" w:themeColor="text1"/>
                      <w:kern w:val="0"/>
                      <w:sz w:val="24"/>
                      <w:szCs w:val="24"/>
                      <w:vertAlign w:val="subscript"/>
                      <w:lang w:val="ro-RO"/>
                      <w14:ligatures w14:val="none"/>
                    </w:rPr>
                  </m:ctrlPr>
                </m:sSubPr>
                <m:e>
                  <m:r>
                    <m:rPr>
                      <m:sty m:val="bi"/>
                    </m:rPr>
                    <w:rPr>
                      <w:rFonts w:ascii="Cambria Math" w:hAnsi="Cambria Math" w:cs="Times New Roman"/>
                      <w:color w:val="000000" w:themeColor="text1"/>
                      <w:sz w:val="24"/>
                      <w:szCs w:val="24"/>
                      <w:vertAlign w:val="subscript"/>
                      <w:lang w:val="ro-RO"/>
                    </w:rPr>
                    <m:t>t</m:t>
                  </m:r>
                </m:e>
                <m:sub>
                  <m:r>
                    <m:rPr>
                      <m:sty m:val="bi"/>
                    </m:rPr>
                    <w:rPr>
                      <w:rFonts w:ascii="Cambria Math" w:hAnsi="Cambria Math" w:cs="Times New Roman"/>
                      <w:color w:val="000000" w:themeColor="text1"/>
                      <w:sz w:val="24"/>
                      <w:szCs w:val="24"/>
                      <w:vertAlign w:val="subscript"/>
                      <w:lang w:val="ro-RO"/>
                    </w:rPr>
                    <m:t>k</m:t>
                  </m:r>
                </m:sub>
              </m:sSub>
            </m:oMath>
          </w:p>
        </w:tc>
        <w:tc>
          <w:tcPr>
            <w:tcW w:w="7697" w:type="dxa"/>
          </w:tcPr>
          <w:p w14:paraId="4614BB53" w14:textId="3661C9A6" w:rsidR="00201105" w:rsidRPr="00D43281" w:rsidRDefault="00201105" w:rsidP="00201105">
            <w:pPr>
              <w:pStyle w:val="ListParagraph"/>
              <w:shd w:val="clear" w:color="auto" w:fill="FFFFFF"/>
              <w:tabs>
                <w:tab w:val="left" w:pos="0"/>
                <w:tab w:val="left" w:pos="567"/>
              </w:tabs>
              <w:spacing w:before="60"/>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 </w:t>
            </w:r>
            <w:r w:rsidR="00711D30" w:rsidRPr="00D43281">
              <w:rPr>
                <w:rFonts w:ascii="Times New Roman" w:hAnsi="Times New Roman" w:cs="Times New Roman"/>
                <w:color w:val="000000" w:themeColor="text1"/>
                <w:sz w:val="24"/>
                <w:szCs w:val="24"/>
                <w:lang w:val="ru-RU"/>
              </w:rPr>
              <w:t xml:space="preserve">фактическая ожидаемая подверженность в будущем периоде </w:t>
            </w:r>
            <w:proofErr w:type="spellStart"/>
            <w:r w:rsidRPr="00D43281">
              <w:rPr>
                <w:rFonts w:ascii="Times New Roman" w:hAnsi="Times New Roman" w:cs="Times New Roman"/>
                <w:color w:val="000000" w:themeColor="text1"/>
                <w:sz w:val="24"/>
                <w:szCs w:val="24"/>
                <w:lang w:val="ru-RU"/>
              </w:rPr>
              <w:t>t</w:t>
            </w:r>
            <w:r w:rsidRPr="00D43281">
              <w:rPr>
                <w:rFonts w:ascii="Times New Roman" w:hAnsi="Times New Roman" w:cs="Times New Roman"/>
                <w:color w:val="000000" w:themeColor="text1"/>
                <w:sz w:val="24"/>
                <w:szCs w:val="24"/>
                <w:vertAlign w:val="subscript"/>
                <w:lang w:val="ru-RU"/>
              </w:rPr>
              <w:t>k</w:t>
            </w:r>
            <w:proofErr w:type="spellEnd"/>
            <w:r w:rsidRPr="00D43281">
              <w:rPr>
                <w:rFonts w:ascii="Times New Roman" w:hAnsi="Times New Roman" w:cs="Times New Roman"/>
                <w:color w:val="000000" w:themeColor="text1"/>
                <w:sz w:val="24"/>
                <w:szCs w:val="24"/>
                <w:lang w:val="ru-RU"/>
              </w:rPr>
              <w:t>;</w:t>
            </w:r>
          </w:p>
        </w:tc>
      </w:tr>
      <w:tr w:rsidR="00201105" w:rsidRPr="00D43281" w14:paraId="2C8FFBA4" w14:textId="77777777" w:rsidTr="00261467">
        <w:tc>
          <w:tcPr>
            <w:tcW w:w="1657" w:type="dxa"/>
          </w:tcPr>
          <w:p w14:paraId="0F7F8393" w14:textId="4F723895" w:rsidR="00201105" w:rsidRPr="00D43281" w:rsidRDefault="00201105" w:rsidP="00201105">
            <w:pPr>
              <w:pStyle w:val="ListParagraph"/>
              <w:tabs>
                <w:tab w:val="left" w:pos="0"/>
                <w:tab w:val="left" w:pos="567"/>
              </w:tabs>
              <w:spacing w:before="60"/>
              <w:ind w:left="0"/>
              <w:jc w:val="both"/>
              <w:rPr>
                <w:rFonts w:ascii="Times New Roman" w:hAnsi="Times New Roman" w:cs="Times New Roman"/>
                <w:color w:val="000000" w:themeColor="text1"/>
                <w:sz w:val="24"/>
                <w:szCs w:val="24"/>
                <w:lang w:val="ro-RO"/>
              </w:rPr>
            </w:pPr>
            <w:proofErr w:type="spellStart"/>
            <w:r w:rsidRPr="00D43281">
              <w:rPr>
                <w:rFonts w:ascii="Times New Roman" w:hAnsi="Times New Roman" w:cs="Times New Roman"/>
                <w:b/>
                <w:bCs/>
                <w:color w:val="000000" w:themeColor="text1"/>
                <w:sz w:val="24"/>
                <w:szCs w:val="24"/>
                <w:lang w:val="ro-RO"/>
              </w:rPr>
              <w:t>df</w:t>
            </w:r>
            <w:proofErr w:type="spellEnd"/>
            <m:oMath>
              <m:sSub>
                <m:sSubPr>
                  <m:ctrlPr>
                    <w:rPr>
                      <w:rFonts w:ascii="Cambria Math" w:hAnsi="Cambria Math" w:cs="Times New Roman"/>
                      <w:b/>
                      <w:bCs/>
                      <w:i/>
                      <w:color w:val="000000" w:themeColor="text1"/>
                      <w:kern w:val="0"/>
                      <w:sz w:val="24"/>
                      <w:szCs w:val="24"/>
                      <w:vertAlign w:val="subscript"/>
                      <w:lang w:val="ro-RO"/>
                      <w14:ligatures w14:val="none"/>
                    </w:rPr>
                  </m:ctrlPr>
                </m:sSubPr>
                <m:e>
                  <m:r>
                    <m:rPr>
                      <m:sty m:val="bi"/>
                    </m:rPr>
                    <w:rPr>
                      <w:rFonts w:ascii="Cambria Math" w:hAnsi="Cambria Math" w:cs="Times New Roman"/>
                      <w:color w:val="000000" w:themeColor="text1"/>
                      <w:sz w:val="24"/>
                      <w:szCs w:val="24"/>
                      <w:vertAlign w:val="subscript"/>
                      <w:lang w:val="ro-RO"/>
                    </w:rPr>
                    <m:t>t</m:t>
                  </m:r>
                </m:e>
                <m:sub>
                  <m:r>
                    <m:rPr>
                      <m:sty m:val="bi"/>
                    </m:rPr>
                    <w:rPr>
                      <w:rFonts w:ascii="Cambria Math" w:hAnsi="Cambria Math" w:cs="Times New Roman"/>
                      <w:color w:val="000000" w:themeColor="text1"/>
                      <w:sz w:val="24"/>
                      <w:szCs w:val="24"/>
                      <w:vertAlign w:val="subscript"/>
                      <w:lang w:val="ro-RO"/>
                    </w:rPr>
                    <m:t>k</m:t>
                  </m:r>
                </m:sub>
              </m:sSub>
            </m:oMath>
            <w:r w:rsidRPr="00D43281">
              <w:rPr>
                <w:rFonts w:ascii="Times New Roman" w:hAnsi="Times New Roman" w:cs="Times New Roman"/>
                <w:color w:val="000000" w:themeColor="text1"/>
                <w:sz w:val="24"/>
                <w:szCs w:val="24"/>
                <w:lang w:val="ro-RO"/>
              </w:rPr>
              <w:t xml:space="preserve">    </w:t>
            </w:r>
          </w:p>
        </w:tc>
        <w:tc>
          <w:tcPr>
            <w:tcW w:w="7697" w:type="dxa"/>
          </w:tcPr>
          <w:p w14:paraId="29E76164" w14:textId="1311524F" w:rsidR="00201105" w:rsidRPr="00D43281" w:rsidRDefault="00201105" w:rsidP="00201105">
            <w:pPr>
              <w:pStyle w:val="ListParagraph"/>
              <w:shd w:val="clear" w:color="auto" w:fill="FFFFFF"/>
              <w:tabs>
                <w:tab w:val="left" w:pos="0"/>
                <w:tab w:val="left" w:pos="567"/>
              </w:tabs>
              <w:spacing w:before="60"/>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 </w:t>
            </w:r>
            <w:r w:rsidR="00E86919" w:rsidRPr="00D43281">
              <w:rPr>
                <w:rFonts w:ascii="Times New Roman" w:hAnsi="Times New Roman" w:cs="Times New Roman"/>
                <w:color w:val="000000" w:themeColor="text1"/>
                <w:sz w:val="24"/>
                <w:szCs w:val="24"/>
                <w:lang w:val="ru-RU"/>
              </w:rPr>
              <w:t xml:space="preserve">безрисковый дисконтный фактор на будущий период </w:t>
            </w:r>
            <w:proofErr w:type="spellStart"/>
            <w:r w:rsidRPr="00D43281">
              <w:rPr>
                <w:rFonts w:ascii="Times New Roman" w:hAnsi="Times New Roman" w:cs="Times New Roman"/>
                <w:color w:val="000000" w:themeColor="text1"/>
                <w:sz w:val="24"/>
                <w:szCs w:val="24"/>
                <w:lang w:val="ru-RU"/>
              </w:rPr>
              <w:t>t</w:t>
            </w:r>
            <w:r w:rsidRPr="00D43281">
              <w:rPr>
                <w:rFonts w:ascii="Times New Roman" w:hAnsi="Times New Roman" w:cs="Times New Roman"/>
                <w:color w:val="000000" w:themeColor="text1"/>
                <w:sz w:val="24"/>
                <w:szCs w:val="24"/>
                <w:vertAlign w:val="subscript"/>
                <w:lang w:val="ru-RU"/>
              </w:rPr>
              <w:t>k</w:t>
            </w:r>
            <w:proofErr w:type="spellEnd"/>
            <w:r w:rsidRPr="00D43281">
              <w:rPr>
                <w:rFonts w:ascii="Times New Roman" w:hAnsi="Times New Roman" w:cs="Times New Roman"/>
                <w:color w:val="000000" w:themeColor="text1"/>
                <w:sz w:val="24"/>
                <w:szCs w:val="24"/>
                <w:lang w:val="ru-RU"/>
              </w:rPr>
              <w:t>;</w:t>
            </w:r>
          </w:p>
        </w:tc>
      </w:tr>
    </w:tbl>
    <w:p w14:paraId="2F6826D1" w14:textId="7C8F1F5B" w:rsidR="00980331" w:rsidRPr="00D43281" w:rsidRDefault="00261467" w:rsidP="00201105">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43281">
        <w:rPr>
          <w:noProof/>
          <w:color w:val="000000" w:themeColor="text1"/>
          <w:sz w:val="24"/>
          <w:szCs w:val="24"/>
          <w:lang w:val="ro-RO"/>
        </w:rPr>
        <w:drawing>
          <wp:inline distT="0" distB="0" distL="0" distR="0" wp14:anchorId="01E01CC8" wp14:editId="3A5FE6C7">
            <wp:extent cx="1466850" cy="262230"/>
            <wp:effectExtent l="0" t="0" r="0" b="5080"/>
            <wp:docPr id="3" name="Picture 3" descr="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18068" cy="271386"/>
                    </a:xfrm>
                    <a:prstGeom prst="rect">
                      <a:avLst/>
                    </a:prstGeom>
                    <a:noFill/>
                    <a:ln>
                      <a:noFill/>
                    </a:ln>
                  </pic:spPr>
                </pic:pic>
              </a:graphicData>
            </a:graphic>
          </wp:inline>
        </w:drawing>
      </w:r>
      <w:r w:rsidR="00980331" w:rsidRPr="00D43281">
        <w:rPr>
          <w:rFonts w:ascii="Times New Roman" w:hAnsi="Times New Roman" w:cs="Times New Roman"/>
          <w:color w:val="000000" w:themeColor="text1"/>
          <w:sz w:val="24"/>
          <w:szCs w:val="24"/>
          <w:lang w:val="ro-RO"/>
        </w:rPr>
        <w:t>;</w:t>
      </w:r>
      <w:r w:rsidR="001D77EA" w:rsidRPr="00D43281">
        <w:rPr>
          <w:rFonts w:ascii="Times New Roman" w:hAnsi="Times New Roman" w:cs="Times New Roman"/>
          <w:color w:val="000000" w:themeColor="text1"/>
          <w:sz w:val="24"/>
          <w:szCs w:val="24"/>
          <w:highlight w:val="lightGray"/>
          <w:lang w:val="ro-RO"/>
        </w:rPr>
        <w:t xml:space="preserve"> </w:t>
      </w:r>
    </w:p>
    <w:p w14:paraId="7E1031C6" w14:textId="5E266B8C" w:rsidR="00F071A5" w:rsidRPr="00D43281" w:rsidRDefault="00DD7B1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 использующий внутреннюю модель для расчета односторонней корректировки кредитной оценки (CVA), может, с одобрения Национального банка Молдовы, использовать в качестве срока погашения фактический срок кредита, рассчитанный с помощью внутренней модели</w:t>
      </w:r>
      <w:r w:rsidR="00F071A5" w:rsidRPr="00D43281">
        <w:rPr>
          <w:rFonts w:ascii="Times New Roman" w:hAnsi="Times New Roman" w:cs="Times New Roman"/>
          <w:color w:val="000000" w:themeColor="text1"/>
          <w:sz w:val="24"/>
          <w:szCs w:val="24"/>
          <w:lang w:val="ru-RU"/>
        </w:rPr>
        <w:t xml:space="preserve">. </w:t>
      </w:r>
    </w:p>
    <w:p w14:paraId="3C21F873" w14:textId="7C6CA638" w:rsidR="00980331" w:rsidRPr="00BB1E28" w:rsidRDefault="00DD7B1B" w:rsidP="006469DB">
      <w:pPr>
        <w:pStyle w:val="ListParagraph"/>
        <w:shd w:val="clear" w:color="auto" w:fill="FFFFFF"/>
        <w:tabs>
          <w:tab w:val="left" w:pos="0"/>
          <w:tab w:val="left" w:pos="567"/>
        </w:tabs>
        <w:spacing w:before="60" w:after="0" w:line="240" w:lineRule="auto"/>
        <w:ind w:left="0"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С учетом положений пункта 124 к наборам компенсации, в которых все контракты имеют первоначальный срок погашения менее 1 года, применяется формула, приведенная в подпункте 124.1</w:t>
      </w:r>
      <w:r w:rsidR="00980331" w:rsidRPr="00D43281">
        <w:rPr>
          <w:rFonts w:ascii="Times New Roman" w:hAnsi="Times New Roman" w:cs="Times New Roman"/>
          <w:color w:val="000000" w:themeColor="text1"/>
          <w:sz w:val="24"/>
          <w:szCs w:val="24"/>
          <w:lang w:val="ru-RU"/>
        </w:rPr>
        <w:t>;</w:t>
      </w:r>
    </w:p>
    <w:p w14:paraId="2AB8F188" w14:textId="6F31A043" w:rsidR="00980331" w:rsidRPr="00D43281" w:rsidRDefault="0060325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В случае банков, использующих стандартизированный подход или базовый подход в соответствии с нормативными актами Национального банка Молдовы, касающимися учета риска корректировки кредитной оценки, для расчета требований к собственным средствам в отношении риска CVA по сделкам с определенным контрагентом, M не превышает 1 в формуле, предусмотренной в подпункте 71.3 пункта 71, для целей расчета взвешенных по риску сумм подверженностей по риску контрагента для тех же сделок, как указано в подпунктах 1) или 6) пункта 132</w:t>
      </w:r>
      <w:r w:rsidR="00815D62" w:rsidRPr="00D43281">
        <w:rPr>
          <w:rFonts w:ascii="Times New Roman" w:hAnsi="Times New Roman" w:cs="Times New Roman"/>
          <w:color w:val="000000" w:themeColor="text1"/>
          <w:sz w:val="24"/>
          <w:szCs w:val="24"/>
          <w:lang w:val="ru-MD"/>
        </w:rPr>
        <w:t xml:space="preserve"> </w:t>
      </w:r>
      <w:r w:rsidRPr="00D43281">
        <w:rPr>
          <w:rFonts w:ascii="Times New Roman" w:hAnsi="Times New Roman" w:cs="Times New Roman"/>
          <w:color w:val="000000" w:themeColor="text1"/>
          <w:sz w:val="24"/>
          <w:szCs w:val="24"/>
          <w:lang w:val="ru-MD"/>
        </w:rPr>
        <w:t>Регламента № 109/2018, в зависимости от обстоятельств</w:t>
      </w:r>
      <w:r w:rsidR="00980331" w:rsidRPr="00D43281">
        <w:rPr>
          <w:rFonts w:ascii="Times New Roman" w:hAnsi="Times New Roman" w:cs="Times New Roman"/>
          <w:color w:val="000000" w:themeColor="text1"/>
          <w:sz w:val="24"/>
          <w:szCs w:val="24"/>
          <w:lang w:val="ru-MD"/>
        </w:rPr>
        <w:t>;</w:t>
      </w:r>
    </w:p>
    <w:p w14:paraId="78210709" w14:textId="5DDE1629" w:rsidR="00980331" w:rsidRPr="00D43281" w:rsidRDefault="00D6177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 случае возобновляемых подверженностей показатель M определяется с использованием максимальной договорной даты прекращения действия кредитной линии; банки не используют дату погашения текущего использования кредитной линии, если эта дата не является максимальной договорной датой прекращения действия кредитной линии</w:t>
      </w:r>
      <w:r w:rsidR="00980331" w:rsidRPr="00D43281">
        <w:rPr>
          <w:rFonts w:ascii="Times New Roman" w:hAnsi="Times New Roman" w:cs="Times New Roman"/>
          <w:color w:val="000000" w:themeColor="text1"/>
          <w:sz w:val="24"/>
          <w:szCs w:val="24"/>
          <w:lang w:val="ru-RU"/>
        </w:rPr>
        <w:t>.</w:t>
      </w:r>
    </w:p>
    <w:p w14:paraId="5E14DFC3" w14:textId="422A17B4" w:rsidR="00980331" w:rsidRPr="00D43281" w:rsidRDefault="000F5E57"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07" w:name="_Ref215223063"/>
      <w:r w:rsidRPr="00D43281">
        <w:rPr>
          <w:rFonts w:ascii="Times New Roman" w:hAnsi="Times New Roman" w:cs="Times New Roman"/>
          <w:color w:val="000000" w:themeColor="text1"/>
          <w:sz w:val="24"/>
          <w:szCs w:val="24"/>
          <w:lang w:val="ru-MD"/>
        </w:rPr>
        <w:t>Если документация требует ежедневного пересчета маржи и ежедневной переоценки и содержит положения, допускающие быструю ликвидацию или зачет вещного обеспечения в случае невыполнения обязательств или невозможности восстановления маржи, M представляет собой средневзвешенное значение остаточных сроков погашения сделок и составляет не менее одного дня для</w:t>
      </w:r>
      <w:r w:rsidR="00980331" w:rsidRPr="00D43281">
        <w:rPr>
          <w:rFonts w:ascii="Times New Roman" w:hAnsi="Times New Roman" w:cs="Times New Roman"/>
          <w:color w:val="000000" w:themeColor="text1"/>
          <w:sz w:val="24"/>
          <w:szCs w:val="24"/>
          <w:lang w:val="ru-MD"/>
        </w:rPr>
        <w:t>:</w:t>
      </w:r>
      <w:bookmarkEnd w:id="107"/>
    </w:p>
    <w:p w14:paraId="6007A70C" w14:textId="2C050B6C" w:rsidR="00980331" w:rsidRPr="00D43281" w:rsidRDefault="00DD5A6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lastRenderedPageBreak/>
        <w:t>Производных финансовых инструментов, перечисленных в приложении № 1 к Регламенту № 114/2018, полностью или почти полностью обеспеченные залогом</w:t>
      </w:r>
      <w:r w:rsidR="00980331" w:rsidRPr="00D43281">
        <w:rPr>
          <w:rFonts w:ascii="Times New Roman" w:hAnsi="Times New Roman" w:cs="Times New Roman"/>
          <w:color w:val="000000" w:themeColor="text1"/>
          <w:sz w:val="24"/>
          <w:szCs w:val="24"/>
          <w:lang w:val="ru-MD"/>
        </w:rPr>
        <w:t>;</w:t>
      </w:r>
    </w:p>
    <w:p w14:paraId="7B60716E" w14:textId="5893F09F" w:rsidR="00980331" w:rsidRPr="00D43281" w:rsidRDefault="001770D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Полностью или почти полностью обеспеченных залогом маржинальных кредитных операций</w:t>
      </w:r>
      <w:r w:rsidR="00980331" w:rsidRPr="00D43281">
        <w:rPr>
          <w:rFonts w:ascii="Times New Roman" w:hAnsi="Times New Roman" w:cs="Times New Roman"/>
          <w:color w:val="000000" w:themeColor="text1"/>
          <w:sz w:val="24"/>
          <w:szCs w:val="24"/>
          <w:lang w:val="ru-MD"/>
        </w:rPr>
        <w:t>;</w:t>
      </w:r>
    </w:p>
    <w:p w14:paraId="6FE5723D" w14:textId="3E82DB0E" w:rsidR="00980331" w:rsidRPr="00D43281" w:rsidRDefault="0053000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Сделок обратного выкупа, операций </w:t>
      </w:r>
      <w:r w:rsidR="00ED1E8B" w:rsidRPr="00D43281">
        <w:rPr>
          <w:rFonts w:ascii="Times New Roman" w:hAnsi="Times New Roman" w:cs="Times New Roman"/>
          <w:color w:val="000000" w:themeColor="text1"/>
          <w:sz w:val="24"/>
          <w:szCs w:val="24"/>
          <w:lang w:val="ru-RU"/>
        </w:rPr>
        <w:t>дачи и принятия ценных бумаг или товаров взаймы</w:t>
      </w:r>
      <w:r w:rsidR="00980331" w:rsidRPr="00D43281">
        <w:rPr>
          <w:rFonts w:ascii="Times New Roman" w:hAnsi="Times New Roman" w:cs="Times New Roman"/>
          <w:color w:val="000000" w:themeColor="text1"/>
          <w:sz w:val="24"/>
          <w:szCs w:val="24"/>
          <w:lang w:val="ru-RU"/>
        </w:rPr>
        <w:t>.</w:t>
      </w:r>
    </w:p>
    <w:p w14:paraId="09895AA4" w14:textId="1440B422" w:rsidR="00980331" w:rsidRPr="00D43281" w:rsidRDefault="00FE34F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08" w:name="_Ref215223072"/>
      <w:r w:rsidRPr="00D43281">
        <w:rPr>
          <w:rFonts w:ascii="Times New Roman" w:hAnsi="Times New Roman" w:cs="Times New Roman"/>
          <w:color w:val="000000" w:themeColor="text1"/>
          <w:sz w:val="24"/>
          <w:szCs w:val="24"/>
          <w:lang w:val="ru-RU"/>
        </w:rPr>
        <w:t>Кроме того, для соответствующих краткосрочных подверженностей, не входящих в текущее финансирование заемщика банком, срок погашения составляет не менее одного дня. К соответствующим краткосрочным подверженностям относятся</w:t>
      </w:r>
      <w:r w:rsidR="00980331" w:rsidRPr="00D43281">
        <w:rPr>
          <w:rFonts w:ascii="Times New Roman" w:hAnsi="Times New Roman" w:cs="Times New Roman"/>
          <w:color w:val="000000" w:themeColor="text1"/>
          <w:sz w:val="24"/>
          <w:szCs w:val="24"/>
          <w:lang w:val="ru-RU"/>
        </w:rPr>
        <w:t>:</w:t>
      </w:r>
      <w:bookmarkEnd w:id="108"/>
    </w:p>
    <w:p w14:paraId="7794286A" w14:textId="3D1A7304" w:rsidR="00980331" w:rsidRPr="00D43281" w:rsidRDefault="00FE34F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Подверженности перед банками или инвестиционными компаниями, возникающие в результате расчетов по обязательствам в иностранной валюте</w:t>
      </w:r>
      <w:r w:rsidR="00980331" w:rsidRPr="00D43281">
        <w:rPr>
          <w:rFonts w:ascii="Times New Roman" w:hAnsi="Times New Roman" w:cs="Times New Roman"/>
          <w:color w:val="000000" w:themeColor="text1"/>
          <w:sz w:val="24"/>
          <w:szCs w:val="24"/>
          <w:lang w:val="ru-RU"/>
        </w:rPr>
        <w:t>;</w:t>
      </w:r>
    </w:p>
    <w:p w14:paraId="39917923" w14:textId="3ABB2C82" w:rsidR="00AE399B" w:rsidRPr="00D43281" w:rsidRDefault="00326BF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Операции по краткосрочному финансированию торговли, которые погашаются автоматически, и приобретенные требования к компаниям, при условии, что соответствующие подверженности имеют остаточный срок погашения до одного года</w:t>
      </w:r>
      <w:r w:rsidR="00980331" w:rsidRPr="00D43281">
        <w:rPr>
          <w:rFonts w:ascii="Times New Roman" w:hAnsi="Times New Roman" w:cs="Times New Roman"/>
          <w:color w:val="000000" w:themeColor="text1"/>
          <w:sz w:val="24"/>
          <w:szCs w:val="24"/>
          <w:lang w:val="ru-RU"/>
        </w:rPr>
        <w:t>;</w:t>
      </w:r>
    </w:p>
    <w:p w14:paraId="3C217763" w14:textId="39A738B7" w:rsidR="00AE399B" w:rsidRPr="00D43281" w:rsidRDefault="00FC1C6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Подверженности, возникающие в результате расчетов по покупкам и продажам ценных бумаг в рамках обычного двухдневного рабочего срока поставки</w:t>
      </w:r>
      <w:r w:rsidR="00980331" w:rsidRPr="00D43281">
        <w:rPr>
          <w:rFonts w:ascii="Times New Roman" w:hAnsi="Times New Roman" w:cs="Times New Roman"/>
          <w:color w:val="000000" w:themeColor="text1"/>
          <w:sz w:val="24"/>
          <w:szCs w:val="24"/>
          <w:lang w:val="ru-RU"/>
        </w:rPr>
        <w:t>;</w:t>
      </w:r>
    </w:p>
    <w:p w14:paraId="138F41F0" w14:textId="5F3794E0" w:rsidR="00AE399B" w:rsidRPr="00D43281" w:rsidRDefault="00C114F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Подверженности, связанные с расчетами по наличным платежам посредством электронных переводов, а также с расчетами по электронным платежным операциям и предоплаченным услугам, включая овердрафт, возникший в результате неудачных сделок, которые не превышают согласованного фиксированного минимального количества рабочих дней</w:t>
      </w:r>
      <w:r w:rsidR="00980331" w:rsidRPr="00D43281">
        <w:rPr>
          <w:rFonts w:ascii="Times New Roman" w:hAnsi="Times New Roman" w:cs="Times New Roman"/>
          <w:color w:val="000000" w:themeColor="text1"/>
          <w:sz w:val="24"/>
          <w:szCs w:val="24"/>
          <w:lang w:val="ru-MD"/>
        </w:rPr>
        <w:t>;</w:t>
      </w:r>
    </w:p>
    <w:p w14:paraId="173F0715" w14:textId="725751C1" w:rsidR="00980331" w:rsidRPr="00D43281" w:rsidRDefault="0098033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 </w:t>
      </w:r>
      <w:r w:rsidR="00E62FA4" w:rsidRPr="00D43281">
        <w:rPr>
          <w:rFonts w:ascii="Times New Roman" w:hAnsi="Times New Roman" w:cs="Times New Roman"/>
          <w:color w:val="000000" w:themeColor="text1"/>
          <w:sz w:val="24"/>
          <w:szCs w:val="24"/>
          <w:lang w:val="ru-MD"/>
        </w:rPr>
        <w:t>Выданные и подтвержденные аккредитивы, которые являются краткосрочными, то есть имеют срок погашения менее одного года, и которые погашаются автоматически</w:t>
      </w:r>
      <w:r w:rsidRPr="00D43281">
        <w:rPr>
          <w:rFonts w:ascii="Times New Roman" w:hAnsi="Times New Roman" w:cs="Times New Roman"/>
          <w:color w:val="000000" w:themeColor="text1"/>
          <w:sz w:val="24"/>
          <w:szCs w:val="24"/>
          <w:lang w:val="ru-MD"/>
        </w:rPr>
        <w:t>.</w:t>
      </w:r>
    </w:p>
    <w:p w14:paraId="5A821A06" w14:textId="1AE84709" w:rsidR="00980331" w:rsidRPr="00D43281" w:rsidRDefault="00E66A7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09" w:name="_Ref215223086"/>
      <w:r w:rsidRPr="00D43281">
        <w:rPr>
          <w:rFonts w:ascii="Times New Roman" w:hAnsi="Times New Roman" w:cs="Times New Roman"/>
          <w:color w:val="000000" w:themeColor="text1"/>
          <w:sz w:val="24"/>
          <w:szCs w:val="24"/>
          <w:lang w:val="ru-MD"/>
        </w:rPr>
        <w:t>Для подверженностей перед компаниями, зарегистрированными в Союзе и не являющимися крупными компаниями, банки могут принять решение установить коэффициент M для всех таких подверженностей в соответствии с пунктом 123 вместо применения пункта 124</w:t>
      </w:r>
      <w:r w:rsidR="00980331" w:rsidRPr="00D43281">
        <w:rPr>
          <w:rFonts w:ascii="Times New Roman" w:hAnsi="Times New Roman" w:cs="Times New Roman"/>
          <w:color w:val="000000" w:themeColor="text1"/>
          <w:sz w:val="24"/>
          <w:szCs w:val="24"/>
          <w:lang w:val="ru-MD"/>
        </w:rPr>
        <w:t>.</w:t>
      </w:r>
      <w:bookmarkEnd w:id="109"/>
    </w:p>
    <w:p w14:paraId="1C78B115" w14:textId="5BF9E9BA" w:rsidR="00980331" w:rsidRPr="00D43281" w:rsidRDefault="00E66A7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10" w:name="_Ref215223098"/>
      <w:r w:rsidRPr="00D43281">
        <w:rPr>
          <w:rFonts w:ascii="Times New Roman" w:hAnsi="Times New Roman" w:cs="Times New Roman"/>
          <w:color w:val="000000" w:themeColor="text1"/>
          <w:sz w:val="24"/>
          <w:szCs w:val="24"/>
          <w:lang w:val="ru-MD"/>
        </w:rPr>
        <w:t>Несоответствия сроков погашения рассматриваются в соответствии с Регламентом № 112/2018.</w:t>
      </w:r>
      <w:bookmarkEnd w:id="110"/>
    </w:p>
    <w:p w14:paraId="67264A06" w14:textId="1D886D06" w:rsidR="004A2955" w:rsidRPr="00D43281" w:rsidRDefault="00E66A7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11" w:name="_Ref215505694"/>
      <w:r w:rsidRPr="00D43281">
        <w:rPr>
          <w:rFonts w:ascii="Times New Roman" w:hAnsi="Times New Roman" w:cs="Times New Roman"/>
          <w:color w:val="000000" w:themeColor="text1"/>
          <w:sz w:val="24"/>
          <w:szCs w:val="24"/>
          <w:lang w:val="ru-MD"/>
        </w:rPr>
        <w:t xml:space="preserve">Для выражения в годах минимального количества дней, указанного в подпунктах 124.3–124.6 </w:t>
      </w:r>
      <w:r w:rsidR="007671E5" w:rsidRPr="00D43281">
        <w:rPr>
          <w:rFonts w:ascii="Times New Roman" w:hAnsi="Times New Roman" w:cs="Times New Roman"/>
          <w:color w:val="000000" w:themeColor="text1"/>
          <w:sz w:val="24"/>
          <w:szCs w:val="24"/>
          <w:lang w:val="ru-MD"/>
        </w:rPr>
        <w:t xml:space="preserve">пункта 124 </w:t>
      </w:r>
      <w:r w:rsidRPr="00D43281">
        <w:rPr>
          <w:rFonts w:ascii="Times New Roman" w:hAnsi="Times New Roman" w:cs="Times New Roman"/>
          <w:color w:val="000000" w:themeColor="text1"/>
          <w:sz w:val="24"/>
          <w:szCs w:val="24"/>
          <w:lang w:val="ru-MD"/>
        </w:rPr>
        <w:t>и в пункте 125, минимальное количество дней делится на 365,25</w:t>
      </w:r>
      <w:r w:rsidR="00980331" w:rsidRPr="00D43281">
        <w:rPr>
          <w:rFonts w:ascii="Times New Roman" w:hAnsi="Times New Roman" w:cs="Times New Roman"/>
          <w:color w:val="000000" w:themeColor="text1"/>
          <w:sz w:val="24"/>
          <w:szCs w:val="24"/>
          <w:lang w:val="ru-MD"/>
        </w:rPr>
        <w:t>.</w:t>
      </w:r>
      <w:bookmarkEnd w:id="111"/>
    </w:p>
    <w:p w14:paraId="6C06F88C" w14:textId="5FEA3E8A" w:rsidR="00D6077C" w:rsidRPr="00D43281" w:rsidRDefault="00A962B5" w:rsidP="00D6077C">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Часть</w:t>
      </w:r>
      <w:r w:rsidR="00D6077C" w:rsidRPr="00D43281">
        <w:rPr>
          <w:rFonts w:ascii="Times New Roman" w:hAnsi="Times New Roman" w:cs="Times New Roman"/>
          <w:b/>
          <w:bCs/>
          <w:i/>
          <w:iCs/>
          <w:color w:val="000000" w:themeColor="text1"/>
          <w:sz w:val="24"/>
          <w:szCs w:val="24"/>
          <w:lang w:val="ro-RO"/>
        </w:rPr>
        <w:t xml:space="preserve"> 2</w:t>
      </w:r>
    </w:p>
    <w:p w14:paraId="45A89F46" w14:textId="5116F4F9" w:rsidR="00D6077C" w:rsidRPr="00D43281" w:rsidRDefault="00813AD3" w:rsidP="00D6077C">
      <w:pPr>
        <w:pStyle w:val="ListParagraph"/>
        <w:shd w:val="clear" w:color="auto" w:fill="FFFFFF"/>
        <w:tabs>
          <w:tab w:val="left" w:pos="0"/>
        </w:tabs>
        <w:spacing w:after="12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Подверженности ритейл</w:t>
      </w:r>
    </w:p>
    <w:p w14:paraId="3202C5B4" w14:textId="18774FDC" w:rsidR="00D6077C" w:rsidRPr="00D43281" w:rsidRDefault="00813AD3" w:rsidP="00D6077C">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Подчасть</w:t>
      </w:r>
      <w:r w:rsidR="00D6077C" w:rsidRPr="00D43281">
        <w:rPr>
          <w:rFonts w:ascii="Times New Roman" w:hAnsi="Times New Roman" w:cs="Times New Roman"/>
          <w:b/>
          <w:bCs/>
          <w:i/>
          <w:iCs/>
          <w:color w:val="000000" w:themeColor="text1"/>
          <w:sz w:val="24"/>
          <w:szCs w:val="24"/>
          <w:lang w:val="ro-RO"/>
        </w:rPr>
        <w:t xml:space="preserve"> 1</w:t>
      </w:r>
    </w:p>
    <w:p w14:paraId="2F674789" w14:textId="4CC764EA" w:rsidR="00D6077C" w:rsidRPr="00D43281" w:rsidRDefault="00813AD3" w:rsidP="00D6077C">
      <w:pPr>
        <w:pStyle w:val="ListParagraph"/>
        <w:shd w:val="clear" w:color="auto" w:fill="FFFFFF"/>
        <w:tabs>
          <w:tab w:val="left" w:pos="0"/>
        </w:tabs>
        <w:spacing w:after="12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Вероятность невозврата</w:t>
      </w:r>
    </w:p>
    <w:p w14:paraId="3561943E" w14:textId="7C94D055" w:rsidR="00230BE8" w:rsidRPr="00D43281" w:rsidRDefault="009B03C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Исключительно для целей расчета взвешенных по риску сумм подверженностей и сумм ожидаемых убытков, связанных с этими подверженностями, в частности в значении пунктов 80–87 и 89–93, а также пунктов 94, 98–99 и 102, PD для каждой подверженности, используемой в качестве входных данных в формуле расчета взвешенных по риску сумм подверженностей и ожидаемых убытков, представляет собой наибольшее из значений годового PD, связанного с рейтинговым классом или внутренней группой риска заемщика, к которому относится подверженность ритейл, и следующих значений минимального порога PD</w:t>
      </w:r>
      <w:r w:rsidR="00230BE8" w:rsidRPr="00D43281">
        <w:rPr>
          <w:rFonts w:ascii="Times New Roman" w:hAnsi="Times New Roman" w:cs="Times New Roman"/>
          <w:color w:val="000000" w:themeColor="text1"/>
          <w:sz w:val="24"/>
          <w:szCs w:val="24"/>
          <w:lang w:val="ru-RU"/>
        </w:rPr>
        <w:t>:</w:t>
      </w:r>
    </w:p>
    <w:p w14:paraId="1B95A701" w14:textId="15CB3A9A" w:rsidR="00230BE8" w:rsidRPr="00D43281" w:rsidRDefault="00230B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0,1% </w:t>
      </w:r>
      <w:r w:rsidR="009B03C8" w:rsidRPr="00D43281">
        <w:rPr>
          <w:rFonts w:ascii="Times New Roman" w:hAnsi="Times New Roman" w:cs="Times New Roman"/>
          <w:color w:val="000000" w:themeColor="text1"/>
          <w:sz w:val="24"/>
          <w:szCs w:val="24"/>
          <w:lang w:val="ru-RU"/>
        </w:rPr>
        <w:t>для QRRE в отношении заемщиков, генерирующих возобновляемые подверженности</w:t>
      </w:r>
      <w:r w:rsidRPr="00D43281">
        <w:rPr>
          <w:rFonts w:ascii="Times New Roman" w:hAnsi="Times New Roman" w:cs="Times New Roman"/>
          <w:color w:val="000000" w:themeColor="text1"/>
          <w:sz w:val="24"/>
          <w:szCs w:val="24"/>
          <w:lang w:val="ru-RU"/>
        </w:rPr>
        <w:t>;</w:t>
      </w:r>
    </w:p>
    <w:p w14:paraId="3065D387" w14:textId="3093DAFF" w:rsidR="00230BE8" w:rsidRPr="00D43281" w:rsidRDefault="00230BE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0,05% </w:t>
      </w:r>
      <w:r w:rsidR="003F5741" w:rsidRPr="00D43281">
        <w:rPr>
          <w:rFonts w:ascii="Times New Roman" w:hAnsi="Times New Roman" w:cs="Times New Roman"/>
          <w:color w:val="000000" w:themeColor="text1"/>
          <w:sz w:val="24"/>
          <w:szCs w:val="24"/>
          <w:lang w:val="ru-MD"/>
        </w:rPr>
        <w:t>для</w:t>
      </w:r>
      <w:r w:rsidR="00A42465" w:rsidRPr="00D43281">
        <w:rPr>
          <w:rFonts w:ascii="Times New Roman" w:hAnsi="Times New Roman" w:cs="Times New Roman"/>
          <w:color w:val="000000" w:themeColor="text1"/>
          <w:sz w:val="24"/>
          <w:szCs w:val="24"/>
          <w:lang w:val="ru-MD"/>
        </w:rPr>
        <w:t xml:space="preserve"> подверженностей ритейл</w:t>
      </w:r>
      <w:r w:rsidR="00A06CBA" w:rsidRPr="00D43281">
        <w:rPr>
          <w:rFonts w:ascii="Times New Roman" w:hAnsi="Times New Roman" w:cs="Times New Roman"/>
          <w:color w:val="000000" w:themeColor="text1"/>
          <w:sz w:val="24"/>
          <w:szCs w:val="24"/>
          <w:lang w:val="ru-MD"/>
        </w:rPr>
        <w:t>,</w:t>
      </w:r>
      <w:r w:rsidR="003F5741" w:rsidRPr="00D43281">
        <w:rPr>
          <w:rFonts w:ascii="Times New Roman" w:hAnsi="Times New Roman" w:cs="Times New Roman"/>
          <w:color w:val="000000" w:themeColor="text1"/>
          <w:sz w:val="24"/>
          <w:szCs w:val="24"/>
          <w:lang w:val="ru-MD"/>
        </w:rPr>
        <w:t xml:space="preserve"> не относящихся к категории QRRE, выданных заемщикам по возобновляемым </w:t>
      </w:r>
      <w:r w:rsidR="00A42465" w:rsidRPr="00D43281">
        <w:rPr>
          <w:rFonts w:ascii="Times New Roman" w:hAnsi="Times New Roman" w:cs="Times New Roman"/>
          <w:color w:val="000000" w:themeColor="text1"/>
          <w:sz w:val="24"/>
          <w:szCs w:val="24"/>
          <w:lang w:val="ru-MD"/>
        </w:rPr>
        <w:t>подверженностям</w:t>
      </w:r>
      <w:r w:rsidRPr="00D43281">
        <w:rPr>
          <w:rFonts w:ascii="Times New Roman" w:hAnsi="Times New Roman" w:cs="Times New Roman"/>
          <w:color w:val="000000" w:themeColor="text1"/>
          <w:sz w:val="24"/>
          <w:szCs w:val="24"/>
          <w:lang w:val="ru-MD"/>
        </w:rPr>
        <w:t>.</w:t>
      </w:r>
    </w:p>
    <w:p w14:paraId="337A2D3A" w14:textId="59E38AC7" w:rsidR="00230BE8" w:rsidRPr="00D43281" w:rsidRDefault="00A06CBA"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RU"/>
        </w:rPr>
        <w:t xml:space="preserve">Вероятность невозврата по должникам или, при использовании подхода, основанного на </w:t>
      </w:r>
      <w:r w:rsidRPr="00D43281">
        <w:rPr>
          <w:rFonts w:ascii="Times New Roman" w:hAnsi="Times New Roman" w:cs="Times New Roman"/>
          <w:color w:val="000000" w:themeColor="text1"/>
          <w:sz w:val="24"/>
          <w:szCs w:val="24"/>
          <w:lang w:val="ru-MD"/>
        </w:rPr>
        <w:t>сделках, вероятность невозврата по просроченным подверженностям составляет 100%</w:t>
      </w:r>
      <w:r w:rsidR="00230BE8" w:rsidRPr="00D43281">
        <w:rPr>
          <w:rFonts w:ascii="Times New Roman" w:hAnsi="Times New Roman" w:cs="Times New Roman"/>
          <w:color w:val="000000" w:themeColor="text1"/>
          <w:sz w:val="24"/>
          <w:szCs w:val="24"/>
          <w:lang w:val="ru-MD"/>
        </w:rPr>
        <w:t>.</w:t>
      </w:r>
    </w:p>
    <w:p w14:paraId="5A84F58E" w14:textId="5E4E7F25" w:rsidR="004655F0" w:rsidRPr="00D43281" w:rsidRDefault="004655F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lastRenderedPageBreak/>
        <w:t>В случае риска обесценения по приобретенным кредитам вероятность нев</w:t>
      </w:r>
      <w:r w:rsidR="00D905EC" w:rsidRPr="00D43281">
        <w:rPr>
          <w:rFonts w:ascii="Times New Roman" w:hAnsi="Times New Roman" w:cs="Times New Roman"/>
          <w:color w:val="000000" w:themeColor="text1"/>
          <w:sz w:val="24"/>
          <w:szCs w:val="24"/>
          <w:lang w:val="ru-MD"/>
        </w:rPr>
        <w:t>озврата</w:t>
      </w:r>
      <w:r w:rsidRPr="00D43281">
        <w:rPr>
          <w:rFonts w:ascii="Times New Roman" w:hAnsi="Times New Roman" w:cs="Times New Roman"/>
          <w:color w:val="000000" w:themeColor="text1"/>
          <w:sz w:val="24"/>
          <w:szCs w:val="24"/>
          <w:lang w:val="ru-MD"/>
        </w:rPr>
        <w:t xml:space="preserve"> равна оценкам ожидаемого убытка по риску обесценения. Если банк может разбить свои оценки ожидаемых убытков по риску снижения стоимости приобретенных кредитов на вероятности </w:t>
      </w:r>
      <w:r w:rsidR="00D905EC" w:rsidRPr="00D43281">
        <w:rPr>
          <w:rFonts w:ascii="Times New Roman" w:hAnsi="Times New Roman" w:cs="Times New Roman"/>
          <w:color w:val="000000" w:themeColor="text1"/>
          <w:sz w:val="24"/>
          <w:szCs w:val="24"/>
          <w:lang w:val="ru-MD"/>
        </w:rPr>
        <w:t xml:space="preserve">невозврата </w:t>
      </w:r>
      <w:r w:rsidRPr="00D43281">
        <w:rPr>
          <w:rFonts w:ascii="Times New Roman" w:hAnsi="Times New Roman" w:cs="Times New Roman"/>
          <w:color w:val="000000" w:themeColor="text1"/>
          <w:sz w:val="24"/>
          <w:szCs w:val="24"/>
          <w:lang w:val="ru-MD"/>
        </w:rPr>
        <w:t xml:space="preserve">и убытки в случае </w:t>
      </w:r>
      <w:r w:rsidR="00013260" w:rsidRPr="00D43281">
        <w:rPr>
          <w:rFonts w:ascii="Times New Roman" w:hAnsi="Times New Roman" w:cs="Times New Roman"/>
          <w:color w:val="000000" w:themeColor="text1"/>
          <w:sz w:val="24"/>
          <w:szCs w:val="24"/>
          <w:lang w:val="ru-MD"/>
        </w:rPr>
        <w:t xml:space="preserve">невозврата </w:t>
      </w:r>
      <w:r w:rsidRPr="00D43281">
        <w:rPr>
          <w:rFonts w:ascii="Times New Roman" w:hAnsi="Times New Roman" w:cs="Times New Roman"/>
          <w:color w:val="000000" w:themeColor="text1"/>
          <w:sz w:val="24"/>
          <w:szCs w:val="24"/>
          <w:lang w:val="ru-MD"/>
        </w:rPr>
        <w:t xml:space="preserve">таким образом, который Национальный банк Молдовы считает надежным, можно использовать оценку вероятности </w:t>
      </w:r>
      <w:r w:rsidR="00D905EC" w:rsidRPr="00D43281">
        <w:rPr>
          <w:rFonts w:ascii="Times New Roman" w:hAnsi="Times New Roman" w:cs="Times New Roman"/>
          <w:color w:val="000000" w:themeColor="text1"/>
          <w:sz w:val="24"/>
          <w:szCs w:val="24"/>
          <w:lang w:val="ru-MD"/>
        </w:rPr>
        <w:t>невозврата.</w:t>
      </w:r>
    </w:p>
    <w:p w14:paraId="591694CE" w14:textId="44624E47" w:rsidR="004A2955" w:rsidRPr="00D43281" w:rsidRDefault="00013260" w:rsidP="00146E4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MD"/>
        </w:rPr>
        <w:t xml:space="preserve">В случае подверженности, покрываемой необеспеченной кредитной защитой, банк, использующий собственные оценки LGD в соответствии с пунктами 4–7 для сопоставимых прямых подверженностей перед поставщиком защиты, может признать необеспеченную кредитную защиту </w:t>
      </w:r>
      <w:r w:rsidRPr="00D43281">
        <w:rPr>
          <w:rFonts w:ascii="Times New Roman" w:hAnsi="Times New Roman" w:cs="Times New Roman"/>
          <w:color w:val="000000" w:themeColor="text1"/>
          <w:sz w:val="24"/>
          <w:szCs w:val="24"/>
          <w:lang w:val="rm-CH"/>
        </w:rPr>
        <w:t xml:space="preserve">в LGD в соответствии с пунктами </w:t>
      </w:r>
      <w:proofErr w:type="gramStart"/>
      <w:r w:rsidR="00361916">
        <w:rPr>
          <w:rFonts w:ascii="Times New Roman" w:hAnsi="Times New Roman" w:cs="Times New Roman"/>
          <w:color w:val="000000" w:themeColor="text1"/>
          <w:sz w:val="24"/>
          <w:szCs w:val="24"/>
          <w:lang w:val="rm-CH"/>
        </w:rPr>
        <w:t>220</w:t>
      </w:r>
      <w:r w:rsidRPr="00D43281">
        <w:rPr>
          <w:rFonts w:ascii="Times New Roman" w:hAnsi="Times New Roman" w:cs="Times New Roman"/>
          <w:color w:val="000000" w:themeColor="text1"/>
          <w:sz w:val="24"/>
          <w:szCs w:val="24"/>
          <w:lang w:val="rm-CH"/>
        </w:rPr>
        <w:t>-</w:t>
      </w:r>
      <w:r w:rsidR="00361916">
        <w:rPr>
          <w:rFonts w:ascii="Times New Roman" w:hAnsi="Times New Roman" w:cs="Times New Roman"/>
          <w:color w:val="000000" w:themeColor="text1"/>
          <w:sz w:val="24"/>
          <w:szCs w:val="24"/>
          <w:lang w:val="rm-CH"/>
        </w:rPr>
        <w:t>230</w:t>
      </w:r>
      <w:proofErr w:type="gramEnd"/>
      <w:r w:rsidR="00230BE8" w:rsidRPr="00D43281">
        <w:rPr>
          <w:rFonts w:ascii="Times New Roman" w:hAnsi="Times New Roman" w:cs="Times New Roman"/>
          <w:color w:val="000000" w:themeColor="text1"/>
          <w:sz w:val="24"/>
          <w:szCs w:val="24"/>
          <w:lang w:val="ro-RO"/>
        </w:rPr>
        <w:t>.</w:t>
      </w:r>
    </w:p>
    <w:p w14:paraId="64963E9E" w14:textId="5BEE5749" w:rsidR="006469DB" w:rsidRPr="00D43281" w:rsidRDefault="00BA7B2E" w:rsidP="006469DB">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Подчасть</w:t>
      </w:r>
      <w:r w:rsidR="006469DB" w:rsidRPr="00D43281">
        <w:rPr>
          <w:rFonts w:ascii="Times New Roman" w:hAnsi="Times New Roman" w:cs="Times New Roman"/>
          <w:b/>
          <w:bCs/>
          <w:i/>
          <w:iCs/>
          <w:color w:val="000000" w:themeColor="text1"/>
          <w:sz w:val="24"/>
          <w:szCs w:val="24"/>
          <w:lang w:val="ro-RO"/>
        </w:rPr>
        <w:t xml:space="preserve"> 2</w:t>
      </w:r>
    </w:p>
    <w:p w14:paraId="7F1987F1" w14:textId="24DCC445" w:rsidR="004A2955" w:rsidRPr="00D43281" w:rsidRDefault="007B166C" w:rsidP="006469DB">
      <w:pPr>
        <w:pStyle w:val="ListParagraph"/>
        <w:shd w:val="clear" w:color="auto" w:fill="FFFFFF"/>
        <w:tabs>
          <w:tab w:val="left" w:pos="0"/>
          <w:tab w:val="left" w:pos="567"/>
        </w:tabs>
        <w:spacing w:before="60" w:after="0" w:line="240" w:lineRule="auto"/>
        <w:ind w:left="567"/>
        <w:jc w:val="center"/>
        <w:rPr>
          <w:rFonts w:ascii="Times New Roman" w:hAnsi="Times New Roman" w:cs="Times New Roman"/>
          <w:color w:val="000000" w:themeColor="text1"/>
          <w:sz w:val="24"/>
          <w:szCs w:val="24"/>
          <w:lang w:val="ro-RO"/>
        </w:rPr>
      </w:pPr>
      <w:r w:rsidRPr="00D43281">
        <w:rPr>
          <w:rFonts w:ascii="Times New Roman" w:hAnsi="Times New Roman" w:cs="Times New Roman"/>
          <w:b/>
          <w:bCs/>
          <w:i/>
          <w:iCs/>
          <w:color w:val="000000" w:themeColor="text1"/>
          <w:sz w:val="24"/>
          <w:szCs w:val="24"/>
          <w:lang w:val="ru-RU"/>
        </w:rPr>
        <w:t>Убытки в случае невозврата</w:t>
      </w:r>
    </w:p>
    <w:p w14:paraId="71B89DAD" w14:textId="3B8EB0C2" w:rsidR="005F3553" w:rsidRPr="00D43281" w:rsidRDefault="00765007"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Банки предоставляют собственные оценки LGD с соблюдением требований, предусмотренных в главе VI, и с разрешения Национального банка Молдовы, выданного в соответствии с пунктами 4–7. В случае риска обесценения приобретенных требований используется значение LGD, равное 100 %. Если банк может достоверно разложить свои оценки ожидаемого убытка по риску обесценения приобретенных требований на PD и LGD, банк может использовать собственные оценки LGD</w:t>
      </w:r>
      <w:r w:rsidR="005F3553" w:rsidRPr="00D43281">
        <w:rPr>
          <w:rFonts w:ascii="Times New Roman" w:hAnsi="Times New Roman" w:cs="Times New Roman"/>
          <w:color w:val="000000" w:themeColor="text1"/>
          <w:sz w:val="24"/>
          <w:szCs w:val="24"/>
          <w:lang w:val="ru-MD"/>
        </w:rPr>
        <w:t>.</w:t>
      </w:r>
    </w:p>
    <w:p w14:paraId="5285F79F" w14:textId="2A729340" w:rsidR="005F3553" w:rsidRPr="00D43281" w:rsidRDefault="00765007"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Банки, использующие собственные оценки LGD в соответствии с пунктами 4–7 для сопоставимых прямых </w:t>
      </w:r>
      <w:r w:rsidR="00CF726C" w:rsidRPr="00D43281">
        <w:rPr>
          <w:rFonts w:ascii="Times New Roman" w:hAnsi="Times New Roman" w:cs="Times New Roman"/>
          <w:color w:val="000000" w:themeColor="text1"/>
          <w:sz w:val="24"/>
          <w:szCs w:val="24"/>
          <w:lang w:val="ru-MD"/>
        </w:rPr>
        <w:t>подверженностей</w:t>
      </w:r>
      <w:r w:rsidRPr="00D43281">
        <w:rPr>
          <w:rFonts w:ascii="Times New Roman" w:hAnsi="Times New Roman" w:cs="Times New Roman"/>
          <w:color w:val="000000" w:themeColor="text1"/>
          <w:sz w:val="24"/>
          <w:szCs w:val="24"/>
          <w:lang w:val="ru-MD"/>
        </w:rPr>
        <w:t xml:space="preserve"> перед поставщиком защиты, могут учитывать нефинансовую кредитную защиту в LGD в соответствии с пунктами 22</w:t>
      </w:r>
      <w:r w:rsidR="0083039A" w:rsidRPr="00BB1E28">
        <w:rPr>
          <w:rFonts w:ascii="Times New Roman" w:hAnsi="Times New Roman" w:cs="Times New Roman"/>
          <w:color w:val="000000" w:themeColor="text1"/>
          <w:sz w:val="24"/>
          <w:szCs w:val="24"/>
          <w:lang w:val="ru-RU"/>
        </w:rPr>
        <w:t>0</w:t>
      </w:r>
      <w:r w:rsidRPr="00D43281">
        <w:rPr>
          <w:rFonts w:ascii="Times New Roman" w:hAnsi="Times New Roman" w:cs="Times New Roman"/>
          <w:color w:val="000000" w:themeColor="text1"/>
          <w:sz w:val="24"/>
          <w:szCs w:val="24"/>
          <w:lang w:val="ru-MD"/>
        </w:rPr>
        <w:t>–23</w:t>
      </w:r>
      <w:r w:rsidR="0083039A" w:rsidRPr="00BB1E28">
        <w:rPr>
          <w:rFonts w:ascii="Times New Roman" w:hAnsi="Times New Roman" w:cs="Times New Roman"/>
          <w:color w:val="000000" w:themeColor="text1"/>
          <w:sz w:val="24"/>
          <w:szCs w:val="24"/>
          <w:lang w:val="ru-RU"/>
        </w:rPr>
        <w:t>0</w:t>
      </w:r>
      <w:r w:rsidR="005F3553" w:rsidRPr="00D43281">
        <w:rPr>
          <w:rFonts w:ascii="Times New Roman" w:hAnsi="Times New Roman" w:cs="Times New Roman"/>
          <w:color w:val="000000" w:themeColor="text1"/>
          <w:sz w:val="24"/>
          <w:szCs w:val="24"/>
          <w:lang w:val="ru-MD"/>
        </w:rPr>
        <w:t>.</w:t>
      </w:r>
    </w:p>
    <w:p w14:paraId="7AD89BDA" w14:textId="0887CFED" w:rsidR="005F3553" w:rsidRPr="00D43281" w:rsidRDefault="00CF726C" w:rsidP="00963F4C">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12" w:name="_Ref215230992"/>
      <w:r w:rsidRPr="00D43281">
        <w:rPr>
          <w:rFonts w:ascii="Times New Roman" w:hAnsi="Times New Roman" w:cs="Times New Roman"/>
          <w:color w:val="000000" w:themeColor="text1"/>
          <w:sz w:val="24"/>
          <w:szCs w:val="24"/>
          <w:lang w:val="rm-CH"/>
        </w:rPr>
        <w:t>исключительно в целях расчета взвешенных по риску сумм подверженностей и сумм ожидаемых убытков, связанных подверженностями</w:t>
      </w:r>
      <w:r w:rsidR="00495A3B" w:rsidRPr="00D43281">
        <w:rPr>
          <w:rFonts w:ascii="Times New Roman" w:hAnsi="Times New Roman" w:cs="Times New Roman"/>
          <w:color w:val="000000" w:themeColor="text1"/>
          <w:sz w:val="24"/>
          <w:szCs w:val="24"/>
          <w:lang w:val="ru-RU"/>
        </w:rPr>
        <w:t xml:space="preserve"> ритейл</w:t>
      </w:r>
      <w:r w:rsidRPr="00D43281">
        <w:rPr>
          <w:rFonts w:ascii="Times New Roman" w:hAnsi="Times New Roman" w:cs="Times New Roman"/>
          <w:color w:val="000000" w:themeColor="text1"/>
          <w:sz w:val="24"/>
          <w:szCs w:val="24"/>
          <w:lang w:val="rm-CH"/>
        </w:rPr>
        <w:t xml:space="preserve">, в частности в значении подпункта </w:t>
      </w:r>
      <w:r w:rsidR="00495A3B" w:rsidRPr="00D43281">
        <w:rPr>
          <w:rFonts w:ascii="Times New Roman" w:hAnsi="Times New Roman" w:cs="Times New Roman"/>
          <w:color w:val="000000" w:themeColor="text1"/>
          <w:sz w:val="24"/>
          <w:szCs w:val="24"/>
          <w:lang w:val="ru-RU"/>
        </w:rPr>
        <w:t>80.2</w:t>
      </w:r>
      <w:r w:rsidRPr="00D43281">
        <w:rPr>
          <w:rFonts w:ascii="Times New Roman" w:hAnsi="Times New Roman" w:cs="Times New Roman"/>
          <w:color w:val="000000" w:themeColor="text1"/>
          <w:sz w:val="24"/>
          <w:szCs w:val="24"/>
          <w:lang w:val="rm-CH"/>
        </w:rPr>
        <w:t xml:space="preserve">, пунктов 89–93 и пунктов 94, 98–99 и 102, значения LGD, которые используются для каждой подверженности в качестве входных данных в формуле расчета взвешенных по риску сумм подверженностей и ожидаемых убытков, не ниже значений минимального порога LGD, представленных в таблице № </w:t>
      </w:r>
      <w:r w:rsidR="002E713D" w:rsidRPr="00D43281">
        <w:rPr>
          <w:rFonts w:ascii="Times New Roman" w:hAnsi="Times New Roman" w:cs="Times New Roman"/>
          <w:color w:val="000000" w:themeColor="text1"/>
          <w:sz w:val="24"/>
          <w:szCs w:val="24"/>
          <w:lang w:val="ru-RU"/>
        </w:rPr>
        <w:t>4</w:t>
      </w:r>
      <w:r w:rsidRPr="00D43281">
        <w:rPr>
          <w:rFonts w:ascii="Times New Roman" w:hAnsi="Times New Roman" w:cs="Times New Roman"/>
          <w:color w:val="000000" w:themeColor="text1"/>
          <w:sz w:val="24"/>
          <w:szCs w:val="24"/>
          <w:lang w:val="rm-CH"/>
        </w:rPr>
        <w:t>, рассчитанных в соответствии с пункт</w:t>
      </w:r>
      <w:r w:rsidR="002E713D" w:rsidRPr="00D43281">
        <w:rPr>
          <w:rFonts w:ascii="Times New Roman" w:hAnsi="Times New Roman" w:cs="Times New Roman"/>
          <w:color w:val="000000" w:themeColor="text1"/>
          <w:sz w:val="24"/>
          <w:szCs w:val="24"/>
          <w:lang w:val="ru-RU"/>
        </w:rPr>
        <w:t>ом 137</w:t>
      </w:r>
      <w:r w:rsidR="005F3553" w:rsidRPr="00D43281">
        <w:rPr>
          <w:rFonts w:ascii="Times New Roman" w:hAnsi="Times New Roman" w:cs="Times New Roman"/>
          <w:color w:val="000000" w:themeColor="text1"/>
          <w:sz w:val="24"/>
          <w:szCs w:val="24"/>
          <w:lang w:val="ro-RO"/>
        </w:rPr>
        <w:t>:</w:t>
      </w:r>
      <w:bookmarkEnd w:id="112"/>
    </w:p>
    <w:p w14:paraId="5DB23168" w14:textId="78ED3AAF" w:rsidR="005F3553" w:rsidRPr="00D43281" w:rsidRDefault="002E713D" w:rsidP="00885416">
      <w:pPr>
        <w:pStyle w:val="ListParagraph"/>
        <w:shd w:val="clear" w:color="auto" w:fill="FFFFFF"/>
        <w:tabs>
          <w:tab w:val="left" w:pos="0"/>
          <w:tab w:val="left" w:pos="567"/>
        </w:tabs>
        <w:spacing w:before="120" w:after="120" w:line="240" w:lineRule="auto"/>
        <w:ind w:left="0"/>
        <w:contextualSpacing w:val="0"/>
        <w:jc w:val="right"/>
        <w:rPr>
          <w:rFonts w:ascii="Times New Roman" w:hAnsi="Times New Roman" w:cs="Times New Roman"/>
          <w:i/>
          <w:iCs/>
          <w:color w:val="000000" w:themeColor="text1"/>
          <w:sz w:val="24"/>
          <w:szCs w:val="24"/>
          <w:lang w:val="ro-RO"/>
        </w:rPr>
      </w:pPr>
      <w:r w:rsidRPr="00D43281">
        <w:rPr>
          <w:rFonts w:ascii="Times New Roman" w:hAnsi="Times New Roman" w:cs="Times New Roman"/>
          <w:i/>
          <w:iCs/>
          <w:color w:val="000000" w:themeColor="text1"/>
          <w:sz w:val="24"/>
          <w:szCs w:val="24"/>
          <w:lang w:val="ru-RU"/>
        </w:rPr>
        <w:t xml:space="preserve">Таблица № </w:t>
      </w:r>
      <w:r w:rsidR="00885416" w:rsidRPr="00D43281">
        <w:rPr>
          <w:rFonts w:ascii="Times New Roman" w:hAnsi="Times New Roman" w:cs="Times New Roman"/>
          <w:i/>
          <w:iCs/>
          <w:color w:val="000000" w:themeColor="text1"/>
          <w:sz w:val="24"/>
          <w:szCs w:val="24"/>
          <w:lang w:val="ro-RO"/>
        </w:rPr>
        <w:t>4</w:t>
      </w:r>
    </w:p>
    <w:tbl>
      <w:tblPr>
        <w:tblW w:w="9338" w:type="dxa"/>
        <w:jc w:val="center"/>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007"/>
        <w:gridCol w:w="1426"/>
        <w:gridCol w:w="3479"/>
        <w:gridCol w:w="1426"/>
      </w:tblGrid>
      <w:tr w:rsidR="00885416" w:rsidRPr="00D43281" w14:paraId="128658E6" w14:textId="77777777" w:rsidTr="00885416">
        <w:trPr>
          <w:jc w:val="center"/>
        </w:trPr>
        <w:tc>
          <w:tcPr>
            <w:tcW w:w="0" w:type="auto"/>
            <w:gridSpan w:val="4"/>
            <w:tcBorders>
              <w:top w:val="outset" w:sz="6" w:space="0" w:color="auto"/>
              <w:left w:val="outset" w:sz="6" w:space="0" w:color="auto"/>
              <w:bottom w:val="outset" w:sz="6" w:space="0" w:color="auto"/>
              <w:right w:val="outset" w:sz="6" w:space="0" w:color="auto"/>
            </w:tcBorders>
            <w:hideMark/>
          </w:tcPr>
          <w:p w14:paraId="6C5EF914" w14:textId="5C5146F6" w:rsidR="00885416" w:rsidRPr="00D43281" w:rsidRDefault="002E713D">
            <w:pPr>
              <w:pStyle w:val="tbl-norm"/>
              <w:spacing w:before="60" w:beforeAutospacing="0" w:after="60" w:afterAutospacing="0" w:line="312" w:lineRule="atLeast"/>
              <w:jc w:val="both"/>
              <w:rPr>
                <w:b/>
                <w:bCs/>
                <w:lang w:val="ru-RU"/>
              </w:rPr>
            </w:pPr>
            <w:r w:rsidRPr="00D43281">
              <w:rPr>
                <w:b/>
                <w:bCs/>
                <w:lang w:val="ru-RU"/>
              </w:rPr>
              <w:t xml:space="preserve">Минимальные пороги </w:t>
            </w:r>
            <w:r w:rsidR="00885416" w:rsidRPr="00D43281">
              <w:rPr>
                <w:b/>
                <w:bCs/>
                <w:lang w:val="ru-RU"/>
              </w:rPr>
              <w:t>LGD (</w:t>
            </w:r>
            <w:proofErr w:type="spellStart"/>
            <w:r w:rsidR="00885416" w:rsidRPr="00D43281">
              <w:rPr>
                <w:b/>
                <w:bCs/>
                <w:lang w:val="ru-RU"/>
              </w:rPr>
              <w:t>LGD</w:t>
            </w:r>
            <w:r w:rsidR="00885416" w:rsidRPr="00D43281">
              <w:rPr>
                <w:rStyle w:val="subscript"/>
                <w:b/>
                <w:bCs/>
                <w:vertAlign w:val="subscript"/>
                <w:lang w:val="ru-RU"/>
              </w:rPr>
              <w:t>floor</w:t>
            </w:r>
            <w:proofErr w:type="spellEnd"/>
            <w:r w:rsidR="00885416" w:rsidRPr="00D43281">
              <w:rPr>
                <w:b/>
                <w:bCs/>
                <w:lang w:val="ru-RU"/>
              </w:rPr>
              <w:t xml:space="preserve">) </w:t>
            </w:r>
            <w:r w:rsidRPr="00D43281">
              <w:rPr>
                <w:b/>
                <w:bCs/>
                <w:lang w:val="ru-RU"/>
              </w:rPr>
              <w:t>для подверженностей ритейл</w:t>
            </w:r>
          </w:p>
        </w:tc>
      </w:tr>
      <w:tr w:rsidR="004D4ED9" w:rsidRPr="00D43281" w14:paraId="0D466138" w14:textId="77777777" w:rsidTr="00885416">
        <w:trPr>
          <w:jc w:val="center"/>
        </w:trPr>
        <w:tc>
          <w:tcPr>
            <w:tcW w:w="0" w:type="auto"/>
            <w:gridSpan w:val="2"/>
            <w:tcBorders>
              <w:top w:val="outset" w:sz="6" w:space="0" w:color="auto"/>
              <w:left w:val="outset" w:sz="6" w:space="0" w:color="auto"/>
              <w:bottom w:val="outset" w:sz="6" w:space="0" w:color="auto"/>
              <w:right w:val="outset" w:sz="6" w:space="0" w:color="auto"/>
            </w:tcBorders>
            <w:hideMark/>
          </w:tcPr>
          <w:p w14:paraId="470D20EF" w14:textId="1E258C30" w:rsidR="00885416" w:rsidRPr="00D43281" w:rsidRDefault="004C1480">
            <w:pPr>
              <w:pStyle w:val="tbl-norm"/>
              <w:spacing w:before="60" w:beforeAutospacing="0" w:after="60" w:afterAutospacing="0" w:line="312" w:lineRule="atLeast"/>
              <w:jc w:val="both"/>
              <w:rPr>
                <w:b/>
                <w:bCs/>
              </w:rPr>
            </w:pPr>
            <w:r w:rsidRPr="00D43281">
              <w:rPr>
                <w:b/>
                <w:bCs/>
                <w:lang w:val="ru-RU"/>
              </w:rPr>
              <w:t xml:space="preserve">Подверженность без </w:t>
            </w:r>
            <w:r w:rsidR="00885416" w:rsidRPr="00D43281">
              <w:rPr>
                <w:b/>
                <w:bCs/>
              </w:rPr>
              <w:t>FCP (LGD</w:t>
            </w:r>
            <w:r w:rsidR="00885416" w:rsidRPr="00D43281">
              <w:rPr>
                <w:rStyle w:val="subscript"/>
                <w:b/>
                <w:bCs/>
                <w:vertAlign w:val="subscript"/>
              </w:rPr>
              <w:t>U-</w:t>
            </w:r>
            <w:proofErr w:type="spellStart"/>
            <w:r w:rsidR="00885416" w:rsidRPr="00D43281">
              <w:rPr>
                <w:rStyle w:val="subscript"/>
                <w:b/>
                <w:bCs/>
                <w:vertAlign w:val="subscript"/>
              </w:rPr>
              <w:t>floor</w:t>
            </w:r>
            <w:proofErr w:type="spellEnd"/>
            <w:r w:rsidR="00885416" w:rsidRPr="00D43281">
              <w:rPr>
                <w:b/>
                <w:bCs/>
              </w:rPr>
              <w:t>)</w:t>
            </w:r>
          </w:p>
        </w:tc>
        <w:tc>
          <w:tcPr>
            <w:tcW w:w="0" w:type="auto"/>
            <w:gridSpan w:val="2"/>
            <w:tcBorders>
              <w:top w:val="outset" w:sz="6" w:space="0" w:color="auto"/>
              <w:left w:val="outset" w:sz="6" w:space="0" w:color="auto"/>
              <w:bottom w:val="outset" w:sz="6" w:space="0" w:color="auto"/>
              <w:right w:val="outset" w:sz="6" w:space="0" w:color="auto"/>
            </w:tcBorders>
            <w:hideMark/>
          </w:tcPr>
          <w:p w14:paraId="5DB53F33" w14:textId="73D4175E" w:rsidR="00885416" w:rsidRPr="00D43281" w:rsidRDefault="004C1480">
            <w:pPr>
              <w:pStyle w:val="tbl-norm"/>
              <w:spacing w:before="60" w:beforeAutospacing="0" w:after="60" w:afterAutospacing="0" w:line="312" w:lineRule="atLeast"/>
              <w:jc w:val="both"/>
              <w:rPr>
                <w:b/>
                <w:bCs/>
              </w:rPr>
            </w:pPr>
            <w:r w:rsidRPr="00D43281">
              <w:rPr>
                <w:b/>
                <w:bCs/>
                <w:lang w:val="ru-RU"/>
              </w:rPr>
              <w:t>Подверженность, обеспеченная</w:t>
            </w:r>
            <w:r w:rsidR="00885416" w:rsidRPr="00D43281">
              <w:rPr>
                <w:b/>
                <w:bCs/>
              </w:rPr>
              <w:t> FCP (LGD</w:t>
            </w:r>
            <w:r w:rsidR="00885416" w:rsidRPr="00D43281">
              <w:rPr>
                <w:rStyle w:val="subscript"/>
                <w:b/>
                <w:bCs/>
                <w:vertAlign w:val="subscript"/>
              </w:rPr>
              <w:t>S-</w:t>
            </w:r>
            <w:proofErr w:type="spellStart"/>
            <w:r w:rsidR="00885416" w:rsidRPr="00D43281">
              <w:rPr>
                <w:rStyle w:val="subscript"/>
                <w:b/>
                <w:bCs/>
                <w:vertAlign w:val="subscript"/>
              </w:rPr>
              <w:t>floor</w:t>
            </w:r>
            <w:proofErr w:type="spellEnd"/>
            <w:r w:rsidR="00885416" w:rsidRPr="00D43281">
              <w:rPr>
                <w:b/>
                <w:bCs/>
              </w:rPr>
              <w:t>)</w:t>
            </w:r>
          </w:p>
        </w:tc>
      </w:tr>
      <w:tr w:rsidR="004D4ED9" w:rsidRPr="00D43281" w14:paraId="521C9B37" w14:textId="77777777" w:rsidTr="00885416">
        <w:trPr>
          <w:jc w:val="center"/>
        </w:trPr>
        <w:tc>
          <w:tcPr>
            <w:tcW w:w="0" w:type="auto"/>
            <w:tcBorders>
              <w:top w:val="outset" w:sz="6" w:space="0" w:color="auto"/>
              <w:left w:val="outset" w:sz="6" w:space="0" w:color="auto"/>
              <w:bottom w:val="outset" w:sz="6" w:space="0" w:color="auto"/>
              <w:right w:val="outset" w:sz="6" w:space="0" w:color="auto"/>
            </w:tcBorders>
            <w:hideMark/>
          </w:tcPr>
          <w:p w14:paraId="600C6514" w14:textId="17776CE5" w:rsidR="00786F2E" w:rsidRPr="00D43281" w:rsidRDefault="00786F2E" w:rsidP="007E5631">
            <w:pPr>
              <w:pStyle w:val="tbl-norm"/>
              <w:spacing w:before="0" w:beforeAutospacing="0" w:after="0" w:afterAutospacing="0" w:line="312" w:lineRule="atLeast"/>
              <w:ind w:left="97" w:right="121"/>
              <w:jc w:val="both"/>
              <w:rPr>
                <w:lang w:val="ru-MD"/>
              </w:rPr>
            </w:pPr>
            <w:r w:rsidRPr="00D43281">
              <w:rPr>
                <w:color w:val="000000" w:themeColor="text1"/>
                <w:lang w:val="ru-MD"/>
              </w:rPr>
              <w:t>Подверженность ритейл,</w:t>
            </w:r>
            <w:r w:rsidRPr="00D43281">
              <w:rPr>
                <w:lang w:val="ru-MD"/>
              </w:rPr>
              <w:t xml:space="preserve"> обеспеченная жилой недвижимостью</w:t>
            </w:r>
          </w:p>
        </w:tc>
        <w:tc>
          <w:tcPr>
            <w:tcW w:w="0" w:type="auto"/>
            <w:tcBorders>
              <w:top w:val="outset" w:sz="6" w:space="0" w:color="auto"/>
              <w:left w:val="outset" w:sz="6" w:space="0" w:color="auto"/>
              <w:bottom w:val="outset" w:sz="6" w:space="0" w:color="auto"/>
              <w:right w:val="outset" w:sz="6" w:space="0" w:color="auto"/>
            </w:tcBorders>
            <w:hideMark/>
          </w:tcPr>
          <w:p w14:paraId="568E91E5" w14:textId="6398D87A" w:rsidR="00786F2E" w:rsidRPr="00D43281" w:rsidRDefault="004D4ED9" w:rsidP="007E5631">
            <w:pPr>
              <w:pStyle w:val="tbl-norm"/>
              <w:spacing w:before="0" w:beforeAutospacing="0" w:after="0" w:afterAutospacing="0" w:line="312" w:lineRule="atLeast"/>
              <w:rPr>
                <w:lang w:val="ru-RU"/>
              </w:rPr>
            </w:pPr>
            <w:r w:rsidRPr="00D43281">
              <w:rPr>
                <w:lang w:val="ru-RU"/>
              </w:rPr>
              <w:t>не применяется</w:t>
            </w:r>
          </w:p>
        </w:tc>
        <w:tc>
          <w:tcPr>
            <w:tcW w:w="0" w:type="auto"/>
            <w:tcBorders>
              <w:top w:val="outset" w:sz="6" w:space="0" w:color="auto"/>
              <w:left w:val="outset" w:sz="6" w:space="0" w:color="auto"/>
              <w:bottom w:val="outset" w:sz="6" w:space="0" w:color="auto"/>
              <w:right w:val="outset" w:sz="6" w:space="0" w:color="auto"/>
            </w:tcBorders>
            <w:hideMark/>
          </w:tcPr>
          <w:p w14:paraId="367FF208" w14:textId="081BBE61" w:rsidR="00786F2E" w:rsidRPr="00D43281" w:rsidRDefault="00786F2E" w:rsidP="007E5631">
            <w:pPr>
              <w:pStyle w:val="tbl-norm"/>
              <w:spacing w:before="0" w:beforeAutospacing="0" w:after="0" w:afterAutospacing="0" w:line="312" w:lineRule="atLeast"/>
              <w:ind w:left="121" w:right="51"/>
              <w:jc w:val="both"/>
            </w:pPr>
            <w:r w:rsidRPr="00D43281">
              <w:rPr>
                <w:color w:val="000000" w:themeColor="text1"/>
                <w:lang w:val="ru-MD"/>
              </w:rPr>
              <w:t>Подверженность ритейл,</w:t>
            </w:r>
            <w:r w:rsidRPr="00D43281">
              <w:rPr>
                <w:lang w:val="ru-MD"/>
              </w:rPr>
              <w:t xml:space="preserve"> обеспеченная жилой недвижимостью</w:t>
            </w:r>
          </w:p>
        </w:tc>
        <w:tc>
          <w:tcPr>
            <w:tcW w:w="0" w:type="auto"/>
            <w:tcBorders>
              <w:top w:val="outset" w:sz="6" w:space="0" w:color="auto"/>
              <w:left w:val="outset" w:sz="6" w:space="0" w:color="auto"/>
              <w:bottom w:val="outset" w:sz="6" w:space="0" w:color="auto"/>
              <w:right w:val="outset" w:sz="6" w:space="0" w:color="auto"/>
            </w:tcBorders>
            <w:hideMark/>
          </w:tcPr>
          <w:p w14:paraId="6574EFB3" w14:textId="77777777" w:rsidR="00786F2E" w:rsidRPr="00D43281" w:rsidRDefault="00786F2E" w:rsidP="00F06EB6">
            <w:pPr>
              <w:pStyle w:val="tbl-norm"/>
              <w:spacing w:before="120" w:beforeAutospacing="0" w:after="0" w:afterAutospacing="0" w:line="312" w:lineRule="atLeast"/>
              <w:jc w:val="both"/>
            </w:pPr>
            <w:r w:rsidRPr="00D43281">
              <w:t>5 %</w:t>
            </w:r>
          </w:p>
        </w:tc>
      </w:tr>
      <w:tr w:rsidR="004D4ED9" w:rsidRPr="00D43281" w14:paraId="5056C261" w14:textId="77777777" w:rsidTr="00885416">
        <w:trPr>
          <w:jc w:val="center"/>
        </w:trPr>
        <w:tc>
          <w:tcPr>
            <w:tcW w:w="0" w:type="auto"/>
            <w:tcBorders>
              <w:top w:val="outset" w:sz="6" w:space="0" w:color="auto"/>
              <w:left w:val="outset" w:sz="6" w:space="0" w:color="auto"/>
              <w:bottom w:val="outset" w:sz="6" w:space="0" w:color="auto"/>
              <w:right w:val="outset" w:sz="6" w:space="0" w:color="auto"/>
            </w:tcBorders>
            <w:hideMark/>
          </w:tcPr>
          <w:p w14:paraId="2E7B6A1E" w14:textId="77777777" w:rsidR="00786F2E" w:rsidRPr="00D43281" w:rsidRDefault="00786F2E" w:rsidP="007E5631">
            <w:pPr>
              <w:pStyle w:val="tbl-norm"/>
              <w:spacing w:before="0" w:beforeAutospacing="0" w:after="0" w:afterAutospacing="0" w:line="312" w:lineRule="atLeast"/>
              <w:jc w:val="both"/>
            </w:pPr>
            <w:r w:rsidRPr="00D43281">
              <w:t>QRRE</w:t>
            </w:r>
          </w:p>
        </w:tc>
        <w:tc>
          <w:tcPr>
            <w:tcW w:w="0" w:type="auto"/>
            <w:tcBorders>
              <w:top w:val="outset" w:sz="6" w:space="0" w:color="auto"/>
              <w:left w:val="outset" w:sz="6" w:space="0" w:color="auto"/>
              <w:bottom w:val="outset" w:sz="6" w:space="0" w:color="auto"/>
              <w:right w:val="outset" w:sz="6" w:space="0" w:color="auto"/>
            </w:tcBorders>
            <w:hideMark/>
          </w:tcPr>
          <w:p w14:paraId="4FA2D245" w14:textId="77777777" w:rsidR="00786F2E" w:rsidRPr="00D43281" w:rsidRDefault="00786F2E" w:rsidP="007E5631">
            <w:pPr>
              <w:pStyle w:val="tbl-norm"/>
              <w:spacing w:before="0" w:beforeAutospacing="0" w:after="0" w:afterAutospacing="0" w:line="312" w:lineRule="atLeast"/>
              <w:jc w:val="both"/>
            </w:pPr>
            <w:r w:rsidRPr="00D43281">
              <w:t>50 %</w:t>
            </w:r>
          </w:p>
        </w:tc>
        <w:tc>
          <w:tcPr>
            <w:tcW w:w="0" w:type="auto"/>
            <w:tcBorders>
              <w:top w:val="outset" w:sz="6" w:space="0" w:color="auto"/>
              <w:left w:val="outset" w:sz="6" w:space="0" w:color="auto"/>
              <w:bottom w:val="outset" w:sz="6" w:space="0" w:color="auto"/>
              <w:right w:val="outset" w:sz="6" w:space="0" w:color="auto"/>
            </w:tcBorders>
            <w:hideMark/>
          </w:tcPr>
          <w:p w14:paraId="346984F2" w14:textId="77777777" w:rsidR="00786F2E" w:rsidRPr="00D43281" w:rsidRDefault="00786F2E" w:rsidP="00F06EB6">
            <w:pPr>
              <w:pStyle w:val="tbl-norm"/>
              <w:spacing w:before="0" w:beforeAutospacing="0" w:after="0" w:afterAutospacing="0" w:line="312" w:lineRule="atLeast"/>
              <w:jc w:val="both"/>
            </w:pPr>
            <w:r w:rsidRPr="00D43281">
              <w:t>QRRE</w:t>
            </w:r>
          </w:p>
        </w:tc>
        <w:tc>
          <w:tcPr>
            <w:tcW w:w="0" w:type="auto"/>
            <w:tcBorders>
              <w:top w:val="outset" w:sz="6" w:space="0" w:color="auto"/>
              <w:left w:val="outset" w:sz="6" w:space="0" w:color="auto"/>
              <w:bottom w:val="outset" w:sz="6" w:space="0" w:color="auto"/>
              <w:right w:val="outset" w:sz="6" w:space="0" w:color="auto"/>
            </w:tcBorders>
            <w:hideMark/>
          </w:tcPr>
          <w:p w14:paraId="4F1E169F" w14:textId="5CC95A6B" w:rsidR="00786F2E" w:rsidRPr="00D43281" w:rsidRDefault="004D4ED9" w:rsidP="00F06EB6">
            <w:pPr>
              <w:pStyle w:val="tbl-norm"/>
              <w:spacing w:before="0" w:beforeAutospacing="0" w:after="0" w:afterAutospacing="0" w:line="312" w:lineRule="atLeast"/>
              <w:jc w:val="both"/>
            </w:pPr>
            <w:r w:rsidRPr="00D43281">
              <w:rPr>
                <w:lang w:val="ru-RU"/>
              </w:rPr>
              <w:t>не применяется</w:t>
            </w:r>
          </w:p>
        </w:tc>
      </w:tr>
      <w:tr w:rsidR="004D4ED9" w:rsidRPr="00D43281" w14:paraId="19B95E23" w14:textId="77777777" w:rsidTr="00885416">
        <w:trPr>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2B6BDD4E" w14:textId="2B435C5C" w:rsidR="00786F2E" w:rsidRPr="00D43281" w:rsidRDefault="00661409" w:rsidP="007E5631">
            <w:pPr>
              <w:pStyle w:val="tbl-norm"/>
              <w:spacing w:before="0" w:beforeAutospacing="0" w:after="0" w:afterAutospacing="0" w:line="312" w:lineRule="atLeast"/>
              <w:ind w:left="97"/>
              <w:jc w:val="both"/>
            </w:pPr>
            <w:r w:rsidRPr="00D43281">
              <w:rPr>
                <w:color w:val="000000" w:themeColor="text1"/>
                <w:lang w:val="ru-MD"/>
              </w:rPr>
              <w:t>Другая подверженность ритейл</w:t>
            </w:r>
          </w:p>
        </w:tc>
        <w:tc>
          <w:tcPr>
            <w:tcW w:w="0" w:type="auto"/>
            <w:vMerge w:val="restart"/>
            <w:tcBorders>
              <w:top w:val="outset" w:sz="6" w:space="0" w:color="auto"/>
              <w:left w:val="outset" w:sz="6" w:space="0" w:color="auto"/>
              <w:bottom w:val="outset" w:sz="6" w:space="0" w:color="auto"/>
              <w:right w:val="outset" w:sz="6" w:space="0" w:color="auto"/>
            </w:tcBorders>
            <w:hideMark/>
          </w:tcPr>
          <w:p w14:paraId="6415B98C" w14:textId="77777777" w:rsidR="00786F2E" w:rsidRPr="00D43281" w:rsidRDefault="00786F2E" w:rsidP="007E5631">
            <w:pPr>
              <w:pStyle w:val="tbl-norm"/>
              <w:spacing w:before="0" w:beforeAutospacing="0" w:after="0" w:afterAutospacing="0" w:line="312" w:lineRule="atLeast"/>
              <w:jc w:val="both"/>
            </w:pPr>
            <w:r w:rsidRPr="00D43281">
              <w:t>30 %</w:t>
            </w:r>
          </w:p>
        </w:tc>
        <w:tc>
          <w:tcPr>
            <w:tcW w:w="0" w:type="auto"/>
            <w:tcBorders>
              <w:top w:val="outset" w:sz="6" w:space="0" w:color="auto"/>
              <w:left w:val="outset" w:sz="6" w:space="0" w:color="auto"/>
              <w:bottom w:val="outset" w:sz="6" w:space="0" w:color="auto"/>
              <w:right w:val="outset" w:sz="6" w:space="0" w:color="auto"/>
            </w:tcBorders>
            <w:hideMark/>
          </w:tcPr>
          <w:p w14:paraId="307C2340" w14:textId="66632016" w:rsidR="00786F2E" w:rsidRPr="00D43281" w:rsidRDefault="00661409" w:rsidP="007E5631">
            <w:pPr>
              <w:pStyle w:val="tbl-norm"/>
              <w:spacing w:before="0" w:beforeAutospacing="0" w:after="0" w:afterAutospacing="0" w:line="312" w:lineRule="atLeast"/>
              <w:ind w:left="76" w:right="51"/>
              <w:jc w:val="both"/>
              <w:rPr>
                <w:lang w:val="ru-RU"/>
              </w:rPr>
            </w:pPr>
            <w:r w:rsidRPr="00D43281">
              <w:rPr>
                <w:color w:val="000000" w:themeColor="text1"/>
                <w:lang w:val="ru-RU"/>
              </w:rPr>
              <w:t>Другая подверженность ритейл,</w:t>
            </w:r>
            <w:r w:rsidRPr="00D43281">
              <w:rPr>
                <w:lang w:val="ru-RU"/>
              </w:rPr>
              <w:t xml:space="preserve"> обеспеченная финансовыми гарантиями</w:t>
            </w:r>
          </w:p>
        </w:tc>
        <w:tc>
          <w:tcPr>
            <w:tcW w:w="0" w:type="auto"/>
            <w:tcBorders>
              <w:top w:val="outset" w:sz="6" w:space="0" w:color="auto"/>
              <w:left w:val="outset" w:sz="6" w:space="0" w:color="auto"/>
              <w:bottom w:val="outset" w:sz="6" w:space="0" w:color="auto"/>
              <w:right w:val="outset" w:sz="6" w:space="0" w:color="auto"/>
            </w:tcBorders>
            <w:hideMark/>
          </w:tcPr>
          <w:p w14:paraId="25611D9A" w14:textId="77777777" w:rsidR="00786F2E" w:rsidRPr="00D43281" w:rsidRDefault="00786F2E" w:rsidP="00F06EB6">
            <w:pPr>
              <w:pStyle w:val="tbl-norm"/>
              <w:spacing w:before="120" w:beforeAutospacing="0" w:after="0" w:afterAutospacing="0" w:line="312" w:lineRule="atLeast"/>
              <w:jc w:val="both"/>
            </w:pPr>
            <w:r w:rsidRPr="00D43281">
              <w:t>0 %</w:t>
            </w:r>
          </w:p>
        </w:tc>
      </w:tr>
      <w:tr w:rsidR="004D4ED9" w:rsidRPr="00D43281" w14:paraId="1B7C8CDF" w14:textId="77777777" w:rsidTr="00885416">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75D193D" w14:textId="77777777" w:rsidR="00786F2E" w:rsidRPr="00D43281" w:rsidRDefault="00786F2E" w:rsidP="007E5631">
            <w:pPr>
              <w:spacing w:after="0"/>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9E1FA9" w14:textId="77777777" w:rsidR="00786F2E" w:rsidRPr="00D43281" w:rsidRDefault="00786F2E" w:rsidP="007E5631">
            <w:pPr>
              <w:spacing w:after="0"/>
              <w:rPr>
                <w:sz w:val="24"/>
                <w:szCs w:val="24"/>
              </w:rPr>
            </w:pPr>
          </w:p>
        </w:tc>
        <w:tc>
          <w:tcPr>
            <w:tcW w:w="0" w:type="auto"/>
            <w:tcBorders>
              <w:top w:val="outset" w:sz="6" w:space="0" w:color="auto"/>
              <w:left w:val="outset" w:sz="6" w:space="0" w:color="auto"/>
              <w:bottom w:val="outset" w:sz="6" w:space="0" w:color="auto"/>
              <w:right w:val="outset" w:sz="6" w:space="0" w:color="auto"/>
            </w:tcBorders>
            <w:hideMark/>
          </w:tcPr>
          <w:p w14:paraId="523182D1" w14:textId="31C03D5F" w:rsidR="00786F2E" w:rsidRPr="00D43281" w:rsidRDefault="009D09D8" w:rsidP="007E5631">
            <w:pPr>
              <w:pStyle w:val="tbl-norm"/>
              <w:spacing w:before="0" w:beforeAutospacing="0" w:after="0" w:afterAutospacing="0" w:line="312" w:lineRule="atLeast"/>
              <w:ind w:left="76" w:right="66" w:firstLine="15"/>
              <w:jc w:val="both"/>
              <w:rPr>
                <w:lang w:val="ru-RU"/>
              </w:rPr>
            </w:pPr>
            <w:r w:rsidRPr="00D43281">
              <w:rPr>
                <w:color w:val="000000" w:themeColor="text1"/>
                <w:lang w:val="ru-RU"/>
              </w:rPr>
              <w:t>Другая подверженность ритейл,</w:t>
            </w:r>
            <w:r w:rsidRPr="00D43281">
              <w:rPr>
                <w:lang w:val="ru-RU"/>
              </w:rPr>
              <w:t xml:space="preserve"> обеспеченная долговыми обязательствами</w:t>
            </w:r>
          </w:p>
        </w:tc>
        <w:tc>
          <w:tcPr>
            <w:tcW w:w="0" w:type="auto"/>
            <w:tcBorders>
              <w:top w:val="outset" w:sz="6" w:space="0" w:color="auto"/>
              <w:left w:val="outset" w:sz="6" w:space="0" w:color="auto"/>
              <w:bottom w:val="outset" w:sz="6" w:space="0" w:color="auto"/>
              <w:right w:val="outset" w:sz="6" w:space="0" w:color="auto"/>
            </w:tcBorders>
            <w:hideMark/>
          </w:tcPr>
          <w:p w14:paraId="50745F65" w14:textId="77777777" w:rsidR="00786F2E" w:rsidRPr="00D43281" w:rsidRDefault="00786F2E" w:rsidP="00F06EB6">
            <w:pPr>
              <w:pStyle w:val="tbl-norm"/>
              <w:spacing w:before="120" w:beforeAutospacing="0" w:after="0" w:afterAutospacing="0" w:line="312" w:lineRule="atLeast"/>
              <w:jc w:val="both"/>
            </w:pPr>
            <w:r w:rsidRPr="00D43281">
              <w:t>10 %</w:t>
            </w:r>
          </w:p>
        </w:tc>
      </w:tr>
      <w:tr w:rsidR="004D4ED9" w:rsidRPr="00D43281" w14:paraId="4AD06B55" w14:textId="77777777" w:rsidTr="00885416">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434FF10" w14:textId="77777777" w:rsidR="00786F2E" w:rsidRPr="00D43281" w:rsidRDefault="00786F2E" w:rsidP="007E5631">
            <w:pPr>
              <w:spacing w:after="0"/>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029B731" w14:textId="77777777" w:rsidR="00786F2E" w:rsidRPr="00D43281" w:rsidRDefault="00786F2E" w:rsidP="007E5631">
            <w:pPr>
              <w:spacing w:after="0"/>
              <w:rPr>
                <w:sz w:val="24"/>
                <w:szCs w:val="24"/>
              </w:rPr>
            </w:pPr>
          </w:p>
        </w:tc>
        <w:tc>
          <w:tcPr>
            <w:tcW w:w="0" w:type="auto"/>
            <w:tcBorders>
              <w:top w:val="outset" w:sz="6" w:space="0" w:color="auto"/>
              <w:left w:val="outset" w:sz="6" w:space="0" w:color="auto"/>
              <w:bottom w:val="outset" w:sz="6" w:space="0" w:color="auto"/>
              <w:right w:val="outset" w:sz="6" w:space="0" w:color="auto"/>
            </w:tcBorders>
            <w:hideMark/>
          </w:tcPr>
          <w:p w14:paraId="6B65BD59" w14:textId="2F4D5E36" w:rsidR="00786F2E" w:rsidRPr="00D43281" w:rsidRDefault="00661409" w:rsidP="007E5631">
            <w:pPr>
              <w:pStyle w:val="tbl-norm"/>
              <w:spacing w:before="0" w:beforeAutospacing="0" w:after="0" w:afterAutospacing="0" w:line="312" w:lineRule="atLeast"/>
              <w:ind w:left="76" w:right="66" w:firstLine="15"/>
              <w:jc w:val="both"/>
              <w:rPr>
                <w:lang w:val="ru-RU"/>
              </w:rPr>
            </w:pPr>
            <w:r w:rsidRPr="00D43281">
              <w:rPr>
                <w:color w:val="000000" w:themeColor="text1"/>
                <w:lang w:val="ru-RU"/>
              </w:rPr>
              <w:t>Другая подверженность ритейл,</w:t>
            </w:r>
            <w:r w:rsidRPr="00D43281">
              <w:rPr>
                <w:lang w:val="ru-RU"/>
              </w:rPr>
              <w:t xml:space="preserve"> </w:t>
            </w:r>
            <w:r w:rsidR="009D09D8" w:rsidRPr="00D43281">
              <w:rPr>
                <w:lang w:val="ru-RU"/>
              </w:rPr>
              <w:t>обеспеченная жилой и коммерческой недвижимостью</w:t>
            </w:r>
          </w:p>
        </w:tc>
        <w:tc>
          <w:tcPr>
            <w:tcW w:w="0" w:type="auto"/>
            <w:tcBorders>
              <w:top w:val="outset" w:sz="6" w:space="0" w:color="auto"/>
              <w:left w:val="outset" w:sz="6" w:space="0" w:color="auto"/>
              <w:bottom w:val="outset" w:sz="6" w:space="0" w:color="auto"/>
              <w:right w:val="outset" w:sz="6" w:space="0" w:color="auto"/>
            </w:tcBorders>
            <w:hideMark/>
          </w:tcPr>
          <w:p w14:paraId="391DE469" w14:textId="77777777" w:rsidR="00786F2E" w:rsidRPr="00D43281" w:rsidRDefault="00786F2E" w:rsidP="00F06EB6">
            <w:pPr>
              <w:pStyle w:val="tbl-norm"/>
              <w:spacing w:before="120" w:beforeAutospacing="0" w:after="0" w:afterAutospacing="0" w:line="312" w:lineRule="atLeast"/>
              <w:jc w:val="both"/>
            </w:pPr>
            <w:r w:rsidRPr="00D43281">
              <w:t>10 %</w:t>
            </w:r>
          </w:p>
        </w:tc>
      </w:tr>
      <w:tr w:rsidR="004D4ED9" w:rsidRPr="00D43281" w14:paraId="4A9BD79E" w14:textId="77777777" w:rsidTr="00885416">
        <w:trPr>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8B277E4" w14:textId="77777777" w:rsidR="00786F2E" w:rsidRPr="00D43281" w:rsidRDefault="00786F2E" w:rsidP="007E5631">
            <w:pPr>
              <w:spacing w:after="0"/>
              <w:rPr>
                <w:sz w:val="24"/>
                <w:szCs w:val="24"/>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1AE41C4" w14:textId="77777777" w:rsidR="00786F2E" w:rsidRPr="00D43281" w:rsidRDefault="00786F2E" w:rsidP="007E5631">
            <w:pPr>
              <w:spacing w:after="0"/>
              <w:rPr>
                <w:sz w:val="24"/>
                <w:szCs w:val="24"/>
              </w:rPr>
            </w:pPr>
          </w:p>
        </w:tc>
        <w:tc>
          <w:tcPr>
            <w:tcW w:w="0" w:type="auto"/>
            <w:tcBorders>
              <w:top w:val="outset" w:sz="6" w:space="0" w:color="auto"/>
              <w:left w:val="outset" w:sz="6" w:space="0" w:color="auto"/>
              <w:bottom w:val="outset" w:sz="6" w:space="0" w:color="auto"/>
              <w:right w:val="outset" w:sz="6" w:space="0" w:color="auto"/>
            </w:tcBorders>
            <w:hideMark/>
          </w:tcPr>
          <w:p w14:paraId="051DD12D" w14:textId="4B15090E" w:rsidR="00786F2E" w:rsidRPr="00D43281" w:rsidRDefault="004D4ED9" w:rsidP="007E5631">
            <w:pPr>
              <w:pStyle w:val="tbl-norm"/>
              <w:spacing w:before="0" w:beforeAutospacing="0" w:after="0" w:afterAutospacing="0" w:line="312" w:lineRule="atLeast"/>
              <w:ind w:left="76" w:right="66" w:firstLine="15"/>
              <w:jc w:val="both"/>
              <w:rPr>
                <w:lang w:val="ru-RU"/>
              </w:rPr>
            </w:pPr>
            <w:r w:rsidRPr="00D43281">
              <w:rPr>
                <w:color w:val="000000" w:themeColor="text1"/>
                <w:lang w:val="ru-RU"/>
              </w:rPr>
              <w:t>Другая подверженность ритейл,</w:t>
            </w:r>
            <w:r w:rsidRPr="00D43281">
              <w:rPr>
                <w:lang w:val="ru-RU"/>
              </w:rPr>
              <w:t xml:space="preserve"> обеспеченная иным вещным обеспечением</w:t>
            </w:r>
          </w:p>
        </w:tc>
        <w:tc>
          <w:tcPr>
            <w:tcW w:w="0" w:type="auto"/>
            <w:tcBorders>
              <w:top w:val="outset" w:sz="6" w:space="0" w:color="auto"/>
              <w:left w:val="outset" w:sz="6" w:space="0" w:color="auto"/>
              <w:bottom w:val="outset" w:sz="6" w:space="0" w:color="auto"/>
              <w:right w:val="outset" w:sz="6" w:space="0" w:color="auto"/>
            </w:tcBorders>
            <w:hideMark/>
          </w:tcPr>
          <w:p w14:paraId="63EE5E12" w14:textId="77777777" w:rsidR="00786F2E" w:rsidRPr="00D43281" w:rsidRDefault="00786F2E" w:rsidP="00F06EB6">
            <w:pPr>
              <w:pStyle w:val="tbl-norm"/>
              <w:spacing w:before="120" w:beforeAutospacing="0" w:after="0" w:afterAutospacing="0" w:line="312" w:lineRule="atLeast"/>
              <w:jc w:val="both"/>
            </w:pPr>
            <w:r w:rsidRPr="00D43281">
              <w:t>15 %</w:t>
            </w:r>
          </w:p>
        </w:tc>
      </w:tr>
    </w:tbl>
    <w:p w14:paraId="334D1216" w14:textId="70E76B4E" w:rsidR="005F3553" w:rsidRPr="00D43281" w:rsidRDefault="004A3341" w:rsidP="00E90A53">
      <w:pPr>
        <w:pStyle w:val="ListParagraph"/>
        <w:numPr>
          <w:ilvl w:val="0"/>
          <w:numId w:val="2"/>
        </w:numPr>
        <w:shd w:val="clear" w:color="auto" w:fill="FFFFFF"/>
        <w:tabs>
          <w:tab w:val="left" w:pos="0"/>
          <w:tab w:val="left" w:pos="567"/>
        </w:tabs>
        <w:spacing w:before="120" w:after="0" w:line="240" w:lineRule="auto"/>
        <w:ind w:firstLine="567"/>
        <w:contextualSpacing w:val="0"/>
        <w:jc w:val="both"/>
        <w:rPr>
          <w:rFonts w:ascii="Times New Roman" w:hAnsi="Times New Roman" w:cs="Times New Roman"/>
          <w:color w:val="000000" w:themeColor="text1"/>
          <w:sz w:val="24"/>
          <w:szCs w:val="24"/>
          <w:lang w:val="ru-RU"/>
        </w:rPr>
      </w:pPr>
      <w:bookmarkStart w:id="113" w:name="_Ref215233205"/>
      <w:r w:rsidRPr="00D43281">
        <w:rPr>
          <w:rFonts w:ascii="Times New Roman" w:hAnsi="Times New Roman" w:cs="Times New Roman"/>
          <w:color w:val="000000" w:themeColor="text1"/>
          <w:sz w:val="24"/>
          <w:szCs w:val="24"/>
          <w:lang w:val="ru-RU"/>
        </w:rPr>
        <w:t>Для целей пункта 136 применяются следующие положения</w:t>
      </w:r>
      <w:r w:rsidR="005F3553" w:rsidRPr="00D43281">
        <w:rPr>
          <w:rFonts w:ascii="Times New Roman" w:hAnsi="Times New Roman" w:cs="Times New Roman"/>
          <w:color w:val="000000" w:themeColor="text1"/>
          <w:sz w:val="24"/>
          <w:szCs w:val="24"/>
          <w:lang w:val="ru-RU"/>
        </w:rPr>
        <w:t>:</w:t>
      </w:r>
      <w:bookmarkEnd w:id="113"/>
    </w:p>
    <w:p w14:paraId="7038BCDA" w14:textId="5D406A1F" w:rsidR="005F3553" w:rsidRPr="00D43281" w:rsidRDefault="00F35F22" w:rsidP="005B38EA">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Минимальные пороговые значения LGD, указанные в таблице № 4, применяются к подверженностям, обеспеченным финансируемой кредитной защитой, если такая защита соответствует требованиям настоящего регламента</w:t>
      </w:r>
      <w:r w:rsidR="005F3553" w:rsidRPr="00D43281">
        <w:rPr>
          <w:rFonts w:ascii="Times New Roman" w:hAnsi="Times New Roman" w:cs="Times New Roman"/>
          <w:color w:val="000000" w:themeColor="text1"/>
          <w:sz w:val="24"/>
          <w:szCs w:val="24"/>
          <w:lang w:val="ru-MD"/>
        </w:rPr>
        <w:t>;</w:t>
      </w:r>
    </w:p>
    <w:p w14:paraId="184004CE" w14:textId="0B341BDB" w:rsidR="005F3553" w:rsidRPr="00D43281" w:rsidRDefault="00615609" w:rsidP="00D6656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o-RO"/>
        </w:rPr>
        <w:t xml:space="preserve"> </w:t>
      </w:r>
      <w:r w:rsidRPr="00D43281">
        <w:rPr>
          <w:rFonts w:ascii="Times New Roman" w:hAnsi="Times New Roman" w:cs="Times New Roman"/>
          <w:color w:val="000000" w:themeColor="text1"/>
          <w:sz w:val="24"/>
          <w:szCs w:val="24"/>
          <w:lang w:val="ru-RU"/>
        </w:rPr>
        <w:t xml:space="preserve">За исключением подверженностей ритейл, обеспеченных жилой недвижимостью, минимальные пороговые значения LGD, указанные в таблице </w:t>
      </w:r>
      <w:r w:rsidR="002F50AE" w:rsidRPr="00D43281">
        <w:rPr>
          <w:rFonts w:ascii="Times New Roman" w:hAnsi="Times New Roman" w:cs="Times New Roman"/>
          <w:color w:val="000000" w:themeColor="text1"/>
          <w:sz w:val="24"/>
          <w:szCs w:val="24"/>
          <w:lang w:val="ru-RU"/>
        </w:rPr>
        <w:t xml:space="preserve">№ </w:t>
      </w:r>
      <w:r w:rsidRPr="00D43281">
        <w:rPr>
          <w:rFonts w:ascii="Times New Roman" w:hAnsi="Times New Roman" w:cs="Times New Roman"/>
          <w:color w:val="000000" w:themeColor="text1"/>
          <w:sz w:val="24"/>
          <w:szCs w:val="24"/>
          <w:lang w:val="ru-RU"/>
        </w:rPr>
        <w:t xml:space="preserve">4, применяются к </w:t>
      </w:r>
      <w:r w:rsidR="002F50AE" w:rsidRPr="00D43281">
        <w:rPr>
          <w:rFonts w:ascii="Times New Roman" w:hAnsi="Times New Roman" w:cs="Times New Roman"/>
          <w:color w:val="000000" w:themeColor="text1"/>
          <w:sz w:val="24"/>
          <w:szCs w:val="24"/>
          <w:lang w:val="ru-RU"/>
        </w:rPr>
        <w:t>подверженностям</w:t>
      </w:r>
      <w:r w:rsidRPr="00D43281">
        <w:rPr>
          <w:rFonts w:ascii="Times New Roman" w:hAnsi="Times New Roman" w:cs="Times New Roman"/>
          <w:color w:val="000000" w:themeColor="text1"/>
          <w:sz w:val="24"/>
          <w:szCs w:val="24"/>
          <w:lang w:val="ru-RU"/>
        </w:rPr>
        <w:t>, полностью обеспеченным финансируемой кредитной защитой, если стоимость FCP после применения соответствующих корректировок волатильности в соответствии с пунктами 107</w:t>
      </w:r>
      <w:r w:rsidR="002F50AE" w:rsidRPr="00D43281">
        <w:rPr>
          <w:rFonts w:ascii="Times New Roman" w:hAnsi="Times New Roman" w:cs="Times New Roman"/>
          <w:color w:val="000000" w:themeColor="text1"/>
          <w:sz w:val="24"/>
          <w:szCs w:val="24"/>
          <w:vertAlign w:val="superscript"/>
          <w:lang w:val="ru-RU"/>
        </w:rPr>
        <w:t>6</w:t>
      </w:r>
      <w:r w:rsidRPr="00D43281">
        <w:rPr>
          <w:rFonts w:ascii="Times New Roman" w:hAnsi="Times New Roman" w:cs="Times New Roman"/>
          <w:color w:val="000000" w:themeColor="text1"/>
          <w:sz w:val="24"/>
          <w:szCs w:val="24"/>
          <w:lang w:val="ru-RU"/>
        </w:rPr>
        <w:t>-107</w:t>
      </w:r>
      <w:r w:rsidR="002F50AE" w:rsidRPr="00D43281">
        <w:rPr>
          <w:rFonts w:ascii="Times New Roman" w:hAnsi="Times New Roman" w:cs="Times New Roman"/>
          <w:color w:val="000000" w:themeColor="text1"/>
          <w:sz w:val="24"/>
          <w:szCs w:val="24"/>
          <w:vertAlign w:val="superscript"/>
          <w:lang w:val="ru-RU"/>
        </w:rPr>
        <w:t>10</w:t>
      </w:r>
      <w:r w:rsidRPr="00D43281">
        <w:rPr>
          <w:rFonts w:ascii="Times New Roman" w:hAnsi="Times New Roman" w:cs="Times New Roman"/>
          <w:color w:val="000000" w:themeColor="text1"/>
          <w:sz w:val="24"/>
          <w:szCs w:val="24"/>
          <w:lang w:val="ru-RU"/>
        </w:rPr>
        <w:t xml:space="preserve"> Регламента № 112/2018 равна или превышает стоимость базово</w:t>
      </w:r>
      <w:r w:rsidR="005B23BA" w:rsidRPr="00D43281">
        <w:rPr>
          <w:rFonts w:ascii="Times New Roman" w:hAnsi="Times New Roman" w:cs="Times New Roman"/>
          <w:color w:val="000000" w:themeColor="text1"/>
          <w:sz w:val="24"/>
          <w:szCs w:val="24"/>
          <w:lang w:val="ru-RU"/>
        </w:rPr>
        <w:t>й подверженности</w:t>
      </w:r>
      <w:r w:rsidRPr="00D43281">
        <w:rPr>
          <w:rFonts w:ascii="Times New Roman" w:hAnsi="Times New Roman" w:cs="Times New Roman"/>
          <w:color w:val="000000" w:themeColor="text1"/>
          <w:sz w:val="24"/>
          <w:szCs w:val="24"/>
          <w:lang w:val="ru-RU"/>
        </w:rPr>
        <w:t xml:space="preserve">; для целей применения соответствующих корректировок </w:t>
      </w:r>
      <w:proofErr w:type="spellStart"/>
      <w:r w:rsidRPr="00D43281">
        <w:rPr>
          <w:rFonts w:ascii="Times New Roman" w:hAnsi="Times New Roman" w:cs="Times New Roman"/>
          <w:color w:val="000000" w:themeColor="text1"/>
          <w:sz w:val="24"/>
          <w:szCs w:val="24"/>
          <w:lang w:val="ru-RU"/>
        </w:rPr>
        <w:t>Hc</w:t>
      </w:r>
      <w:proofErr w:type="spellEnd"/>
      <w:r w:rsidRPr="00D43281">
        <w:rPr>
          <w:rFonts w:ascii="Times New Roman" w:hAnsi="Times New Roman" w:cs="Times New Roman"/>
          <w:color w:val="000000" w:themeColor="text1"/>
          <w:sz w:val="24"/>
          <w:szCs w:val="24"/>
          <w:lang w:val="ru-RU"/>
        </w:rPr>
        <w:t xml:space="preserve"> и </w:t>
      </w:r>
      <w:proofErr w:type="spellStart"/>
      <w:r w:rsidRPr="00D43281">
        <w:rPr>
          <w:rFonts w:ascii="Times New Roman" w:hAnsi="Times New Roman" w:cs="Times New Roman"/>
          <w:color w:val="000000" w:themeColor="text1"/>
          <w:sz w:val="24"/>
          <w:szCs w:val="24"/>
          <w:lang w:val="ru-RU"/>
        </w:rPr>
        <w:t>Hfx</w:t>
      </w:r>
      <w:proofErr w:type="spellEnd"/>
      <w:r w:rsidRPr="00D43281">
        <w:rPr>
          <w:rFonts w:ascii="Times New Roman" w:hAnsi="Times New Roman" w:cs="Times New Roman"/>
          <w:color w:val="000000" w:themeColor="text1"/>
          <w:sz w:val="24"/>
          <w:szCs w:val="24"/>
          <w:lang w:val="ru-RU"/>
        </w:rPr>
        <w:t xml:space="preserve"> в соответствии с пунктами 107</w:t>
      </w:r>
      <w:r w:rsidR="005B23BA" w:rsidRPr="00D43281">
        <w:rPr>
          <w:rFonts w:ascii="Times New Roman" w:hAnsi="Times New Roman" w:cs="Times New Roman"/>
          <w:color w:val="000000" w:themeColor="text1"/>
          <w:sz w:val="24"/>
          <w:szCs w:val="24"/>
          <w:vertAlign w:val="superscript"/>
          <w:lang w:val="ru-RU"/>
        </w:rPr>
        <w:t>6</w:t>
      </w:r>
      <w:r w:rsidRPr="00D43281">
        <w:rPr>
          <w:rFonts w:ascii="Times New Roman" w:hAnsi="Times New Roman" w:cs="Times New Roman"/>
          <w:color w:val="000000" w:themeColor="text1"/>
          <w:sz w:val="24"/>
          <w:szCs w:val="24"/>
          <w:lang w:val="ru-RU"/>
        </w:rPr>
        <w:t>-107</w:t>
      </w:r>
      <w:r w:rsidR="005B23BA" w:rsidRPr="00D43281">
        <w:rPr>
          <w:rFonts w:ascii="Times New Roman" w:hAnsi="Times New Roman" w:cs="Times New Roman"/>
          <w:color w:val="000000" w:themeColor="text1"/>
          <w:sz w:val="24"/>
          <w:szCs w:val="24"/>
          <w:vertAlign w:val="superscript"/>
          <w:lang w:val="ru-RU"/>
        </w:rPr>
        <w:t>10</w:t>
      </w:r>
      <w:r w:rsidRPr="00D43281">
        <w:rPr>
          <w:rFonts w:ascii="Times New Roman" w:hAnsi="Times New Roman" w:cs="Times New Roman"/>
          <w:color w:val="000000" w:themeColor="text1"/>
          <w:sz w:val="24"/>
          <w:szCs w:val="24"/>
          <w:lang w:val="ru-RU"/>
        </w:rPr>
        <w:t xml:space="preserve"> Регламента № 112/2018 финансируемая кредитная защита соответствует требованиям настоящего </w:t>
      </w:r>
      <w:r w:rsidR="005B23BA" w:rsidRPr="00D43281">
        <w:rPr>
          <w:rFonts w:ascii="Times New Roman" w:hAnsi="Times New Roman" w:cs="Times New Roman"/>
          <w:color w:val="000000" w:themeColor="text1"/>
          <w:sz w:val="24"/>
          <w:szCs w:val="24"/>
          <w:lang w:val="ru-RU"/>
        </w:rPr>
        <w:t>р</w:t>
      </w:r>
      <w:r w:rsidRPr="00D43281">
        <w:rPr>
          <w:rFonts w:ascii="Times New Roman" w:hAnsi="Times New Roman" w:cs="Times New Roman"/>
          <w:color w:val="000000" w:themeColor="text1"/>
          <w:sz w:val="24"/>
          <w:szCs w:val="24"/>
          <w:lang w:val="ru-RU"/>
        </w:rPr>
        <w:t>егламента</w:t>
      </w:r>
      <w:r w:rsidR="005F3553" w:rsidRPr="00D43281">
        <w:rPr>
          <w:rFonts w:ascii="Times New Roman" w:hAnsi="Times New Roman" w:cs="Times New Roman"/>
          <w:color w:val="000000" w:themeColor="text1"/>
          <w:sz w:val="24"/>
          <w:szCs w:val="24"/>
          <w:lang w:val="ro-RO"/>
        </w:rPr>
        <w:t>;</w:t>
      </w:r>
    </w:p>
    <w:p w14:paraId="2BBC9C9A" w14:textId="23114742" w:rsidR="005F3553" w:rsidRPr="00D43281" w:rsidRDefault="009A543E" w:rsidP="009408D2">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За исключением подверженностей ритейл, обеспеченных жилой недвижимостью, минимальный порог LGD, применимый к подверженности, частично обеспеченной финансируемой кредитной защитой, рассчитывается в соответствии с формулой, изложенной в пунктах </w:t>
      </w:r>
      <w:r w:rsidR="000D1A6F" w:rsidRPr="00D43281">
        <w:rPr>
          <w:rFonts w:ascii="Times New Roman" w:hAnsi="Times New Roman" w:cs="Times New Roman"/>
          <w:color w:val="000000" w:themeColor="text1"/>
          <w:sz w:val="24"/>
          <w:szCs w:val="24"/>
          <w:lang w:val="ru-RU"/>
        </w:rPr>
        <w:t>119–121</w:t>
      </w:r>
      <w:r w:rsidR="005F3553" w:rsidRPr="00D43281">
        <w:rPr>
          <w:rFonts w:ascii="Times New Roman" w:hAnsi="Times New Roman" w:cs="Times New Roman"/>
          <w:color w:val="000000" w:themeColor="text1"/>
          <w:sz w:val="24"/>
          <w:szCs w:val="24"/>
          <w:lang w:val="ru-RU"/>
        </w:rPr>
        <w:t>;</w:t>
      </w:r>
    </w:p>
    <w:p w14:paraId="3C701CFF" w14:textId="691D45F2" w:rsidR="005F3553" w:rsidRPr="00D43281" w:rsidRDefault="000D1A6F" w:rsidP="009F493A">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Для подверженностей ритейл, обеспеченных жилой недвижимостью, применимый минимальный порог LGD установлен на уровне 5%, независимо от уровня обеспечения, предоставляемого жилой недвижимостью</w:t>
      </w:r>
      <w:r w:rsidR="005F3553" w:rsidRPr="00D43281">
        <w:rPr>
          <w:rFonts w:ascii="Times New Roman" w:hAnsi="Times New Roman" w:cs="Times New Roman"/>
          <w:color w:val="000000" w:themeColor="text1"/>
          <w:sz w:val="24"/>
          <w:szCs w:val="24"/>
          <w:lang w:val="ru-RU"/>
        </w:rPr>
        <w:t>.</w:t>
      </w:r>
    </w:p>
    <w:p w14:paraId="7C58F5A6" w14:textId="68E7697E" w:rsidR="004D0650" w:rsidRPr="00D43281" w:rsidRDefault="00181675" w:rsidP="00AF19D6">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14" w:name="_Ref215233775"/>
      <w:r w:rsidRPr="00D43281">
        <w:rPr>
          <w:rFonts w:ascii="Times New Roman" w:hAnsi="Times New Roman" w:cs="Times New Roman"/>
          <w:color w:val="000000" w:themeColor="text1"/>
          <w:sz w:val="24"/>
          <w:szCs w:val="24"/>
          <w:lang w:val="ru-RU"/>
        </w:rPr>
        <w:t>На основании данных, собранных в соответствии с приложением № 2</w:t>
      </w:r>
      <w:r w:rsidRPr="00D43281">
        <w:rPr>
          <w:rFonts w:ascii="Times New Roman" w:hAnsi="Times New Roman" w:cs="Times New Roman"/>
          <w:color w:val="000000" w:themeColor="text1"/>
          <w:sz w:val="24"/>
          <w:szCs w:val="24"/>
          <w:vertAlign w:val="superscript"/>
          <w:lang w:val="ru-RU"/>
        </w:rPr>
        <w:t>1</w:t>
      </w:r>
      <w:r w:rsidRPr="00D43281">
        <w:rPr>
          <w:rFonts w:ascii="Times New Roman" w:hAnsi="Times New Roman" w:cs="Times New Roman"/>
          <w:color w:val="000000" w:themeColor="text1"/>
          <w:sz w:val="24"/>
          <w:szCs w:val="24"/>
          <w:lang w:val="ru-RU"/>
        </w:rPr>
        <w:t xml:space="preserve"> к Регламенту 111/2018, и любых других соответствующих показателей, а также с учетом перспектив развития рынков недвижимости, Национальный банк Молдовы периодически, не реже одного раза в год, оценивает, являются ли установленные в пункте 136 пороговые значения LGD подходящими для </w:t>
      </w:r>
      <w:r w:rsidR="00375177" w:rsidRPr="00D43281">
        <w:rPr>
          <w:rFonts w:ascii="Times New Roman" w:hAnsi="Times New Roman" w:cs="Times New Roman"/>
          <w:color w:val="000000" w:themeColor="text1"/>
          <w:sz w:val="24"/>
          <w:szCs w:val="24"/>
          <w:lang w:val="ru-RU"/>
        </w:rPr>
        <w:t>подверженностей ритейл</w:t>
      </w:r>
      <w:r w:rsidRPr="00D43281">
        <w:rPr>
          <w:rFonts w:ascii="Times New Roman" w:hAnsi="Times New Roman" w:cs="Times New Roman"/>
          <w:color w:val="000000" w:themeColor="text1"/>
          <w:sz w:val="24"/>
          <w:szCs w:val="24"/>
          <w:lang w:val="ru-RU"/>
        </w:rPr>
        <w:t xml:space="preserve">, обеспеченных жилой недвижимостью, или других </w:t>
      </w:r>
      <w:r w:rsidR="00375177" w:rsidRPr="00D43281">
        <w:rPr>
          <w:rFonts w:ascii="Times New Roman" w:hAnsi="Times New Roman" w:cs="Times New Roman"/>
          <w:color w:val="000000" w:themeColor="text1"/>
          <w:sz w:val="24"/>
          <w:szCs w:val="24"/>
          <w:lang w:val="ru-RU"/>
        </w:rPr>
        <w:t>подверженностей ритейл</w:t>
      </w:r>
      <w:r w:rsidRPr="00D43281">
        <w:rPr>
          <w:rFonts w:ascii="Times New Roman" w:hAnsi="Times New Roman" w:cs="Times New Roman"/>
          <w:color w:val="000000" w:themeColor="text1"/>
          <w:sz w:val="24"/>
          <w:szCs w:val="24"/>
          <w:lang w:val="ru-RU"/>
        </w:rPr>
        <w:t>, обеспеченных жилой или коммерческой недвижимостью, расположенной на территории Республики Молдова</w:t>
      </w:r>
      <w:r w:rsidR="005F3553" w:rsidRPr="00D43281">
        <w:rPr>
          <w:rFonts w:ascii="Times New Roman" w:hAnsi="Times New Roman" w:cs="Times New Roman"/>
          <w:color w:val="000000" w:themeColor="text1"/>
          <w:sz w:val="24"/>
          <w:szCs w:val="24"/>
          <w:lang w:val="ro-RO"/>
        </w:rPr>
        <w:t>.</w:t>
      </w:r>
      <w:bookmarkEnd w:id="114"/>
    </w:p>
    <w:p w14:paraId="5BF6F6DE" w14:textId="7D98645B" w:rsidR="00CE32F0" w:rsidRPr="00D43281" w:rsidRDefault="00CE32F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15" w:name="_Ref215234124"/>
      <w:r w:rsidRPr="00D43281">
        <w:rPr>
          <w:rFonts w:ascii="Times New Roman" w:hAnsi="Times New Roman" w:cs="Times New Roman"/>
          <w:color w:val="000000" w:themeColor="text1"/>
          <w:sz w:val="24"/>
          <w:szCs w:val="24"/>
          <w:lang w:val="ru-MD"/>
        </w:rPr>
        <w:t>Если на основании оценки, указанной в пункте 138, Национальный банк Молдовы приходит к выводу, что минимальные значения LGD, указанные в пункте 136, не являются адекватными, и если он считает, что неадекватность минимальных значений LGD может оказать негативное влияние на текущую или будущую финансовую стабильность, он может установить более высокие минимальные значения LGD для этих подверженностей. Такие более высокие минимальные значения LGD могут также применяться к одному или нескольким сегментам недвижимости в рамках этих подверженностей.</w:t>
      </w:r>
    </w:p>
    <w:bookmarkEnd w:id="115"/>
    <w:p w14:paraId="3D7EEFFA" w14:textId="10C701A9" w:rsidR="005F3553" w:rsidRPr="00D43281" w:rsidRDefault="00177E0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В случаях, когда Национальный банк Молдовы устанавливает более высокие значения минимального порога LGD в соответствии с пунктами </w:t>
      </w:r>
      <w:r w:rsidR="001A6AA9" w:rsidRPr="00D43281">
        <w:rPr>
          <w:rFonts w:ascii="Times New Roman" w:hAnsi="Times New Roman" w:cs="Times New Roman"/>
          <w:color w:val="000000" w:themeColor="text1"/>
          <w:sz w:val="24"/>
          <w:szCs w:val="24"/>
          <w:lang w:val="ru-MD"/>
        </w:rPr>
        <w:t>138–139</w:t>
      </w:r>
      <w:r w:rsidRPr="00D43281">
        <w:rPr>
          <w:rFonts w:ascii="Times New Roman" w:hAnsi="Times New Roman" w:cs="Times New Roman"/>
          <w:color w:val="000000" w:themeColor="text1"/>
          <w:sz w:val="24"/>
          <w:szCs w:val="24"/>
          <w:lang w:val="ru-MD"/>
        </w:rPr>
        <w:t>, банкам предоставляется переходный период в шесть месяцев для их применения</w:t>
      </w:r>
      <w:r w:rsidR="005F3553" w:rsidRPr="00D43281">
        <w:rPr>
          <w:rFonts w:ascii="Times New Roman" w:hAnsi="Times New Roman" w:cs="Times New Roman"/>
          <w:color w:val="000000" w:themeColor="text1"/>
          <w:sz w:val="24"/>
          <w:szCs w:val="24"/>
          <w:lang w:val="ru-MD"/>
        </w:rPr>
        <w:t>.</w:t>
      </w:r>
    </w:p>
    <w:p w14:paraId="30928744" w14:textId="63127AA7" w:rsidR="00177E0E" w:rsidRPr="00D43281" w:rsidRDefault="00177E0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Банки должны применять более высокие минимальные значения убытков в случае невозврата, установленные властями государства-члена Европейского союза в соответствии с положениями, эквивалентными пунктам </w:t>
      </w:r>
      <w:r w:rsidR="001A6AA9" w:rsidRPr="00D43281">
        <w:rPr>
          <w:rFonts w:ascii="Times New Roman" w:hAnsi="Times New Roman" w:cs="Times New Roman"/>
          <w:color w:val="000000" w:themeColor="text1"/>
          <w:sz w:val="24"/>
          <w:szCs w:val="24"/>
          <w:lang w:val="ru-MD"/>
        </w:rPr>
        <w:t>138–139</w:t>
      </w:r>
      <w:r w:rsidRPr="00D43281">
        <w:rPr>
          <w:rFonts w:ascii="Times New Roman" w:hAnsi="Times New Roman" w:cs="Times New Roman"/>
          <w:color w:val="000000" w:themeColor="text1"/>
          <w:sz w:val="24"/>
          <w:szCs w:val="24"/>
          <w:lang w:val="ru-MD"/>
        </w:rPr>
        <w:t xml:space="preserve">, ко всем своим соответствующим </w:t>
      </w:r>
      <w:r w:rsidR="001A6AA9" w:rsidRPr="00D43281">
        <w:rPr>
          <w:rFonts w:ascii="Times New Roman" w:hAnsi="Times New Roman" w:cs="Times New Roman"/>
          <w:color w:val="000000" w:themeColor="text1"/>
          <w:sz w:val="24"/>
          <w:szCs w:val="24"/>
          <w:lang w:val="ru-MD"/>
        </w:rPr>
        <w:t>подверженностям</w:t>
      </w:r>
      <w:r w:rsidRPr="00D43281">
        <w:rPr>
          <w:rFonts w:ascii="Times New Roman" w:hAnsi="Times New Roman" w:cs="Times New Roman"/>
          <w:color w:val="000000" w:themeColor="text1"/>
          <w:sz w:val="24"/>
          <w:szCs w:val="24"/>
          <w:lang w:val="ru-MD"/>
        </w:rPr>
        <w:t>, обеспеченным ипотекой на жилую или коммерческую недвижимость, расположенную в одной или нескольких частях территории этого государства-члена Европейского союза.</w:t>
      </w:r>
    </w:p>
    <w:p w14:paraId="32847327" w14:textId="1D0614EC" w:rsidR="004C1231" w:rsidRPr="00D43281" w:rsidRDefault="001A6AA9" w:rsidP="004C1231">
      <w:pPr>
        <w:pStyle w:val="ListParagraph"/>
        <w:shd w:val="clear" w:color="auto" w:fill="FFFFFF"/>
        <w:tabs>
          <w:tab w:val="left" w:pos="0"/>
          <w:tab w:val="left" w:pos="567"/>
        </w:tabs>
        <w:spacing w:before="120" w:after="0" w:line="240" w:lineRule="auto"/>
        <w:ind w:left="0"/>
        <w:contextualSpacing w:val="0"/>
        <w:jc w:val="center"/>
        <w:rPr>
          <w:rFonts w:ascii="Times New Roman" w:hAnsi="Times New Roman" w:cs="Times New Roman"/>
          <w:b/>
          <w:bCs/>
          <w:color w:val="000000" w:themeColor="text1"/>
          <w:sz w:val="24"/>
          <w:szCs w:val="24"/>
          <w:lang w:val="ro-RO"/>
        </w:rPr>
      </w:pPr>
      <w:r w:rsidRPr="00D43281">
        <w:rPr>
          <w:rFonts w:ascii="Times New Roman" w:hAnsi="Times New Roman" w:cs="Times New Roman"/>
          <w:b/>
          <w:bCs/>
          <w:color w:val="000000" w:themeColor="text1"/>
          <w:sz w:val="24"/>
          <w:szCs w:val="24"/>
          <w:lang w:val="ru-RU"/>
        </w:rPr>
        <w:t>Глава</w:t>
      </w:r>
      <w:r w:rsidR="004C1231" w:rsidRPr="00D43281">
        <w:rPr>
          <w:rFonts w:ascii="Times New Roman" w:hAnsi="Times New Roman" w:cs="Times New Roman"/>
          <w:b/>
          <w:bCs/>
          <w:color w:val="000000" w:themeColor="text1"/>
          <w:sz w:val="24"/>
          <w:szCs w:val="24"/>
          <w:lang w:val="ro-RO"/>
        </w:rPr>
        <w:t xml:space="preserve"> V</w:t>
      </w:r>
    </w:p>
    <w:p w14:paraId="3E9EEC31" w14:textId="3D975FAD" w:rsidR="004C1231" w:rsidRPr="00BB1E28" w:rsidRDefault="001A6AA9" w:rsidP="005A39E6">
      <w:pPr>
        <w:pStyle w:val="ListParagraph"/>
        <w:spacing w:after="120" w:line="240" w:lineRule="auto"/>
        <w:ind w:left="0"/>
        <w:contextualSpacing w:val="0"/>
        <w:jc w:val="center"/>
        <w:rPr>
          <w:rFonts w:ascii="Times New Roman" w:hAnsi="Times New Roman" w:cs="Times New Roman"/>
          <w:color w:val="000000" w:themeColor="text1"/>
          <w:sz w:val="24"/>
          <w:szCs w:val="24"/>
          <w:lang w:val="ru-RU"/>
        </w:rPr>
      </w:pPr>
      <w:r w:rsidRPr="00D43281">
        <w:rPr>
          <w:rFonts w:ascii="Times New Roman" w:hAnsi="Times New Roman" w:cs="Times New Roman"/>
          <w:b/>
          <w:bCs/>
          <w:color w:val="000000" w:themeColor="text1"/>
          <w:sz w:val="24"/>
          <w:szCs w:val="24"/>
          <w:lang w:val="ru-MD"/>
        </w:rPr>
        <w:t xml:space="preserve">Стоимость </w:t>
      </w:r>
      <w:r w:rsidR="007C51D1" w:rsidRPr="00D43281">
        <w:rPr>
          <w:rFonts w:ascii="Times New Roman" w:hAnsi="Times New Roman" w:cs="Times New Roman"/>
          <w:b/>
          <w:bCs/>
          <w:color w:val="000000" w:themeColor="text1"/>
          <w:sz w:val="24"/>
          <w:szCs w:val="24"/>
          <w:lang w:val="ru-MD"/>
        </w:rPr>
        <w:t>подверженности -</w:t>
      </w:r>
      <w:r w:rsidR="005A39E6" w:rsidRPr="00D43281">
        <w:rPr>
          <w:rFonts w:ascii="Times New Roman" w:hAnsi="Times New Roman" w:cs="Times New Roman"/>
          <w:b/>
          <w:bCs/>
          <w:color w:val="000000" w:themeColor="text1"/>
          <w:sz w:val="24"/>
          <w:szCs w:val="24"/>
          <w:lang w:val="ru-MD"/>
        </w:rPr>
        <w:t xml:space="preserve"> </w:t>
      </w:r>
      <w:r w:rsidR="001A700E" w:rsidRPr="00D43281">
        <w:rPr>
          <w:rFonts w:ascii="Times New Roman" w:hAnsi="Times New Roman" w:cs="Times New Roman"/>
          <w:b/>
          <w:bCs/>
          <w:color w:val="000000" w:themeColor="text1"/>
          <w:sz w:val="24"/>
          <w:szCs w:val="24"/>
          <w:lang w:val="ru-MD"/>
        </w:rPr>
        <w:t>подверженности перед обществами</w:t>
      </w:r>
      <w:r w:rsidR="005A39E6" w:rsidRPr="00D43281">
        <w:rPr>
          <w:rFonts w:ascii="Times New Roman" w:hAnsi="Times New Roman" w:cs="Times New Roman"/>
          <w:b/>
          <w:bCs/>
          <w:color w:val="000000" w:themeColor="text1"/>
          <w:sz w:val="24"/>
          <w:szCs w:val="24"/>
          <w:lang w:val="ru-MD"/>
        </w:rPr>
        <w:t>,</w:t>
      </w:r>
      <w:r w:rsidR="001A700E" w:rsidRPr="00D43281">
        <w:rPr>
          <w:rFonts w:ascii="Times New Roman" w:hAnsi="Times New Roman" w:cs="Times New Roman"/>
          <w:b/>
          <w:bCs/>
          <w:color w:val="000000" w:themeColor="text1"/>
          <w:sz w:val="24"/>
          <w:szCs w:val="24"/>
          <w:lang w:val="ru-MD"/>
        </w:rPr>
        <w:t xml:space="preserve"> банками</w:t>
      </w:r>
      <w:r w:rsidR="005A39E6" w:rsidRPr="00D43281">
        <w:rPr>
          <w:rFonts w:ascii="Times New Roman" w:hAnsi="Times New Roman" w:cs="Times New Roman"/>
          <w:b/>
          <w:bCs/>
          <w:color w:val="000000" w:themeColor="text1"/>
          <w:sz w:val="24"/>
          <w:szCs w:val="24"/>
          <w:lang w:val="ru-MD"/>
        </w:rPr>
        <w:t>,</w:t>
      </w:r>
      <w:r w:rsidR="001A700E" w:rsidRPr="00D43281">
        <w:rPr>
          <w:rFonts w:ascii="Times New Roman" w:hAnsi="Times New Roman" w:cs="Times New Roman"/>
          <w:b/>
          <w:bCs/>
          <w:color w:val="000000" w:themeColor="text1"/>
          <w:sz w:val="24"/>
          <w:szCs w:val="24"/>
          <w:lang w:val="ru-MD"/>
        </w:rPr>
        <w:t xml:space="preserve"> центральными администрациями и центральными банками</w:t>
      </w:r>
      <w:r w:rsidR="005A39E6" w:rsidRPr="00D43281">
        <w:rPr>
          <w:rFonts w:ascii="Times New Roman" w:hAnsi="Times New Roman" w:cs="Times New Roman"/>
          <w:b/>
          <w:bCs/>
          <w:color w:val="000000" w:themeColor="text1"/>
          <w:sz w:val="24"/>
          <w:szCs w:val="24"/>
          <w:lang w:val="ru-MD"/>
        </w:rPr>
        <w:t>,</w:t>
      </w:r>
      <w:r w:rsidR="001A700E" w:rsidRPr="00D43281">
        <w:rPr>
          <w:rFonts w:ascii="Times New Roman" w:hAnsi="Times New Roman" w:cs="Times New Roman"/>
          <w:b/>
          <w:bCs/>
          <w:color w:val="000000" w:themeColor="text1"/>
          <w:sz w:val="24"/>
          <w:szCs w:val="24"/>
          <w:lang w:val="ru-MD"/>
        </w:rPr>
        <w:t xml:space="preserve"> региональными администрациями</w:t>
      </w:r>
      <w:r w:rsidR="005A39E6" w:rsidRPr="00D43281">
        <w:rPr>
          <w:rFonts w:ascii="Times New Roman" w:hAnsi="Times New Roman" w:cs="Times New Roman"/>
          <w:b/>
          <w:bCs/>
          <w:color w:val="000000" w:themeColor="text1"/>
          <w:sz w:val="24"/>
          <w:szCs w:val="24"/>
          <w:lang w:val="ru-MD"/>
        </w:rPr>
        <w:t>,</w:t>
      </w:r>
      <w:r w:rsidR="001A700E" w:rsidRPr="00D43281">
        <w:rPr>
          <w:rFonts w:ascii="Times New Roman" w:hAnsi="Times New Roman" w:cs="Times New Roman"/>
          <w:b/>
          <w:bCs/>
          <w:color w:val="000000" w:themeColor="text1"/>
          <w:sz w:val="24"/>
          <w:szCs w:val="24"/>
          <w:lang w:val="ru-MD"/>
        </w:rPr>
        <w:t xml:space="preserve"> местными органами и </w:t>
      </w:r>
      <w:r w:rsidR="00263777" w:rsidRPr="00D43281">
        <w:rPr>
          <w:rFonts w:ascii="Times New Roman" w:hAnsi="Times New Roman" w:cs="Times New Roman"/>
          <w:b/>
          <w:bCs/>
          <w:color w:val="000000" w:themeColor="text1"/>
          <w:sz w:val="24"/>
          <w:szCs w:val="24"/>
          <w:lang w:val="ru-MD"/>
        </w:rPr>
        <w:t>субъектами</w:t>
      </w:r>
      <w:r w:rsidR="001A700E" w:rsidRPr="00D43281">
        <w:rPr>
          <w:rFonts w:ascii="Times New Roman" w:hAnsi="Times New Roman" w:cs="Times New Roman"/>
          <w:b/>
          <w:bCs/>
          <w:color w:val="000000" w:themeColor="text1"/>
          <w:sz w:val="24"/>
          <w:szCs w:val="24"/>
          <w:lang w:val="ru-MD"/>
        </w:rPr>
        <w:t xml:space="preserve"> публичного сектора</w:t>
      </w:r>
      <w:r w:rsidR="005A39E6" w:rsidRPr="00D43281">
        <w:rPr>
          <w:rFonts w:ascii="Times New Roman" w:hAnsi="Times New Roman" w:cs="Times New Roman"/>
          <w:b/>
          <w:bCs/>
          <w:color w:val="000000" w:themeColor="text1"/>
          <w:sz w:val="24"/>
          <w:szCs w:val="24"/>
          <w:lang w:val="ru-MD"/>
        </w:rPr>
        <w:t xml:space="preserve">, </w:t>
      </w:r>
      <w:r w:rsidR="007C51D1" w:rsidRPr="00D43281">
        <w:rPr>
          <w:rFonts w:ascii="Times New Roman" w:hAnsi="Times New Roman" w:cs="Times New Roman"/>
          <w:b/>
          <w:bCs/>
          <w:color w:val="000000" w:themeColor="text1"/>
          <w:sz w:val="24"/>
          <w:szCs w:val="24"/>
          <w:lang w:val="ru-MD"/>
        </w:rPr>
        <w:t>подверженности ритейл и некредитные активы</w:t>
      </w:r>
    </w:p>
    <w:p w14:paraId="3E2DFF46" w14:textId="733E3AEC" w:rsidR="005A39E6" w:rsidRPr="00D43281" w:rsidRDefault="00794304"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16" w:name="_Ref215235438"/>
      <w:r w:rsidRPr="00D43281">
        <w:rPr>
          <w:rFonts w:ascii="Times New Roman" w:hAnsi="Times New Roman" w:cs="Times New Roman"/>
          <w:color w:val="000000" w:themeColor="text1"/>
          <w:sz w:val="24"/>
          <w:szCs w:val="24"/>
          <w:lang w:val="ru-RU"/>
        </w:rPr>
        <w:lastRenderedPageBreak/>
        <w:t>Если не указано иное, балансовая стоимость подверженностей, отраженных в балансе, определяется как балансовая стоимость, рассчитанная без учета корректировок кредитного риска</w:t>
      </w:r>
      <w:r w:rsidR="005A39E6" w:rsidRPr="00D43281">
        <w:rPr>
          <w:rFonts w:ascii="Times New Roman" w:hAnsi="Times New Roman" w:cs="Times New Roman"/>
          <w:color w:val="000000" w:themeColor="text1"/>
          <w:sz w:val="24"/>
          <w:szCs w:val="24"/>
          <w:lang w:val="ru-RU"/>
        </w:rPr>
        <w:t>.</w:t>
      </w:r>
      <w:bookmarkEnd w:id="116"/>
    </w:p>
    <w:p w14:paraId="05A6ED63" w14:textId="296254A9" w:rsidR="005A39E6" w:rsidRPr="00D43281" w:rsidRDefault="00AC2722"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Это правило также применяется к активам, приобретенным по цене, отличающейся от суммы задолженности</w:t>
      </w:r>
      <w:r w:rsidR="005A39E6" w:rsidRPr="00D43281">
        <w:rPr>
          <w:rFonts w:ascii="Times New Roman" w:hAnsi="Times New Roman" w:cs="Times New Roman"/>
          <w:color w:val="000000" w:themeColor="text1"/>
          <w:sz w:val="24"/>
          <w:szCs w:val="24"/>
          <w:lang w:val="ru-RU"/>
        </w:rPr>
        <w:t>.</w:t>
      </w:r>
    </w:p>
    <w:p w14:paraId="07DFD8DC" w14:textId="35677016" w:rsidR="005A39E6" w:rsidRPr="00D43281" w:rsidRDefault="00AC2722" w:rsidP="003216B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17" w:name="_Ref215235445"/>
      <w:r w:rsidRPr="00D43281">
        <w:rPr>
          <w:rFonts w:ascii="Times New Roman" w:hAnsi="Times New Roman" w:cs="Times New Roman"/>
          <w:color w:val="000000" w:themeColor="text1"/>
          <w:sz w:val="24"/>
          <w:szCs w:val="24"/>
          <w:lang w:val="ru-RU"/>
        </w:rPr>
        <w:t>Для приобретенных активов разница между суммой задолженности и балансовой стоимостью, возникающая в результате применения специальных корректировок по кредитному риску и отраженная в балансе банка при приобретении актива, называется дисконтом, если сумма задолженности выше, и премией, если сумма задолженности ниже</w:t>
      </w:r>
      <w:r w:rsidR="005A39E6" w:rsidRPr="00D43281">
        <w:rPr>
          <w:rFonts w:ascii="Times New Roman" w:hAnsi="Times New Roman" w:cs="Times New Roman"/>
          <w:color w:val="000000" w:themeColor="text1"/>
          <w:sz w:val="24"/>
          <w:szCs w:val="24"/>
          <w:lang w:val="ro-RO"/>
        </w:rPr>
        <w:t>.</w:t>
      </w:r>
      <w:bookmarkEnd w:id="117"/>
    </w:p>
    <w:p w14:paraId="3FFA286E" w14:textId="4A3A1035" w:rsidR="001E1983" w:rsidRPr="00D43281" w:rsidRDefault="001E198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В случаях, когда банки используют рамочные соглашения о взаимозачете для операций </w:t>
      </w:r>
      <w:r w:rsidR="00164E03" w:rsidRPr="00D43281">
        <w:rPr>
          <w:rFonts w:ascii="Times New Roman" w:hAnsi="Times New Roman" w:cs="Times New Roman"/>
          <w:color w:val="000000" w:themeColor="text1"/>
          <w:sz w:val="24"/>
          <w:szCs w:val="24"/>
          <w:lang w:val="ru-RU"/>
        </w:rPr>
        <w:t>выкупа</w:t>
      </w:r>
      <w:r w:rsidRPr="00D43281">
        <w:rPr>
          <w:rFonts w:ascii="Times New Roman" w:hAnsi="Times New Roman" w:cs="Times New Roman"/>
          <w:color w:val="000000" w:themeColor="text1"/>
          <w:sz w:val="24"/>
          <w:szCs w:val="24"/>
          <w:lang w:val="ru-RU"/>
        </w:rPr>
        <w:t xml:space="preserve"> или для операций </w:t>
      </w:r>
      <w:r w:rsidR="0036775E" w:rsidRPr="00D43281">
        <w:rPr>
          <w:rFonts w:ascii="Times New Roman" w:hAnsi="Times New Roman" w:cs="Times New Roman"/>
          <w:color w:val="000000" w:themeColor="text1"/>
          <w:sz w:val="24"/>
          <w:szCs w:val="24"/>
          <w:lang w:val="ru-RU"/>
        </w:rPr>
        <w:t>дачи и принятия ценных бумаг или товаров взаймы</w:t>
      </w:r>
      <w:r w:rsidRPr="00D43281">
        <w:rPr>
          <w:rFonts w:ascii="Times New Roman" w:hAnsi="Times New Roman" w:cs="Times New Roman"/>
          <w:color w:val="000000" w:themeColor="text1"/>
          <w:sz w:val="24"/>
          <w:szCs w:val="24"/>
          <w:lang w:val="ru-RU"/>
        </w:rPr>
        <w:t xml:space="preserve">, стоимость подверженности рассчитывается в соответствии с </w:t>
      </w:r>
      <w:r w:rsidR="00C97BD9" w:rsidRPr="00D43281">
        <w:rPr>
          <w:rFonts w:ascii="Times New Roman" w:hAnsi="Times New Roman" w:cs="Times New Roman"/>
          <w:color w:val="000000" w:themeColor="text1"/>
          <w:sz w:val="24"/>
          <w:szCs w:val="24"/>
          <w:lang w:val="ru-RU"/>
        </w:rPr>
        <w:t>Регламентом</w:t>
      </w:r>
      <w:r w:rsidRPr="00D43281">
        <w:rPr>
          <w:rFonts w:ascii="Times New Roman" w:hAnsi="Times New Roman" w:cs="Times New Roman"/>
          <w:color w:val="000000" w:themeColor="text1"/>
          <w:sz w:val="24"/>
          <w:szCs w:val="24"/>
          <w:lang w:val="ru-RU"/>
        </w:rPr>
        <w:t xml:space="preserve"> № 112/2018 или нормативными актами Национального банка Молдовы</w:t>
      </w:r>
      <w:r w:rsidR="00C97BD9" w:rsidRPr="00D43281">
        <w:rPr>
          <w:rFonts w:ascii="Times New Roman" w:hAnsi="Times New Roman" w:cs="Times New Roman"/>
          <w:color w:val="000000" w:themeColor="text1"/>
          <w:sz w:val="24"/>
          <w:szCs w:val="24"/>
          <w:lang w:val="ru-RU"/>
        </w:rPr>
        <w:t xml:space="preserve"> о подходе к</w:t>
      </w:r>
      <w:r w:rsidRPr="00D43281">
        <w:rPr>
          <w:rFonts w:ascii="Times New Roman" w:hAnsi="Times New Roman" w:cs="Times New Roman"/>
          <w:color w:val="000000" w:themeColor="text1"/>
          <w:sz w:val="24"/>
          <w:szCs w:val="24"/>
          <w:lang w:val="ru-RU"/>
        </w:rPr>
        <w:t xml:space="preserve"> кредитно</w:t>
      </w:r>
      <w:r w:rsidR="00C97BD9" w:rsidRPr="00D43281">
        <w:rPr>
          <w:rFonts w:ascii="Times New Roman" w:hAnsi="Times New Roman" w:cs="Times New Roman"/>
          <w:color w:val="000000" w:themeColor="text1"/>
          <w:sz w:val="24"/>
          <w:szCs w:val="24"/>
          <w:lang w:val="ru-RU"/>
        </w:rPr>
        <w:t>му</w:t>
      </w:r>
      <w:r w:rsidRPr="00D43281">
        <w:rPr>
          <w:rFonts w:ascii="Times New Roman" w:hAnsi="Times New Roman" w:cs="Times New Roman"/>
          <w:color w:val="000000" w:themeColor="text1"/>
          <w:sz w:val="24"/>
          <w:szCs w:val="24"/>
          <w:lang w:val="ru-RU"/>
        </w:rPr>
        <w:t xml:space="preserve"> риск</w:t>
      </w:r>
      <w:r w:rsidR="00C97BD9" w:rsidRPr="00D43281">
        <w:rPr>
          <w:rFonts w:ascii="Times New Roman" w:hAnsi="Times New Roman" w:cs="Times New Roman"/>
          <w:color w:val="000000" w:themeColor="text1"/>
          <w:sz w:val="24"/>
          <w:szCs w:val="24"/>
          <w:lang w:val="ru-RU"/>
        </w:rPr>
        <w:t>у</w:t>
      </w:r>
      <w:r w:rsidRPr="00D43281">
        <w:rPr>
          <w:rFonts w:ascii="Times New Roman" w:hAnsi="Times New Roman" w:cs="Times New Roman"/>
          <w:color w:val="000000" w:themeColor="text1"/>
          <w:sz w:val="24"/>
          <w:szCs w:val="24"/>
          <w:lang w:val="ru-RU"/>
        </w:rPr>
        <w:t xml:space="preserve"> контрагента</w:t>
      </w:r>
      <w:r w:rsidR="00C97BD9" w:rsidRPr="00D43281">
        <w:rPr>
          <w:rFonts w:ascii="Times New Roman" w:hAnsi="Times New Roman" w:cs="Times New Roman"/>
          <w:color w:val="000000" w:themeColor="text1"/>
          <w:sz w:val="24"/>
          <w:szCs w:val="24"/>
          <w:lang w:val="ru-RU"/>
        </w:rPr>
        <w:t>.</w:t>
      </w:r>
    </w:p>
    <w:p w14:paraId="2233C8DE" w14:textId="324F53F7" w:rsidR="005A39E6" w:rsidRPr="00D43281" w:rsidRDefault="00175172"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При расчете суммы подверженности для отражения в балансе зачета кредитов и депозитов банки должны применять методы, предусмотренные Регламентом № 112/2018</w:t>
      </w:r>
      <w:r w:rsidR="005A39E6" w:rsidRPr="00D43281">
        <w:rPr>
          <w:rFonts w:ascii="Times New Roman" w:hAnsi="Times New Roman" w:cs="Times New Roman"/>
          <w:color w:val="000000" w:themeColor="text1"/>
          <w:sz w:val="24"/>
          <w:szCs w:val="24"/>
          <w:lang w:val="ru-RU"/>
        </w:rPr>
        <w:t>.</w:t>
      </w:r>
    </w:p>
    <w:p w14:paraId="37ADBE9F" w14:textId="5C43DBAD" w:rsidR="005A39E6" w:rsidRPr="00D43281" w:rsidRDefault="00175172" w:rsidP="001B052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18" w:name="_Ref215295158"/>
      <w:r w:rsidRPr="00D43281">
        <w:rPr>
          <w:rFonts w:ascii="Times New Roman" w:hAnsi="Times New Roman" w:cs="Times New Roman"/>
          <w:color w:val="000000" w:themeColor="text1"/>
          <w:sz w:val="24"/>
          <w:szCs w:val="24"/>
          <w:lang w:val="ru-RU"/>
        </w:rPr>
        <w:t xml:space="preserve">Стоимость подверженности для лизинговых операций представляет собой текущую стоимость минимальных лизинговых платежей. Минимальные лизинговые платежи — это платежи, которые арендатор обязан или может быть обязан произвести в течение срока лизинга, а также любой опцион на льготную покупку (исполнение которого является достаточно вероятным). Если от стороны, помимо арендатора, может потребоваться платеж, связанный с остаточной стоимостью актива, являющегося предметом лизинга, и если это платежное обязательство соответствует набору условий, изложенных в пункте 36 Регламента № 112/2018 относительно права на получение гарантий, а также требованиям к признанию других видов гарантий, изложенным в пунктах 52-56 Регламента № 112/2018, платежное обязательство может быть признано в качестве необеспеченной кредитной защиты в соответствии с этим </w:t>
      </w:r>
      <w:r w:rsidR="005C0AAC" w:rsidRPr="00D43281">
        <w:rPr>
          <w:rFonts w:ascii="Times New Roman" w:hAnsi="Times New Roman" w:cs="Times New Roman"/>
          <w:color w:val="000000" w:themeColor="text1"/>
          <w:sz w:val="24"/>
          <w:szCs w:val="24"/>
          <w:lang w:val="ru-RU"/>
        </w:rPr>
        <w:t>р</w:t>
      </w:r>
      <w:r w:rsidRPr="00D43281">
        <w:rPr>
          <w:rFonts w:ascii="Times New Roman" w:hAnsi="Times New Roman" w:cs="Times New Roman"/>
          <w:color w:val="000000" w:themeColor="text1"/>
          <w:sz w:val="24"/>
          <w:szCs w:val="24"/>
          <w:lang w:val="ru-RU"/>
        </w:rPr>
        <w:t>егламентом</w:t>
      </w:r>
      <w:r w:rsidR="005A39E6" w:rsidRPr="00D43281">
        <w:rPr>
          <w:rFonts w:ascii="Times New Roman" w:hAnsi="Times New Roman" w:cs="Times New Roman"/>
          <w:color w:val="000000" w:themeColor="text1"/>
          <w:sz w:val="24"/>
          <w:szCs w:val="24"/>
          <w:lang w:val="ro-RO"/>
        </w:rPr>
        <w:t>.</w:t>
      </w:r>
      <w:bookmarkEnd w:id="118"/>
    </w:p>
    <w:p w14:paraId="1F76A8AA" w14:textId="2854F596" w:rsidR="005A39E6" w:rsidRPr="00D43281" w:rsidRDefault="00B17FAC" w:rsidP="00424952">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 случае любого договора, указанного в приложении № 1 к Регламенту № 114/2018, стоимость подверженности определяется с использованием методов, предусмотренных нормативными актами Национального банка Молдовы о подходе к кредитному риску контрагента, и не учитывает внесенные корректировки кредитного риска</w:t>
      </w:r>
      <w:r w:rsidR="005A39E6" w:rsidRPr="00D43281">
        <w:rPr>
          <w:rFonts w:ascii="Times New Roman" w:hAnsi="Times New Roman" w:cs="Times New Roman"/>
          <w:color w:val="000000" w:themeColor="text1"/>
          <w:sz w:val="24"/>
          <w:szCs w:val="24"/>
          <w:lang w:val="ru-RU"/>
        </w:rPr>
        <w:t>.</w:t>
      </w:r>
    </w:p>
    <w:p w14:paraId="26313F80" w14:textId="5E5E4093" w:rsidR="005A39E6" w:rsidRPr="00D43281" w:rsidRDefault="00050852" w:rsidP="004A7177">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MD"/>
        </w:rPr>
        <w:t xml:space="preserve">При расчете взвешенных по риску сумм подверженностей по приобретенной дебиторской задолженности </w:t>
      </w:r>
      <w:r w:rsidR="002906F8" w:rsidRPr="00D43281">
        <w:rPr>
          <w:rFonts w:ascii="Times New Roman" w:hAnsi="Times New Roman" w:cs="Times New Roman"/>
          <w:color w:val="000000" w:themeColor="text1"/>
          <w:sz w:val="24"/>
          <w:szCs w:val="24"/>
          <w:lang w:val="ru-MD"/>
        </w:rPr>
        <w:t xml:space="preserve">стоимость подверженности </w:t>
      </w:r>
      <w:r w:rsidRPr="00D43281">
        <w:rPr>
          <w:rFonts w:ascii="Times New Roman" w:hAnsi="Times New Roman" w:cs="Times New Roman"/>
          <w:color w:val="000000" w:themeColor="text1"/>
          <w:sz w:val="24"/>
          <w:szCs w:val="24"/>
          <w:lang w:val="ru-MD"/>
        </w:rPr>
        <w:t xml:space="preserve">определяется в соответствии с пунктами </w:t>
      </w:r>
      <w:r w:rsidR="0069438C" w:rsidRPr="00D43281">
        <w:rPr>
          <w:rFonts w:ascii="Times New Roman" w:hAnsi="Times New Roman" w:cs="Times New Roman"/>
          <w:color w:val="000000" w:themeColor="text1"/>
          <w:sz w:val="24"/>
          <w:szCs w:val="24"/>
          <w:lang w:val="ru-MD"/>
        </w:rPr>
        <w:t>142–144 за</w:t>
      </w:r>
      <w:r w:rsidRPr="00D43281">
        <w:rPr>
          <w:rFonts w:ascii="Times New Roman" w:hAnsi="Times New Roman" w:cs="Times New Roman"/>
          <w:color w:val="000000" w:themeColor="text1"/>
          <w:sz w:val="24"/>
          <w:szCs w:val="24"/>
          <w:lang w:val="ru-MD"/>
        </w:rPr>
        <w:t xml:space="preserve"> вычетом требований к собственным средствам для покрытия риска разводнения дебиторской задолженности до применения методов снижения кредитного риска</w:t>
      </w:r>
      <w:r w:rsidR="005A39E6" w:rsidRPr="00D43281">
        <w:rPr>
          <w:rFonts w:ascii="Times New Roman" w:hAnsi="Times New Roman" w:cs="Times New Roman"/>
          <w:color w:val="000000" w:themeColor="text1"/>
          <w:sz w:val="24"/>
          <w:szCs w:val="24"/>
          <w:lang w:val="ro-RO"/>
        </w:rPr>
        <w:t>.</w:t>
      </w:r>
    </w:p>
    <w:p w14:paraId="4644A470" w14:textId="155D0E88" w:rsidR="0069438C" w:rsidRPr="00D43281" w:rsidRDefault="0069438C"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В случае </w:t>
      </w:r>
      <w:r w:rsidRPr="00D43281">
        <w:rPr>
          <w:rFonts w:ascii="Times New Roman" w:hAnsi="Times New Roman" w:cs="Times New Roman"/>
          <w:color w:val="000000" w:themeColor="text1"/>
          <w:sz w:val="24"/>
          <w:szCs w:val="24"/>
          <w:lang w:val="ru-MD"/>
        </w:rPr>
        <w:t>подверженности</w:t>
      </w:r>
      <w:r w:rsidRPr="00D43281">
        <w:rPr>
          <w:rFonts w:ascii="Times New Roman" w:hAnsi="Times New Roman" w:cs="Times New Roman"/>
          <w:color w:val="000000" w:themeColor="text1"/>
          <w:sz w:val="24"/>
          <w:szCs w:val="24"/>
          <w:lang w:val="ru-RU"/>
        </w:rPr>
        <w:t xml:space="preserve"> в форме ценных бумаг или товаров, проданных, заложенных или предоставленных взаймы в рамках сделок РЕПО, или сделок по предоставлению ценных бумаг или товаров взаймы, долгосрочных расчетных сделок и сделок маржинального кредитования, стоимость </w:t>
      </w:r>
      <w:r w:rsidRPr="00D43281">
        <w:rPr>
          <w:rFonts w:ascii="Times New Roman" w:hAnsi="Times New Roman" w:cs="Times New Roman"/>
          <w:color w:val="000000" w:themeColor="text1"/>
          <w:sz w:val="24"/>
          <w:szCs w:val="24"/>
          <w:lang w:val="ru-MD"/>
        </w:rPr>
        <w:t>подверженности</w:t>
      </w:r>
      <w:r w:rsidRPr="00D43281">
        <w:rPr>
          <w:rFonts w:ascii="Times New Roman" w:hAnsi="Times New Roman" w:cs="Times New Roman"/>
          <w:color w:val="000000" w:themeColor="text1"/>
          <w:sz w:val="24"/>
          <w:szCs w:val="24"/>
          <w:lang w:val="ru-RU"/>
        </w:rPr>
        <w:t xml:space="preserve"> определяется стоимостью ценных бумаг или товаров, </w:t>
      </w:r>
      <w:r w:rsidR="00BF28A0" w:rsidRPr="00D43281">
        <w:rPr>
          <w:rFonts w:ascii="Times New Roman" w:hAnsi="Times New Roman" w:cs="Times New Roman"/>
          <w:color w:val="000000" w:themeColor="text1"/>
          <w:sz w:val="24"/>
          <w:szCs w:val="24"/>
          <w:lang w:val="ru-RU"/>
        </w:rPr>
        <w:t>определенной</w:t>
      </w:r>
      <w:r w:rsidRPr="00D43281">
        <w:rPr>
          <w:rFonts w:ascii="Times New Roman" w:hAnsi="Times New Roman" w:cs="Times New Roman"/>
          <w:color w:val="000000" w:themeColor="text1"/>
          <w:sz w:val="24"/>
          <w:szCs w:val="24"/>
          <w:lang w:val="ru-RU"/>
        </w:rPr>
        <w:t xml:space="preserve"> в соответствии с применимой системой бухгалтерского учета. Если используется расширенный метод финансового обеспечения, изложенный в пунктах 84–94 Регламента № 112/2018, стоимость </w:t>
      </w:r>
      <w:r w:rsidR="008A776E" w:rsidRPr="00D43281">
        <w:rPr>
          <w:rFonts w:ascii="Times New Roman" w:hAnsi="Times New Roman" w:cs="Times New Roman"/>
          <w:color w:val="000000" w:themeColor="text1"/>
          <w:sz w:val="24"/>
          <w:szCs w:val="24"/>
          <w:lang w:val="ru-MD"/>
        </w:rPr>
        <w:t>подверженности</w:t>
      </w:r>
      <w:r w:rsidRPr="00D43281">
        <w:rPr>
          <w:rFonts w:ascii="Times New Roman" w:hAnsi="Times New Roman" w:cs="Times New Roman"/>
          <w:color w:val="000000" w:themeColor="text1"/>
          <w:sz w:val="24"/>
          <w:szCs w:val="24"/>
          <w:lang w:val="ru-RU"/>
        </w:rPr>
        <w:t xml:space="preserve"> увеличивается на величину корректировки волатильности, соответствующей таким ценным бумагам или товарам, как это предусмотрено в данном Регламенте. В случае сделок РЕПО, операций по предоставлению ценных бумаг или товаров взаймы или займы, долгосрочных расчетных сделок и сделок маржинального кредитования стоимость </w:t>
      </w:r>
      <w:r w:rsidR="008A776E" w:rsidRPr="00D43281">
        <w:rPr>
          <w:rFonts w:ascii="Times New Roman" w:hAnsi="Times New Roman" w:cs="Times New Roman"/>
          <w:color w:val="000000" w:themeColor="text1"/>
          <w:sz w:val="24"/>
          <w:szCs w:val="24"/>
          <w:lang w:val="ru-MD"/>
        </w:rPr>
        <w:t>подверженности</w:t>
      </w:r>
      <w:r w:rsidRPr="00D43281">
        <w:rPr>
          <w:rFonts w:ascii="Times New Roman" w:hAnsi="Times New Roman" w:cs="Times New Roman"/>
          <w:color w:val="000000" w:themeColor="text1"/>
          <w:sz w:val="24"/>
          <w:szCs w:val="24"/>
          <w:lang w:val="ru-RU"/>
        </w:rPr>
        <w:t xml:space="preserve"> может определяться либо в соответствии с нормативными актами Национального банка Молдовы </w:t>
      </w:r>
      <w:r w:rsidR="008A776E" w:rsidRPr="00D43281">
        <w:rPr>
          <w:rFonts w:ascii="Times New Roman" w:hAnsi="Times New Roman" w:cs="Times New Roman"/>
          <w:color w:val="000000" w:themeColor="text1"/>
          <w:sz w:val="24"/>
          <w:szCs w:val="24"/>
          <w:lang w:val="ru-RU"/>
        </w:rPr>
        <w:t xml:space="preserve">о подходе к кредитному риску </w:t>
      </w:r>
      <w:r w:rsidRPr="00D43281">
        <w:rPr>
          <w:rFonts w:ascii="Times New Roman" w:hAnsi="Times New Roman" w:cs="Times New Roman"/>
          <w:color w:val="000000" w:themeColor="text1"/>
          <w:sz w:val="24"/>
          <w:szCs w:val="24"/>
          <w:lang w:val="ru-RU"/>
        </w:rPr>
        <w:t>контрагента, либо в соответствии с пунктом 69 Регламента № 112/2018.</w:t>
      </w:r>
    </w:p>
    <w:p w14:paraId="0C7F2A3D" w14:textId="60E0335F" w:rsidR="005A39E6" w:rsidRPr="00D43281" w:rsidRDefault="00844F03" w:rsidP="007555F2">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19" w:name="_Ref215502511"/>
      <w:r w:rsidRPr="00D43281">
        <w:rPr>
          <w:rFonts w:ascii="Times New Roman" w:hAnsi="Times New Roman" w:cs="Times New Roman"/>
          <w:color w:val="000000" w:themeColor="text1"/>
          <w:sz w:val="24"/>
          <w:szCs w:val="24"/>
          <w:lang w:val="ru-MD"/>
        </w:rPr>
        <w:lastRenderedPageBreak/>
        <w:t>Стоимость активов, находящихся вне баланса и не являющихся контрактами, как указано в приложении № 1 к Регламенту № 114/2018, рассчитывается с использованием либо метода расчета CCF на основе IRB, либо метода расчета CCF на основе SA в соответствии с пунктами 155 и 156 и пунктами 54 и 55</w:t>
      </w:r>
      <w:r w:rsidR="005A39E6" w:rsidRPr="00D43281">
        <w:rPr>
          <w:rFonts w:ascii="Times New Roman" w:hAnsi="Times New Roman" w:cs="Times New Roman"/>
          <w:color w:val="000000" w:themeColor="text1"/>
          <w:sz w:val="24"/>
          <w:szCs w:val="24"/>
          <w:lang w:val="ru-MD"/>
        </w:rPr>
        <w:t>.</w:t>
      </w:r>
      <w:bookmarkEnd w:id="119"/>
    </w:p>
    <w:p w14:paraId="758AA99B" w14:textId="051384AC" w:rsidR="00CB30F7" w:rsidRPr="00D43281" w:rsidRDefault="00CA6E89" w:rsidP="008C3CF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 случаях, когда секьюритизации подверглись только использованные остатки по возобновляемым кредитным линиям, банки обязаны обеспечить, чтобы они продолжали держать необходимый объем собственных средств по отношению к неиспользованным остаткам, связанным с секьюритизацией</w:t>
      </w:r>
      <w:r w:rsidR="005A39E6" w:rsidRPr="00D43281">
        <w:rPr>
          <w:rFonts w:ascii="Times New Roman" w:hAnsi="Times New Roman" w:cs="Times New Roman"/>
          <w:color w:val="000000" w:themeColor="text1"/>
          <w:sz w:val="24"/>
          <w:szCs w:val="24"/>
          <w:lang w:val="ru-RU"/>
        </w:rPr>
        <w:t>.</w:t>
      </w:r>
    </w:p>
    <w:p w14:paraId="534D3D33" w14:textId="10C84CC2" w:rsidR="00CB30F7" w:rsidRPr="00D43281" w:rsidRDefault="00EE58B2"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 не получивший разрешения на использование CCF на основе IRB, рассчитывает как сумму зарезервированного, но неиспользованного капитала, умноженную на соответствующий CCF на основе SA</w:t>
      </w:r>
      <w:r w:rsidR="005A39E6" w:rsidRPr="00D43281">
        <w:rPr>
          <w:rFonts w:ascii="Times New Roman" w:hAnsi="Times New Roman" w:cs="Times New Roman"/>
          <w:color w:val="000000" w:themeColor="text1"/>
          <w:sz w:val="24"/>
          <w:szCs w:val="24"/>
          <w:lang w:val="ru-RU"/>
        </w:rPr>
        <w:t>.</w:t>
      </w:r>
    </w:p>
    <w:p w14:paraId="3B5A9C64" w14:textId="141FB9E7" w:rsidR="00CB30F7" w:rsidRPr="00D43281" w:rsidRDefault="00F422F7"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20" w:name="_Ref215502520"/>
      <w:r w:rsidRPr="00D43281">
        <w:rPr>
          <w:rFonts w:ascii="Times New Roman" w:hAnsi="Times New Roman" w:cs="Times New Roman"/>
          <w:color w:val="000000" w:themeColor="text1"/>
          <w:sz w:val="24"/>
          <w:szCs w:val="24"/>
          <w:lang w:val="ru-RU"/>
        </w:rPr>
        <w:t>Банк, использующий расчет CCF на основе IRB, рассчитывает стоимость подверженности по неиспользованным обязательствам как сумму неиспользованных средств, умноженную на расчет CCF на основе IRB</w:t>
      </w:r>
      <w:r w:rsidR="005A39E6" w:rsidRPr="00D43281">
        <w:rPr>
          <w:rFonts w:ascii="Times New Roman" w:hAnsi="Times New Roman" w:cs="Times New Roman"/>
          <w:color w:val="000000" w:themeColor="text1"/>
          <w:sz w:val="24"/>
          <w:szCs w:val="24"/>
          <w:lang w:val="ru-RU"/>
        </w:rPr>
        <w:t>.</w:t>
      </w:r>
      <w:bookmarkEnd w:id="120"/>
    </w:p>
    <w:p w14:paraId="28EA0DC0" w14:textId="37BD99F2" w:rsidR="000E7B1B" w:rsidRPr="00D43281" w:rsidRDefault="000E7B1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21" w:name="_Ref215235759"/>
      <w:r w:rsidRPr="00D43281">
        <w:rPr>
          <w:rFonts w:ascii="Times New Roman" w:hAnsi="Times New Roman" w:cs="Times New Roman"/>
          <w:color w:val="000000" w:themeColor="text1"/>
          <w:sz w:val="24"/>
          <w:szCs w:val="24"/>
          <w:lang w:val="ru-RU"/>
        </w:rPr>
        <w:t xml:space="preserve">В случае, если банк не получил разрешения на использование ССF на основе IRB, применимым кредитным механизмом является кредитный механизм на основе SA, установленный в Регламенте № 111/2018 для тех же типов операций, как указано в пунктах </w:t>
      </w:r>
      <w:r w:rsidR="00244A9C" w:rsidRPr="00D43281">
        <w:rPr>
          <w:rFonts w:ascii="Times New Roman" w:hAnsi="Times New Roman" w:cs="Times New Roman"/>
          <w:color w:val="000000" w:themeColor="text1"/>
          <w:sz w:val="24"/>
          <w:szCs w:val="24"/>
          <w:lang w:val="ru-RU"/>
        </w:rPr>
        <w:t>5–</w:t>
      </w:r>
      <w:r w:rsidR="00581BBC" w:rsidRPr="00D43281">
        <w:rPr>
          <w:rFonts w:ascii="Times New Roman" w:hAnsi="Times New Roman" w:cs="Times New Roman"/>
          <w:color w:val="000000" w:themeColor="text1"/>
          <w:sz w:val="24"/>
          <w:szCs w:val="24"/>
          <w:lang w:val="ru-RU"/>
        </w:rPr>
        <w:t>10 Регламента</w:t>
      </w:r>
      <w:r w:rsidRPr="00D43281">
        <w:rPr>
          <w:rFonts w:ascii="Times New Roman" w:hAnsi="Times New Roman" w:cs="Times New Roman"/>
          <w:color w:val="000000" w:themeColor="text1"/>
          <w:sz w:val="24"/>
          <w:szCs w:val="24"/>
          <w:lang w:val="ru-RU"/>
        </w:rPr>
        <w:t xml:space="preserve"> № 111/2018. Сумма, к которой должен применяться кредитный механизм на основе SA, представляет собой меньшую из двух величин: зарезервированной, но неиспользованной суммы и суммы, отражающей любые потенциальные ограничения доступности кредитной линии, включая наличие верхнего предела потенциальной суммы кредита, связанного с заявленным денежным потоком заемщика. </w:t>
      </w:r>
      <w:r w:rsidR="00244A9C" w:rsidRPr="00D43281">
        <w:rPr>
          <w:rFonts w:ascii="Times New Roman" w:hAnsi="Times New Roman" w:cs="Times New Roman"/>
          <w:color w:val="000000" w:themeColor="text1"/>
          <w:sz w:val="24"/>
          <w:szCs w:val="24"/>
          <w:lang w:val="ru-RU"/>
        </w:rPr>
        <w:t>В случае наличия таких ограничений</w:t>
      </w:r>
      <w:r w:rsidRPr="00D43281">
        <w:rPr>
          <w:rFonts w:ascii="Times New Roman" w:hAnsi="Times New Roman" w:cs="Times New Roman"/>
          <w:color w:val="000000" w:themeColor="text1"/>
          <w:sz w:val="24"/>
          <w:szCs w:val="24"/>
          <w:lang w:val="ru-RU"/>
        </w:rPr>
        <w:t xml:space="preserve"> банк должен иметь достаточные процедуры мониторинга и управления кредитной линией для подтверждения наличия таких ограничений.</w:t>
      </w:r>
    </w:p>
    <w:p w14:paraId="5A22FE93" w14:textId="202B8619" w:rsidR="005A39E6" w:rsidRPr="00D43281" w:rsidRDefault="001A29A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22" w:name="_Ref215235767"/>
      <w:bookmarkEnd w:id="121"/>
      <w:r w:rsidRPr="00D43281">
        <w:rPr>
          <w:rFonts w:ascii="Times New Roman" w:hAnsi="Times New Roman" w:cs="Times New Roman"/>
          <w:color w:val="000000" w:themeColor="text1"/>
          <w:sz w:val="24"/>
          <w:szCs w:val="24"/>
          <w:lang w:val="ru-MD"/>
        </w:rPr>
        <w:t>С разрешения Национального банка Молдовы банки, отвечающие требованиям для использования</w:t>
      </w:r>
      <w:r w:rsidR="005A39E6" w:rsidRPr="00D43281">
        <w:rPr>
          <w:rFonts w:ascii="Times New Roman" w:hAnsi="Times New Roman" w:cs="Times New Roman"/>
          <w:color w:val="000000" w:themeColor="text1"/>
          <w:sz w:val="24"/>
          <w:szCs w:val="24"/>
          <w:lang w:val="ru-MD"/>
        </w:rPr>
        <w:t xml:space="preserve"> CCF </w:t>
      </w:r>
      <w:r w:rsidRPr="00D43281">
        <w:rPr>
          <w:rFonts w:ascii="Times New Roman" w:hAnsi="Times New Roman" w:cs="Times New Roman"/>
          <w:color w:val="000000" w:themeColor="text1"/>
          <w:sz w:val="24"/>
          <w:szCs w:val="24"/>
          <w:lang w:val="ru-MD"/>
        </w:rPr>
        <w:t>на основе</w:t>
      </w:r>
      <w:r w:rsidR="005A39E6" w:rsidRPr="00D43281">
        <w:rPr>
          <w:rFonts w:ascii="Times New Roman" w:hAnsi="Times New Roman" w:cs="Times New Roman"/>
          <w:color w:val="000000" w:themeColor="text1"/>
          <w:sz w:val="24"/>
          <w:szCs w:val="24"/>
          <w:lang w:val="ru-MD"/>
        </w:rPr>
        <w:t xml:space="preserve"> IRB, </w:t>
      </w:r>
      <w:r w:rsidRPr="00D43281">
        <w:rPr>
          <w:rFonts w:ascii="Times New Roman" w:hAnsi="Times New Roman" w:cs="Times New Roman"/>
          <w:color w:val="000000" w:themeColor="text1"/>
          <w:sz w:val="24"/>
          <w:szCs w:val="24"/>
          <w:lang w:val="ru-MD"/>
        </w:rPr>
        <w:t xml:space="preserve">указанным в Главе VI, должны использовать </w:t>
      </w:r>
      <w:r w:rsidR="005A39E6" w:rsidRPr="00D43281">
        <w:rPr>
          <w:rFonts w:ascii="Times New Roman" w:hAnsi="Times New Roman" w:cs="Times New Roman"/>
          <w:color w:val="000000" w:themeColor="text1"/>
          <w:sz w:val="24"/>
          <w:szCs w:val="24"/>
          <w:lang w:val="ru-MD"/>
        </w:rPr>
        <w:t xml:space="preserve">CCF </w:t>
      </w:r>
      <w:r w:rsidRPr="00D43281">
        <w:rPr>
          <w:rFonts w:ascii="Times New Roman" w:hAnsi="Times New Roman" w:cs="Times New Roman"/>
          <w:color w:val="000000" w:themeColor="text1"/>
          <w:sz w:val="24"/>
          <w:szCs w:val="24"/>
          <w:lang w:val="ru-MD"/>
        </w:rPr>
        <w:t xml:space="preserve">на </w:t>
      </w:r>
      <w:r w:rsidR="006E7267" w:rsidRPr="00D43281">
        <w:rPr>
          <w:rFonts w:ascii="Times New Roman" w:hAnsi="Times New Roman" w:cs="Times New Roman"/>
          <w:color w:val="000000" w:themeColor="text1"/>
          <w:sz w:val="24"/>
          <w:szCs w:val="24"/>
          <w:lang w:val="ru-MD"/>
        </w:rPr>
        <w:t>основе IRB</w:t>
      </w:r>
      <w:r w:rsidR="005A39E6" w:rsidRPr="00D43281">
        <w:rPr>
          <w:rFonts w:ascii="Times New Roman" w:hAnsi="Times New Roman" w:cs="Times New Roman"/>
          <w:color w:val="000000" w:themeColor="text1"/>
          <w:sz w:val="24"/>
          <w:szCs w:val="24"/>
          <w:lang w:val="ru-MD"/>
        </w:rPr>
        <w:t xml:space="preserve"> </w:t>
      </w:r>
      <w:r w:rsidR="00581830" w:rsidRPr="00D43281">
        <w:rPr>
          <w:rFonts w:ascii="Times New Roman" w:hAnsi="Times New Roman" w:cs="Times New Roman"/>
          <w:color w:val="000000" w:themeColor="text1"/>
          <w:sz w:val="24"/>
          <w:szCs w:val="24"/>
          <w:lang w:val="ru-MD"/>
        </w:rPr>
        <w:t xml:space="preserve">для подверженностей, возникающих из неиспользованных возобновляемых кредитных обязательств, рассматриваемых в рамках подхода IRB, при условии, что такие риски не подлежат 100% </w:t>
      </w:r>
      <w:r w:rsidR="006E7267" w:rsidRPr="00D43281">
        <w:rPr>
          <w:rFonts w:ascii="Times New Roman" w:hAnsi="Times New Roman" w:cs="Times New Roman"/>
          <w:color w:val="000000" w:themeColor="text1"/>
          <w:sz w:val="24"/>
          <w:szCs w:val="24"/>
          <w:lang w:val="ru-MD"/>
        </w:rPr>
        <w:t>CCF на основе</w:t>
      </w:r>
      <w:r w:rsidR="00581830" w:rsidRPr="00D43281">
        <w:rPr>
          <w:rFonts w:ascii="Times New Roman" w:hAnsi="Times New Roman" w:cs="Times New Roman"/>
          <w:color w:val="000000" w:themeColor="text1"/>
          <w:sz w:val="24"/>
          <w:szCs w:val="24"/>
          <w:lang w:val="ru-MD"/>
        </w:rPr>
        <w:t xml:space="preserve"> SA в рамках стандартизированного подхода. </w:t>
      </w:r>
      <w:r w:rsidR="006E7267" w:rsidRPr="00D43281">
        <w:rPr>
          <w:rFonts w:ascii="Times New Roman" w:hAnsi="Times New Roman" w:cs="Times New Roman"/>
          <w:color w:val="000000" w:themeColor="text1"/>
          <w:sz w:val="24"/>
          <w:szCs w:val="24"/>
          <w:lang w:val="ru-MD"/>
        </w:rPr>
        <w:t>CCF на основе</w:t>
      </w:r>
      <w:r w:rsidR="00581830" w:rsidRPr="00D43281">
        <w:rPr>
          <w:rFonts w:ascii="Times New Roman" w:hAnsi="Times New Roman" w:cs="Times New Roman"/>
          <w:color w:val="000000" w:themeColor="text1"/>
          <w:sz w:val="24"/>
          <w:szCs w:val="24"/>
          <w:lang w:val="ru-MD"/>
        </w:rPr>
        <w:t xml:space="preserve"> SA используется для</w:t>
      </w:r>
      <w:r w:rsidR="005A39E6" w:rsidRPr="00D43281">
        <w:rPr>
          <w:rFonts w:ascii="Times New Roman" w:hAnsi="Times New Roman" w:cs="Times New Roman"/>
          <w:color w:val="000000" w:themeColor="text1"/>
          <w:sz w:val="24"/>
          <w:szCs w:val="24"/>
          <w:lang w:val="ru-MD"/>
        </w:rPr>
        <w:t>:</w:t>
      </w:r>
      <w:bookmarkEnd w:id="122"/>
    </w:p>
    <w:p w14:paraId="457155CB" w14:textId="40C422E1" w:rsidR="005A39E6" w:rsidRPr="00D43281" w:rsidRDefault="003433B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Всех прочих внебалансовых статей, в частности, неиспользованных невозобновляемых кредитных обязательств</w:t>
      </w:r>
      <w:r w:rsidR="005A39E6" w:rsidRPr="00D43281">
        <w:rPr>
          <w:rFonts w:ascii="Times New Roman" w:hAnsi="Times New Roman" w:cs="Times New Roman"/>
          <w:color w:val="000000" w:themeColor="text1"/>
          <w:sz w:val="24"/>
          <w:szCs w:val="24"/>
          <w:lang w:val="ru-RU"/>
        </w:rPr>
        <w:t>;</w:t>
      </w:r>
    </w:p>
    <w:p w14:paraId="26EE34A4" w14:textId="3F7AFB9D" w:rsidR="003433BF" w:rsidRPr="00D43281" w:rsidRDefault="003433B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Подверженностей, для которых банк не выполняет минимальные требования для расчета CCF на основе IRB, указанные в Главе VI, или для которых Национальный банк Молдовы не разрешил использование </w:t>
      </w:r>
      <w:r w:rsidR="0067160D" w:rsidRPr="00D43281">
        <w:rPr>
          <w:rFonts w:ascii="Times New Roman" w:hAnsi="Times New Roman" w:cs="Times New Roman"/>
          <w:color w:val="000000" w:themeColor="text1"/>
          <w:sz w:val="24"/>
          <w:szCs w:val="24"/>
          <w:lang w:val="ru-RU"/>
        </w:rPr>
        <w:t>CCF на основе</w:t>
      </w:r>
      <w:r w:rsidRPr="00D43281">
        <w:rPr>
          <w:rFonts w:ascii="Times New Roman" w:hAnsi="Times New Roman" w:cs="Times New Roman"/>
          <w:color w:val="000000" w:themeColor="text1"/>
          <w:sz w:val="24"/>
          <w:szCs w:val="24"/>
          <w:lang w:val="ru-RU"/>
        </w:rPr>
        <w:t xml:space="preserve"> IRB.</w:t>
      </w:r>
    </w:p>
    <w:p w14:paraId="28CF1259" w14:textId="1D731852" w:rsidR="0067160D" w:rsidRPr="00D43281" w:rsidRDefault="0067160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23" w:name="_Ref215502546"/>
      <w:r w:rsidRPr="00D43281">
        <w:rPr>
          <w:rFonts w:ascii="Times New Roman" w:hAnsi="Times New Roman" w:cs="Times New Roman"/>
          <w:color w:val="000000" w:themeColor="text1"/>
          <w:sz w:val="24"/>
          <w:szCs w:val="24"/>
          <w:lang w:val="ru-RU"/>
        </w:rPr>
        <w:t xml:space="preserve">Для целей настоящей </w:t>
      </w:r>
      <w:r w:rsidR="008D70BC" w:rsidRPr="00D43281">
        <w:rPr>
          <w:rFonts w:ascii="Times New Roman" w:hAnsi="Times New Roman" w:cs="Times New Roman"/>
          <w:color w:val="000000" w:themeColor="text1"/>
          <w:sz w:val="24"/>
          <w:szCs w:val="24"/>
          <w:lang w:val="ru-RU"/>
        </w:rPr>
        <w:t>г</w:t>
      </w:r>
      <w:r w:rsidRPr="00D43281">
        <w:rPr>
          <w:rFonts w:ascii="Times New Roman" w:hAnsi="Times New Roman" w:cs="Times New Roman"/>
          <w:color w:val="000000" w:themeColor="text1"/>
          <w:sz w:val="24"/>
          <w:szCs w:val="24"/>
          <w:lang w:val="ru-RU"/>
        </w:rPr>
        <w:t>лавы обязательство считается «возобновляемым», если оно позволяет заемщику получать кредит, в рамках которого заемщик имеет возможность самостоятельно решать, как часто и с какой периодичностью использовать кредит, что позволяет заемщику использовать, погашать и повторно использовать предоставленные ему кредиты. Договорные соглашения, допускающие досрочное погашение и последующее использование этих досрочных платежей, считаются возобновляемыми.</w:t>
      </w:r>
    </w:p>
    <w:p w14:paraId="0A8AA5B3" w14:textId="0725FFEF" w:rsidR="005A39E6" w:rsidRPr="00D43281" w:rsidRDefault="00C97B0E" w:rsidP="00EC699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24" w:name="_Ref215504363"/>
      <w:bookmarkEnd w:id="123"/>
      <w:r w:rsidRPr="00D43281">
        <w:rPr>
          <w:rFonts w:ascii="Times New Roman" w:hAnsi="Times New Roman" w:cs="Times New Roman"/>
          <w:color w:val="000000" w:themeColor="text1"/>
          <w:sz w:val="24"/>
          <w:szCs w:val="24"/>
          <w:lang w:val="ru-RU"/>
        </w:rPr>
        <w:t xml:space="preserve">Если IRB CCF используется исключительно для расчета взвешенных по риску сумм подверженностей и ожидаемых сумм убытков по подверженностям, возникающим из возобновляемых обязательств, за исключением </w:t>
      </w:r>
      <w:r w:rsidR="00E6437B" w:rsidRPr="00D43281">
        <w:rPr>
          <w:rFonts w:ascii="Times New Roman" w:hAnsi="Times New Roman" w:cs="Times New Roman"/>
          <w:color w:val="000000" w:themeColor="text1"/>
          <w:sz w:val="24"/>
          <w:szCs w:val="24"/>
          <w:lang w:val="ru-RU"/>
        </w:rPr>
        <w:t>подверженностей</w:t>
      </w:r>
      <w:r w:rsidRPr="00D43281">
        <w:rPr>
          <w:rFonts w:ascii="Times New Roman" w:hAnsi="Times New Roman" w:cs="Times New Roman"/>
          <w:color w:val="000000" w:themeColor="text1"/>
          <w:sz w:val="24"/>
          <w:szCs w:val="24"/>
          <w:lang w:val="ru-RU"/>
        </w:rPr>
        <w:t xml:space="preserve">, отнесенных к классу </w:t>
      </w:r>
      <w:r w:rsidR="00E6437B" w:rsidRPr="00D43281">
        <w:rPr>
          <w:rFonts w:ascii="Times New Roman" w:hAnsi="Times New Roman" w:cs="Times New Roman"/>
          <w:color w:val="000000" w:themeColor="text1"/>
          <w:sz w:val="24"/>
          <w:szCs w:val="24"/>
          <w:lang w:val="ru-RU"/>
        </w:rPr>
        <w:t>подверженностей</w:t>
      </w:r>
      <w:r w:rsidRPr="00D43281">
        <w:rPr>
          <w:rFonts w:ascii="Times New Roman" w:hAnsi="Times New Roman" w:cs="Times New Roman"/>
          <w:color w:val="000000" w:themeColor="text1"/>
          <w:sz w:val="24"/>
          <w:szCs w:val="24"/>
          <w:lang w:val="ru-RU"/>
        </w:rPr>
        <w:t xml:space="preserve"> в соответствии с </w:t>
      </w:r>
      <w:r w:rsidR="00E6437B" w:rsidRPr="00D43281">
        <w:rPr>
          <w:rFonts w:ascii="Times New Roman" w:hAnsi="Times New Roman" w:cs="Times New Roman"/>
          <w:color w:val="000000" w:themeColor="text1"/>
          <w:sz w:val="24"/>
          <w:szCs w:val="24"/>
          <w:lang w:val="ru-RU"/>
        </w:rPr>
        <w:t>под</w:t>
      </w:r>
      <w:r w:rsidRPr="00D43281">
        <w:rPr>
          <w:rFonts w:ascii="Times New Roman" w:hAnsi="Times New Roman" w:cs="Times New Roman"/>
          <w:color w:val="000000" w:themeColor="text1"/>
          <w:sz w:val="24"/>
          <w:szCs w:val="24"/>
          <w:lang w:val="ru-RU"/>
        </w:rPr>
        <w:t>пунктом 19.1</w:t>
      </w:r>
      <w:r w:rsidR="00E6437B" w:rsidRPr="00D43281">
        <w:rPr>
          <w:rFonts w:ascii="Times New Roman" w:hAnsi="Times New Roman" w:cs="Times New Roman"/>
          <w:color w:val="000000" w:themeColor="text1"/>
          <w:sz w:val="24"/>
          <w:szCs w:val="24"/>
          <w:lang w:val="ru-RU"/>
        </w:rPr>
        <w:t xml:space="preserve"> пункта 19</w:t>
      </w:r>
      <w:r w:rsidRPr="00D43281">
        <w:rPr>
          <w:rFonts w:ascii="Times New Roman" w:hAnsi="Times New Roman" w:cs="Times New Roman"/>
          <w:color w:val="000000" w:themeColor="text1"/>
          <w:sz w:val="24"/>
          <w:szCs w:val="24"/>
          <w:lang w:val="ru-RU"/>
        </w:rPr>
        <w:t xml:space="preserve">, в частности, в соответствии с пунктом 71 и пунктами 89-93 и пунктами 94, 98-99 и 102, то </w:t>
      </w:r>
      <w:r w:rsidR="0093557F" w:rsidRPr="00D43281">
        <w:rPr>
          <w:rFonts w:ascii="Times New Roman" w:hAnsi="Times New Roman" w:cs="Times New Roman"/>
          <w:color w:val="000000" w:themeColor="text1"/>
          <w:sz w:val="24"/>
          <w:szCs w:val="24"/>
          <w:lang w:val="ru-RU"/>
        </w:rPr>
        <w:t>сумма</w:t>
      </w:r>
      <w:r w:rsidRPr="00D43281">
        <w:rPr>
          <w:rFonts w:ascii="Times New Roman" w:hAnsi="Times New Roman" w:cs="Times New Roman"/>
          <w:color w:val="000000" w:themeColor="text1"/>
          <w:sz w:val="24"/>
          <w:szCs w:val="24"/>
          <w:lang w:val="ru-RU"/>
        </w:rPr>
        <w:t xml:space="preserve"> каждо</w:t>
      </w:r>
      <w:r w:rsidR="00E6437B" w:rsidRPr="00D43281">
        <w:rPr>
          <w:rFonts w:ascii="Times New Roman" w:hAnsi="Times New Roman" w:cs="Times New Roman"/>
          <w:color w:val="000000" w:themeColor="text1"/>
          <w:sz w:val="24"/>
          <w:szCs w:val="24"/>
          <w:lang w:val="ru-RU"/>
        </w:rPr>
        <w:t>й подверженности</w:t>
      </w:r>
      <w:r w:rsidRPr="00D43281">
        <w:rPr>
          <w:rFonts w:ascii="Times New Roman" w:hAnsi="Times New Roman" w:cs="Times New Roman"/>
          <w:color w:val="000000" w:themeColor="text1"/>
          <w:sz w:val="24"/>
          <w:szCs w:val="24"/>
          <w:lang w:val="ru-RU"/>
        </w:rPr>
        <w:t>, используем</w:t>
      </w:r>
      <w:r w:rsidR="0093557F" w:rsidRPr="00D43281">
        <w:rPr>
          <w:rFonts w:ascii="Times New Roman" w:hAnsi="Times New Roman" w:cs="Times New Roman"/>
          <w:color w:val="000000" w:themeColor="text1"/>
          <w:sz w:val="24"/>
          <w:szCs w:val="24"/>
          <w:lang w:val="ru-RU"/>
        </w:rPr>
        <w:t>ая</w:t>
      </w:r>
      <w:r w:rsidRPr="00D43281">
        <w:rPr>
          <w:rFonts w:ascii="Times New Roman" w:hAnsi="Times New Roman" w:cs="Times New Roman"/>
          <w:color w:val="000000" w:themeColor="text1"/>
          <w:sz w:val="24"/>
          <w:szCs w:val="24"/>
          <w:lang w:val="ru-RU"/>
        </w:rPr>
        <w:t xml:space="preserve"> в качестве входных данных для формулы расчета взвешенной по риску суммы </w:t>
      </w:r>
      <w:r w:rsidR="0093557F" w:rsidRPr="00D43281">
        <w:rPr>
          <w:rFonts w:ascii="Times New Roman" w:hAnsi="Times New Roman" w:cs="Times New Roman"/>
          <w:color w:val="000000" w:themeColor="text1"/>
          <w:sz w:val="24"/>
          <w:szCs w:val="24"/>
          <w:lang w:val="ru-RU"/>
        </w:rPr>
        <w:t>подверженности</w:t>
      </w:r>
      <w:r w:rsidRPr="00D43281">
        <w:rPr>
          <w:rFonts w:ascii="Times New Roman" w:hAnsi="Times New Roman" w:cs="Times New Roman"/>
          <w:color w:val="000000" w:themeColor="text1"/>
          <w:sz w:val="24"/>
          <w:szCs w:val="24"/>
          <w:lang w:val="ru-RU"/>
        </w:rPr>
        <w:t xml:space="preserve"> и ожидаемых убытков, не должно быть меньше суммы</w:t>
      </w:r>
      <w:r w:rsidR="005A39E6" w:rsidRPr="00D43281">
        <w:rPr>
          <w:rFonts w:ascii="Times New Roman" w:hAnsi="Times New Roman" w:cs="Times New Roman"/>
          <w:color w:val="000000" w:themeColor="text1"/>
          <w:sz w:val="24"/>
          <w:szCs w:val="24"/>
          <w:lang w:val="ru-RU"/>
        </w:rPr>
        <w:t>:</w:t>
      </w:r>
      <w:bookmarkEnd w:id="124"/>
    </w:p>
    <w:p w14:paraId="14629DA9" w14:textId="6C1382C2" w:rsidR="005A39E6" w:rsidRPr="00D43281" w:rsidRDefault="00695F99"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25" w:name="_Ref215241891"/>
      <w:r w:rsidRPr="00D43281">
        <w:rPr>
          <w:rFonts w:ascii="Times New Roman" w:hAnsi="Times New Roman" w:cs="Times New Roman"/>
          <w:color w:val="000000" w:themeColor="text1"/>
          <w:sz w:val="24"/>
          <w:szCs w:val="24"/>
          <w:lang w:val="ru-RU"/>
        </w:rPr>
        <w:t>Суммы, изъятой из возобновляемого обязательства</w:t>
      </w:r>
      <w:r w:rsidR="005A39E6" w:rsidRPr="00D43281">
        <w:rPr>
          <w:rFonts w:ascii="Times New Roman" w:hAnsi="Times New Roman" w:cs="Times New Roman"/>
          <w:color w:val="000000" w:themeColor="text1"/>
          <w:sz w:val="24"/>
          <w:szCs w:val="24"/>
          <w:lang w:val="ru-RU"/>
        </w:rPr>
        <w:t>;</w:t>
      </w:r>
      <w:bookmarkEnd w:id="125"/>
    </w:p>
    <w:p w14:paraId="485D32EE" w14:textId="438C4CAE" w:rsidR="00695F99" w:rsidRPr="00D43281" w:rsidRDefault="00695F99"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26" w:name="_Ref215241897"/>
      <w:r w:rsidRPr="00D43281">
        <w:rPr>
          <w:rFonts w:ascii="Times New Roman" w:hAnsi="Times New Roman" w:cs="Times New Roman"/>
          <w:color w:val="000000" w:themeColor="text1"/>
          <w:sz w:val="24"/>
          <w:szCs w:val="24"/>
          <w:lang w:val="ru-RU"/>
        </w:rPr>
        <w:lastRenderedPageBreak/>
        <w:t xml:space="preserve">50% от суммы внебалансовых подверженностей, связанных с оставшейся неиспользованной частью возобновляемого обязательства, рассчитанной с использованием CCF на основе применимого SA, как предусмотрено в пунктах </w:t>
      </w:r>
      <w:r w:rsidR="007749E1" w:rsidRPr="00D43281">
        <w:rPr>
          <w:rFonts w:ascii="Times New Roman" w:hAnsi="Times New Roman" w:cs="Times New Roman"/>
          <w:color w:val="000000" w:themeColor="text1"/>
          <w:sz w:val="24"/>
          <w:szCs w:val="24"/>
          <w:lang w:val="ru-RU"/>
        </w:rPr>
        <w:t>5–</w:t>
      </w:r>
      <w:r w:rsidR="00651396" w:rsidRPr="00D43281">
        <w:rPr>
          <w:rFonts w:ascii="Times New Roman" w:hAnsi="Times New Roman" w:cs="Times New Roman"/>
          <w:color w:val="000000" w:themeColor="text1"/>
          <w:sz w:val="24"/>
          <w:szCs w:val="24"/>
          <w:lang w:val="ru-RU"/>
        </w:rPr>
        <w:t>10 Регламента</w:t>
      </w:r>
      <w:r w:rsidRPr="00D43281">
        <w:rPr>
          <w:rFonts w:ascii="Times New Roman" w:hAnsi="Times New Roman" w:cs="Times New Roman"/>
          <w:color w:val="000000" w:themeColor="text1"/>
          <w:sz w:val="24"/>
          <w:szCs w:val="24"/>
          <w:lang w:val="ru-RU"/>
        </w:rPr>
        <w:t xml:space="preserve"> № 111/2018.</w:t>
      </w:r>
    </w:p>
    <w:p w14:paraId="1DB1B197" w14:textId="382396CE" w:rsidR="00695F99" w:rsidRPr="0042560E" w:rsidRDefault="00695F99" w:rsidP="0042560E">
      <w:pPr>
        <w:shd w:val="clear" w:color="auto" w:fill="FFFFFF"/>
        <w:tabs>
          <w:tab w:val="left" w:pos="0"/>
          <w:tab w:val="left" w:pos="567"/>
        </w:tabs>
        <w:spacing w:after="0" w:line="240" w:lineRule="auto"/>
        <w:jc w:val="both"/>
        <w:rPr>
          <w:rFonts w:ascii="Times New Roman" w:hAnsi="Times New Roman" w:cs="Times New Roman"/>
          <w:color w:val="000000" w:themeColor="text1"/>
          <w:sz w:val="24"/>
          <w:szCs w:val="24"/>
          <w:lang w:val="ru-RU"/>
        </w:rPr>
      </w:pPr>
      <w:r w:rsidRPr="0042560E">
        <w:rPr>
          <w:rFonts w:ascii="Times New Roman" w:hAnsi="Times New Roman" w:cs="Times New Roman"/>
          <w:color w:val="000000" w:themeColor="text1"/>
          <w:sz w:val="24"/>
          <w:szCs w:val="24"/>
          <w:lang w:val="ru-RU"/>
        </w:rPr>
        <w:t>Сумма значений в подпунктах 158.1 и 158.2 называется «минимальным порогом CCF».</w:t>
      </w:r>
    </w:p>
    <w:p w14:paraId="101E0FCE" w14:textId="496879CE" w:rsidR="005A39E6" w:rsidRPr="00D43281" w:rsidRDefault="006D1CF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27" w:name="_Ref215241209"/>
      <w:bookmarkEnd w:id="126"/>
      <w:r w:rsidRPr="00D43281">
        <w:rPr>
          <w:rFonts w:ascii="Times New Roman" w:hAnsi="Times New Roman" w:cs="Times New Roman"/>
          <w:color w:val="000000" w:themeColor="text1"/>
          <w:sz w:val="24"/>
          <w:szCs w:val="24"/>
          <w:lang w:val="ru-RU"/>
        </w:rPr>
        <w:t>Если одно обязательство связано с продлением другого обязательства, следует использовать меньший из двух коэффициентов пересчета, связанных с отдельными обязательствами</w:t>
      </w:r>
      <w:r w:rsidR="005A39E6" w:rsidRPr="00D43281">
        <w:rPr>
          <w:rFonts w:ascii="Times New Roman" w:hAnsi="Times New Roman" w:cs="Times New Roman"/>
          <w:color w:val="000000" w:themeColor="text1"/>
          <w:sz w:val="24"/>
          <w:szCs w:val="24"/>
          <w:lang w:val="ru-RU"/>
        </w:rPr>
        <w:t>.</w:t>
      </w:r>
      <w:bookmarkEnd w:id="127"/>
    </w:p>
    <w:p w14:paraId="06F798C8" w14:textId="1A6DC1CE" w:rsidR="001156EA" w:rsidRPr="00D43281" w:rsidRDefault="006D1CF0" w:rsidP="00E3244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Стоимость подверженности для активов, отличных от кредитных обязательств, представляет собой балансовую стоимость, полученную в результате применения специальных корректировок на кредитный риск</w:t>
      </w:r>
      <w:r w:rsidR="005A39E6" w:rsidRPr="00D43281">
        <w:rPr>
          <w:rFonts w:ascii="Times New Roman" w:hAnsi="Times New Roman" w:cs="Times New Roman"/>
          <w:color w:val="000000" w:themeColor="text1"/>
          <w:sz w:val="24"/>
          <w:szCs w:val="24"/>
          <w:lang w:val="ru-RU"/>
        </w:rPr>
        <w:t>.</w:t>
      </w:r>
    </w:p>
    <w:p w14:paraId="45371466" w14:textId="3921A8F8" w:rsidR="00FE4082" w:rsidRPr="00D43281" w:rsidRDefault="00651396" w:rsidP="00FE4082">
      <w:pPr>
        <w:pStyle w:val="ListParagraph"/>
        <w:shd w:val="clear" w:color="auto" w:fill="FFFFFF"/>
        <w:tabs>
          <w:tab w:val="left" w:pos="0"/>
          <w:tab w:val="left" w:pos="567"/>
        </w:tabs>
        <w:spacing w:before="120" w:after="0" w:line="240" w:lineRule="auto"/>
        <w:ind w:left="0"/>
        <w:contextualSpacing w:val="0"/>
        <w:jc w:val="center"/>
        <w:rPr>
          <w:rFonts w:ascii="Times New Roman" w:hAnsi="Times New Roman" w:cs="Times New Roman"/>
          <w:b/>
          <w:bCs/>
          <w:color w:val="000000" w:themeColor="text1"/>
          <w:sz w:val="24"/>
          <w:szCs w:val="24"/>
          <w:lang w:val="ro-RO"/>
        </w:rPr>
      </w:pPr>
      <w:r w:rsidRPr="00D43281">
        <w:rPr>
          <w:rFonts w:ascii="Times New Roman" w:hAnsi="Times New Roman" w:cs="Times New Roman"/>
          <w:b/>
          <w:bCs/>
          <w:color w:val="000000" w:themeColor="text1"/>
          <w:sz w:val="24"/>
          <w:szCs w:val="24"/>
          <w:lang w:val="ru-RU"/>
        </w:rPr>
        <w:t>Глава</w:t>
      </w:r>
      <w:r w:rsidR="00FE4082" w:rsidRPr="00D43281">
        <w:rPr>
          <w:rFonts w:ascii="Times New Roman" w:hAnsi="Times New Roman" w:cs="Times New Roman"/>
          <w:b/>
          <w:bCs/>
          <w:color w:val="000000" w:themeColor="text1"/>
          <w:sz w:val="24"/>
          <w:szCs w:val="24"/>
          <w:lang w:val="ro-RO"/>
        </w:rPr>
        <w:t xml:space="preserve"> V</w:t>
      </w:r>
      <w:r w:rsidR="0060124B" w:rsidRPr="00D43281">
        <w:rPr>
          <w:rFonts w:ascii="Times New Roman" w:hAnsi="Times New Roman" w:cs="Times New Roman"/>
          <w:b/>
          <w:bCs/>
          <w:color w:val="000000" w:themeColor="text1"/>
          <w:sz w:val="24"/>
          <w:szCs w:val="24"/>
          <w:lang w:val="ro-RO"/>
        </w:rPr>
        <w:t>I</w:t>
      </w:r>
    </w:p>
    <w:p w14:paraId="6D16647E" w14:textId="3D1F9003" w:rsidR="00FE4082" w:rsidRPr="00D43281" w:rsidRDefault="003B7F79" w:rsidP="00FE4082">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b/>
          <w:bCs/>
          <w:color w:val="000000" w:themeColor="text1"/>
          <w:sz w:val="24"/>
          <w:szCs w:val="24"/>
          <w:lang w:val="ru-RU"/>
        </w:rPr>
      </w:pPr>
      <w:r w:rsidRPr="00D43281">
        <w:rPr>
          <w:rFonts w:ascii="Times New Roman" w:hAnsi="Times New Roman" w:cs="Times New Roman"/>
          <w:b/>
          <w:bCs/>
          <w:color w:val="000000" w:themeColor="text1"/>
          <w:sz w:val="24"/>
          <w:szCs w:val="24"/>
          <w:lang w:val="ru-RU"/>
        </w:rPr>
        <w:t>Требования к использованию подхода</w:t>
      </w:r>
      <w:r w:rsidR="00A760BC" w:rsidRPr="00D43281">
        <w:rPr>
          <w:rFonts w:ascii="Times New Roman" w:hAnsi="Times New Roman" w:cs="Times New Roman"/>
          <w:b/>
          <w:bCs/>
          <w:color w:val="000000" w:themeColor="text1"/>
          <w:sz w:val="24"/>
          <w:szCs w:val="24"/>
          <w:lang w:val="ru-RU"/>
        </w:rPr>
        <w:t xml:space="preserve"> </w:t>
      </w:r>
      <w:r w:rsidR="00FE4082" w:rsidRPr="00D43281">
        <w:rPr>
          <w:rFonts w:ascii="Times New Roman" w:hAnsi="Times New Roman" w:cs="Times New Roman"/>
          <w:b/>
          <w:bCs/>
          <w:color w:val="000000" w:themeColor="text1"/>
          <w:sz w:val="24"/>
          <w:szCs w:val="24"/>
          <w:lang w:val="ru-RU"/>
        </w:rPr>
        <w:t>IRB</w:t>
      </w:r>
    </w:p>
    <w:p w14:paraId="145F20DF" w14:textId="3F24EC3E" w:rsidR="005E097F" w:rsidRPr="00D43281" w:rsidRDefault="003B7F79" w:rsidP="005E097F">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Часть</w:t>
      </w:r>
      <w:r w:rsidR="005E097F" w:rsidRPr="00D43281">
        <w:rPr>
          <w:rFonts w:ascii="Times New Roman" w:hAnsi="Times New Roman" w:cs="Times New Roman"/>
          <w:b/>
          <w:bCs/>
          <w:i/>
          <w:iCs/>
          <w:color w:val="000000" w:themeColor="text1"/>
          <w:sz w:val="24"/>
          <w:szCs w:val="24"/>
          <w:lang w:val="ru-RU"/>
        </w:rPr>
        <w:t xml:space="preserve"> 1</w:t>
      </w:r>
    </w:p>
    <w:p w14:paraId="70DD9701" w14:textId="77777777" w:rsidR="00A760BC" w:rsidRPr="00D43281" w:rsidRDefault="00A760BC" w:rsidP="00C95E76">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Рейтинговые системы</w:t>
      </w:r>
    </w:p>
    <w:p w14:paraId="6F5A01B8" w14:textId="10648302" w:rsidR="00C95E76" w:rsidRPr="00D43281" w:rsidRDefault="00A760BC" w:rsidP="00C95E76">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Подчасть</w:t>
      </w:r>
      <w:r w:rsidR="00C95E76" w:rsidRPr="00D43281">
        <w:rPr>
          <w:rFonts w:ascii="Times New Roman" w:hAnsi="Times New Roman" w:cs="Times New Roman"/>
          <w:b/>
          <w:bCs/>
          <w:i/>
          <w:iCs/>
          <w:color w:val="000000" w:themeColor="text1"/>
          <w:sz w:val="24"/>
          <w:szCs w:val="24"/>
          <w:lang w:val="ru-RU"/>
        </w:rPr>
        <w:t xml:space="preserve"> 1</w:t>
      </w:r>
    </w:p>
    <w:p w14:paraId="36B8E77A" w14:textId="5D9BCD4B" w:rsidR="00FE4082" w:rsidRPr="00D43281" w:rsidRDefault="00A760BC" w:rsidP="005E097F">
      <w:pPr>
        <w:pStyle w:val="ListParagraph"/>
        <w:shd w:val="clear" w:color="auto" w:fill="FFFFFF"/>
        <w:tabs>
          <w:tab w:val="left" w:pos="0"/>
          <w:tab w:val="left" w:pos="567"/>
        </w:tabs>
        <w:spacing w:before="60" w:after="0" w:line="240" w:lineRule="auto"/>
        <w:ind w:left="0"/>
        <w:jc w:val="center"/>
        <w:rPr>
          <w:rFonts w:ascii="Times New Roman" w:hAnsi="Times New Roman" w:cs="Times New Roman"/>
          <w:color w:val="000000" w:themeColor="text1"/>
          <w:sz w:val="24"/>
          <w:szCs w:val="24"/>
          <w:lang w:val="ru-RU"/>
        </w:rPr>
      </w:pPr>
      <w:r w:rsidRPr="00D43281">
        <w:rPr>
          <w:rFonts w:ascii="Times New Roman" w:hAnsi="Times New Roman" w:cs="Times New Roman"/>
          <w:b/>
          <w:bCs/>
          <w:i/>
          <w:iCs/>
          <w:color w:val="000000" w:themeColor="text1"/>
          <w:sz w:val="24"/>
          <w:szCs w:val="24"/>
          <w:lang w:val="ru-RU"/>
        </w:rPr>
        <w:t>Структура рейтинговых систем</w:t>
      </w:r>
    </w:p>
    <w:p w14:paraId="52CB051A" w14:textId="4052D786" w:rsidR="003F184B" w:rsidRPr="00D43281" w:rsidRDefault="00305DF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Если банк использует несколько рейтинговых систем, обоснование присвоения заемщику или сделке определенной рейтинговой системы должно быть формализовано и применяться таким образом, чтобы адекватно отражать уровень риска</w:t>
      </w:r>
      <w:r w:rsidR="003F184B" w:rsidRPr="00D43281">
        <w:rPr>
          <w:rFonts w:ascii="Times New Roman" w:hAnsi="Times New Roman" w:cs="Times New Roman"/>
          <w:color w:val="000000" w:themeColor="text1"/>
          <w:sz w:val="24"/>
          <w:szCs w:val="24"/>
          <w:lang w:val="ru-RU"/>
        </w:rPr>
        <w:t>.</w:t>
      </w:r>
    </w:p>
    <w:p w14:paraId="518F9827" w14:textId="747C91A0" w:rsidR="003F184B" w:rsidRPr="00D43281" w:rsidRDefault="00305DF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Критерии и процессы распределения активов следует периодически пересматривать, чтобы определить, остаются ли они актуальными для текущего портфеля и внешних условий</w:t>
      </w:r>
      <w:r w:rsidR="003F184B" w:rsidRPr="00D43281">
        <w:rPr>
          <w:rFonts w:ascii="Times New Roman" w:hAnsi="Times New Roman" w:cs="Times New Roman"/>
          <w:color w:val="000000" w:themeColor="text1"/>
          <w:sz w:val="24"/>
          <w:szCs w:val="24"/>
          <w:lang w:val="ru-RU"/>
        </w:rPr>
        <w:t>.</w:t>
      </w:r>
    </w:p>
    <w:p w14:paraId="0CCCE49E" w14:textId="30DB2D2F" w:rsidR="003F184B" w:rsidRPr="00D43281" w:rsidRDefault="008C2E0C"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Если банк использует прямые оценки параметров риска для отдельных заемщиков или подверженностей, эти оценки могут рассматриваться как оценки, присвоенные категориям в рамках непрерывной рейтинговой шкалы</w:t>
      </w:r>
      <w:r w:rsidR="003F184B" w:rsidRPr="00D43281">
        <w:rPr>
          <w:rFonts w:ascii="Times New Roman" w:hAnsi="Times New Roman" w:cs="Times New Roman"/>
          <w:color w:val="000000" w:themeColor="text1"/>
          <w:sz w:val="24"/>
          <w:szCs w:val="24"/>
          <w:lang w:val="ru-RU"/>
        </w:rPr>
        <w:t>.</w:t>
      </w:r>
    </w:p>
    <w:p w14:paraId="22E9CCCC" w14:textId="23159CC1" w:rsidR="003F184B" w:rsidRPr="00D43281" w:rsidRDefault="005A654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Структура рейтинговых систем для подверженностей перед обществами, банками, центральными администрациями и центральными банками, а также региональными администрациями, местными </w:t>
      </w:r>
      <w:r w:rsidR="00CA0F02" w:rsidRPr="00D43281">
        <w:rPr>
          <w:rFonts w:ascii="Times New Roman" w:hAnsi="Times New Roman" w:cs="Times New Roman"/>
          <w:color w:val="000000" w:themeColor="text1"/>
          <w:sz w:val="24"/>
          <w:szCs w:val="24"/>
          <w:lang w:val="ru-RU"/>
        </w:rPr>
        <w:t>органами и</w:t>
      </w:r>
      <w:r w:rsidRPr="00D43281">
        <w:rPr>
          <w:rFonts w:ascii="Times New Roman" w:hAnsi="Times New Roman" w:cs="Times New Roman"/>
          <w:color w:val="000000" w:themeColor="text1"/>
          <w:sz w:val="24"/>
          <w:szCs w:val="24"/>
          <w:lang w:val="ru-RU"/>
        </w:rPr>
        <w:t xml:space="preserve"> субъектами публичного сектора, должна соответствовать следующим требованиям</w:t>
      </w:r>
      <w:r w:rsidR="003F184B" w:rsidRPr="00D43281">
        <w:rPr>
          <w:rFonts w:ascii="Times New Roman" w:hAnsi="Times New Roman" w:cs="Times New Roman"/>
          <w:color w:val="000000" w:themeColor="text1"/>
          <w:sz w:val="24"/>
          <w:szCs w:val="24"/>
          <w:lang w:val="ru-RU"/>
        </w:rPr>
        <w:t>:</w:t>
      </w:r>
    </w:p>
    <w:p w14:paraId="2459CEB6" w14:textId="1BFC15C0" w:rsidR="003F184B" w:rsidRPr="00D43281" w:rsidRDefault="00CA0F0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Рейтинговая система должна учитывать характеристики риска заемщика и сделки</w:t>
      </w:r>
      <w:r w:rsidR="003F184B" w:rsidRPr="00D43281">
        <w:rPr>
          <w:rFonts w:ascii="Times New Roman" w:hAnsi="Times New Roman" w:cs="Times New Roman"/>
          <w:color w:val="000000" w:themeColor="text1"/>
          <w:sz w:val="24"/>
          <w:szCs w:val="24"/>
          <w:lang w:val="ru-RU"/>
        </w:rPr>
        <w:t>;</w:t>
      </w:r>
    </w:p>
    <w:p w14:paraId="02326ABB" w14:textId="6C779AA7" w:rsidR="003F184B" w:rsidRPr="00D43281" w:rsidRDefault="002A0E7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Система рейтингов должна включать шкалу рейтингов заемщиков, которая отражает исключительно количественную оценку риска неплатежеспособности, связанного с заемщиками. Шкала рейтингов заемщиков должна иметь как минимум 7 классов для заемщиков, не находящихся в состоянии неплатежеспособности, и один класс для заемщиков, </w:t>
      </w:r>
      <w:r w:rsidR="00951422" w:rsidRPr="00D43281">
        <w:rPr>
          <w:rFonts w:ascii="Times New Roman" w:hAnsi="Times New Roman" w:cs="Times New Roman"/>
          <w:color w:val="000000" w:themeColor="text1"/>
          <w:sz w:val="24"/>
          <w:szCs w:val="24"/>
          <w:lang w:val="ru-RU"/>
        </w:rPr>
        <w:t>допускающих неплатежи</w:t>
      </w:r>
      <w:r w:rsidR="003F184B" w:rsidRPr="00D43281">
        <w:rPr>
          <w:rFonts w:ascii="Times New Roman" w:hAnsi="Times New Roman" w:cs="Times New Roman"/>
          <w:color w:val="000000" w:themeColor="text1"/>
          <w:sz w:val="24"/>
          <w:szCs w:val="24"/>
          <w:lang w:val="ru-RU"/>
        </w:rPr>
        <w:t>;</w:t>
      </w:r>
    </w:p>
    <w:p w14:paraId="6BDFD0A8" w14:textId="0B88D76F" w:rsidR="003F184B" w:rsidRPr="00D43281" w:rsidRDefault="00EC7B7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 документирует взаимосвязь между категориями, разделяющими заемщиков в соответствии с соответствующим уровнем риска неплатежеспособности, и критериями, используемыми для различения отдельных уровней риска неплатежеспособности</w:t>
      </w:r>
      <w:r w:rsidR="003F184B" w:rsidRPr="00D43281">
        <w:rPr>
          <w:rFonts w:ascii="Times New Roman" w:hAnsi="Times New Roman" w:cs="Times New Roman"/>
          <w:color w:val="000000" w:themeColor="text1"/>
          <w:sz w:val="24"/>
          <w:szCs w:val="24"/>
          <w:lang w:val="ru-RU"/>
        </w:rPr>
        <w:t>;</w:t>
      </w:r>
    </w:p>
    <w:p w14:paraId="014708EF" w14:textId="1D40E123" w:rsidR="00504B1E" w:rsidRPr="00D43281" w:rsidRDefault="00504B1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Банки, портфели которых сконцентрированы в определенном сегменте рынка и в пределах определенного диапазона риска невозврата, должны иметь достаточное количество рейтинговых категорий в этом диапазоне, чтобы избежать чрезмерной концентрации заемщиков в определенной рейтинговой категории. Значительная концентрация в одной рейтинговой категории должна быть обоснована убедительными эмпирическими данными о том, что рейтинг заемщика охватывает достаточно узкий диапазон </w:t>
      </w:r>
      <w:r w:rsidR="00CD119F" w:rsidRPr="00D43281">
        <w:rPr>
          <w:rFonts w:ascii="Times New Roman" w:hAnsi="Times New Roman" w:cs="Times New Roman"/>
          <w:color w:val="000000" w:themeColor="text1"/>
          <w:sz w:val="24"/>
          <w:szCs w:val="24"/>
          <w:lang w:val="ro-RO"/>
        </w:rPr>
        <w:t>PD</w:t>
      </w:r>
      <w:r w:rsidR="00CD119F" w:rsidRPr="00D43281">
        <w:rPr>
          <w:rFonts w:ascii="Times New Roman" w:hAnsi="Times New Roman" w:cs="Times New Roman"/>
          <w:color w:val="000000" w:themeColor="text1"/>
          <w:sz w:val="24"/>
          <w:szCs w:val="24"/>
          <w:lang w:val="ru-RU"/>
        </w:rPr>
        <w:t xml:space="preserve"> и</w:t>
      </w:r>
      <w:r w:rsidRPr="00D43281">
        <w:rPr>
          <w:rFonts w:ascii="Times New Roman" w:hAnsi="Times New Roman" w:cs="Times New Roman"/>
          <w:color w:val="000000" w:themeColor="text1"/>
          <w:sz w:val="24"/>
          <w:szCs w:val="24"/>
          <w:lang w:val="ru-RU"/>
        </w:rPr>
        <w:t xml:space="preserve"> что риск </w:t>
      </w:r>
      <w:r w:rsidR="00CD119F"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xml:space="preserve"> всех заемщиков в этой рейтинговой категории находится в пределах этого диапазона</w:t>
      </w:r>
      <w:r w:rsidR="00CD119F" w:rsidRPr="00D43281">
        <w:rPr>
          <w:rFonts w:ascii="Times New Roman" w:hAnsi="Times New Roman" w:cs="Times New Roman"/>
          <w:color w:val="000000" w:themeColor="text1"/>
          <w:sz w:val="24"/>
          <w:szCs w:val="24"/>
          <w:lang w:val="ru-RU"/>
        </w:rPr>
        <w:t>;</w:t>
      </w:r>
    </w:p>
    <w:p w14:paraId="369DEFF9" w14:textId="145D9662" w:rsidR="003F184B" w:rsidRPr="00D43281" w:rsidRDefault="006632ED" w:rsidP="00C42D8F">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RU"/>
        </w:rPr>
        <w:t xml:space="preserve">Для того чтобы Национальный банк Молдовы мог использовать собственные оценки убытков в случае невозврата для определения собственных потребностей в </w:t>
      </w:r>
      <w:r w:rsidRPr="00D43281">
        <w:rPr>
          <w:rFonts w:ascii="Times New Roman" w:hAnsi="Times New Roman" w:cs="Times New Roman"/>
          <w:color w:val="000000" w:themeColor="text1"/>
          <w:sz w:val="24"/>
          <w:szCs w:val="24"/>
          <w:lang w:val="ru-RU"/>
        </w:rPr>
        <w:lastRenderedPageBreak/>
        <w:t xml:space="preserve">средствах, система рейтингов должна включать отдельную шкалу рейтингов сделок, отражающую исключительно характеристики, связанные с убытками в случае </w:t>
      </w:r>
      <w:r w:rsidR="00694AB7"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xml:space="preserve"> по сделкам. Определение класса рейтинга сделки должно включать как описание того, как риски относятся к этому классу, так и критерии, используемые для определения уровня риска, связанного с каждым классом рейтинга</w:t>
      </w:r>
      <w:r w:rsidR="003F184B" w:rsidRPr="00D43281">
        <w:rPr>
          <w:rFonts w:ascii="Times New Roman" w:hAnsi="Times New Roman" w:cs="Times New Roman"/>
          <w:color w:val="000000" w:themeColor="text1"/>
          <w:sz w:val="24"/>
          <w:szCs w:val="24"/>
          <w:lang w:val="ro-RO"/>
        </w:rPr>
        <w:t>;</w:t>
      </w:r>
    </w:p>
    <w:p w14:paraId="1EF8A851" w14:textId="7B0277A9" w:rsidR="0091256B" w:rsidRPr="00D43281" w:rsidRDefault="0091256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Значительная концентрация рисков в рамках одного рейтингового класса сделки должна быть обоснована убедительными эмпирическими доказательствами того, что рейтинговый класс сделки охватывает достаточно узкий диапазон убытков в случае невозврата и что риск, связанный со всеми рисками в этом рейтинговом классе, находится в этом диапазоне.</w:t>
      </w:r>
    </w:p>
    <w:p w14:paraId="050A1B56" w14:textId="1F950ED7" w:rsidR="00C071E5" w:rsidRPr="00D43281" w:rsidRDefault="00C071E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28" w:name="_Ref215243706"/>
      <w:r w:rsidRPr="00D43281">
        <w:rPr>
          <w:rFonts w:ascii="Times New Roman" w:hAnsi="Times New Roman" w:cs="Times New Roman"/>
          <w:color w:val="000000" w:themeColor="text1"/>
          <w:sz w:val="24"/>
          <w:szCs w:val="24"/>
          <w:lang w:val="ru-RU"/>
        </w:rPr>
        <w:t xml:space="preserve">Банки, использующие методы, изложенные в пунктах </w:t>
      </w:r>
      <w:r w:rsidR="0097477D" w:rsidRPr="00D43281">
        <w:rPr>
          <w:rFonts w:ascii="Times New Roman" w:hAnsi="Times New Roman" w:cs="Times New Roman"/>
          <w:color w:val="000000" w:themeColor="text1"/>
          <w:sz w:val="24"/>
          <w:szCs w:val="24"/>
          <w:lang w:val="ru-RU"/>
        </w:rPr>
        <w:t>75–76</w:t>
      </w:r>
      <w:r w:rsidRPr="00D43281">
        <w:rPr>
          <w:rFonts w:ascii="Times New Roman" w:hAnsi="Times New Roman" w:cs="Times New Roman"/>
          <w:color w:val="000000" w:themeColor="text1"/>
          <w:sz w:val="24"/>
          <w:szCs w:val="24"/>
          <w:lang w:val="ru-RU"/>
        </w:rPr>
        <w:t xml:space="preserve">, для присвоения весовых коэффициентов риска подверженностям из специализированного финансирования, освобождаются от требования иметь шкалу рейтингов заемщиков, которая отражает исключительно количественную оценку риска невозврата, связанного с заемщиками по этим обязательствам. Такие банки должны иметь не менее 4 рейтинговых классов для заемщиков, не допустивших </w:t>
      </w:r>
      <w:r w:rsidR="0097477D" w:rsidRPr="00D43281">
        <w:rPr>
          <w:rFonts w:ascii="Times New Roman" w:hAnsi="Times New Roman" w:cs="Times New Roman"/>
          <w:color w:val="000000" w:themeColor="text1"/>
          <w:sz w:val="24"/>
          <w:szCs w:val="24"/>
          <w:lang w:val="ru-RU"/>
        </w:rPr>
        <w:t>состояния невозврата</w:t>
      </w:r>
      <w:r w:rsidRPr="00D43281">
        <w:rPr>
          <w:rFonts w:ascii="Times New Roman" w:hAnsi="Times New Roman" w:cs="Times New Roman"/>
          <w:color w:val="000000" w:themeColor="text1"/>
          <w:sz w:val="24"/>
          <w:szCs w:val="24"/>
          <w:lang w:val="ru-RU"/>
        </w:rPr>
        <w:t xml:space="preserve">, и не менее 1 класса для заемщиков, допустивших </w:t>
      </w:r>
      <w:r w:rsidR="0097477D" w:rsidRPr="00D43281">
        <w:rPr>
          <w:rFonts w:ascii="Times New Roman" w:hAnsi="Times New Roman" w:cs="Times New Roman"/>
          <w:color w:val="000000" w:themeColor="text1"/>
          <w:sz w:val="24"/>
          <w:szCs w:val="24"/>
          <w:lang w:val="ru-RU"/>
        </w:rPr>
        <w:t>состояние невозврата</w:t>
      </w:r>
      <w:r w:rsidRPr="00D43281">
        <w:rPr>
          <w:rFonts w:ascii="Times New Roman" w:hAnsi="Times New Roman" w:cs="Times New Roman"/>
          <w:color w:val="000000" w:themeColor="text1"/>
          <w:sz w:val="24"/>
          <w:szCs w:val="24"/>
          <w:lang w:val="ru-RU"/>
        </w:rPr>
        <w:t>.</w:t>
      </w:r>
    </w:p>
    <w:bookmarkEnd w:id="128"/>
    <w:p w14:paraId="2A2092E6" w14:textId="14BE9543" w:rsidR="003F184B" w:rsidRPr="00D43281" w:rsidRDefault="00687AC7"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Структура рейтинговых систем для подверженностей ритейл должна соответствовать следующим требованиям</w:t>
      </w:r>
      <w:r w:rsidR="003F184B" w:rsidRPr="00D43281">
        <w:rPr>
          <w:rFonts w:ascii="Times New Roman" w:hAnsi="Times New Roman" w:cs="Times New Roman"/>
          <w:color w:val="000000" w:themeColor="text1"/>
          <w:sz w:val="24"/>
          <w:szCs w:val="24"/>
          <w:lang w:val="ru-RU"/>
        </w:rPr>
        <w:t>:</w:t>
      </w:r>
    </w:p>
    <w:p w14:paraId="0B64C942" w14:textId="786680F4" w:rsidR="003F184B" w:rsidRPr="00D43281" w:rsidRDefault="00687AC7"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Рейтинговые системы должны отражать как риск заемщика, так и риск сделки и включать все соответствующие характеристики заемщика и сделки</w:t>
      </w:r>
      <w:r w:rsidR="003F184B" w:rsidRPr="00D43281">
        <w:rPr>
          <w:rFonts w:ascii="Times New Roman" w:hAnsi="Times New Roman" w:cs="Times New Roman"/>
          <w:color w:val="000000" w:themeColor="text1"/>
          <w:sz w:val="24"/>
          <w:szCs w:val="24"/>
          <w:lang w:val="ru-RU"/>
        </w:rPr>
        <w:t>.</w:t>
      </w:r>
    </w:p>
    <w:p w14:paraId="662044A2" w14:textId="10B43264" w:rsidR="0043458D" w:rsidRPr="00D43281" w:rsidRDefault="0043458D"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Уровень дифференциации рисков должен обеспечивать достаточно большое количество подверженностей в рамках данной рейтинговой категории или </w:t>
      </w:r>
      <w:r w:rsidR="000920DA" w:rsidRPr="00D43281">
        <w:rPr>
          <w:rFonts w:ascii="Times New Roman" w:hAnsi="Times New Roman" w:cs="Times New Roman"/>
          <w:color w:val="000000" w:themeColor="text1"/>
          <w:sz w:val="24"/>
          <w:szCs w:val="24"/>
          <w:lang w:val="ru-RU"/>
        </w:rPr>
        <w:t>пул</w:t>
      </w:r>
      <w:r w:rsidRPr="00D43281">
        <w:rPr>
          <w:rFonts w:ascii="Times New Roman" w:hAnsi="Times New Roman" w:cs="Times New Roman"/>
          <w:color w:val="000000" w:themeColor="text1"/>
          <w:sz w:val="24"/>
          <w:szCs w:val="24"/>
          <w:lang w:val="ru-RU"/>
        </w:rPr>
        <w:t xml:space="preserve">ы рисков для адекватной количественной оценки и проверки характеристик убытков на уровне рейтинговой категории или </w:t>
      </w:r>
      <w:r w:rsidR="000920DA" w:rsidRPr="00D43281">
        <w:rPr>
          <w:rFonts w:ascii="Times New Roman" w:hAnsi="Times New Roman" w:cs="Times New Roman"/>
          <w:color w:val="000000" w:themeColor="text1"/>
          <w:sz w:val="24"/>
          <w:szCs w:val="24"/>
          <w:lang w:val="ru-RU"/>
        </w:rPr>
        <w:t>пулы</w:t>
      </w:r>
      <w:r w:rsidRPr="00D43281">
        <w:rPr>
          <w:rFonts w:ascii="Times New Roman" w:hAnsi="Times New Roman" w:cs="Times New Roman"/>
          <w:color w:val="000000" w:themeColor="text1"/>
          <w:sz w:val="24"/>
          <w:szCs w:val="24"/>
          <w:lang w:val="ru-RU"/>
        </w:rPr>
        <w:t xml:space="preserve"> рисков. Распределение рисков и заемщиков в рамках рейтинговых категорий или </w:t>
      </w:r>
      <w:r w:rsidR="009B486F" w:rsidRPr="00D43281">
        <w:rPr>
          <w:rFonts w:ascii="Times New Roman" w:hAnsi="Times New Roman" w:cs="Times New Roman"/>
          <w:color w:val="000000" w:themeColor="text1"/>
          <w:sz w:val="24"/>
          <w:szCs w:val="24"/>
          <w:lang w:val="ru-RU"/>
        </w:rPr>
        <w:t>пулов</w:t>
      </w:r>
      <w:r w:rsidRPr="00D43281">
        <w:rPr>
          <w:rFonts w:ascii="Times New Roman" w:hAnsi="Times New Roman" w:cs="Times New Roman"/>
          <w:color w:val="000000" w:themeColor="text1"/>
          <w:sz w:val="24"/>
          <w:szCs w:val="24"/>
          <w:lang w:val="ru-RU"/>
        </w:rPr>
        <w:t xml:space="preserve"> рисков должно осуществляться таким образом, чтобы избежать чрезмерной концентрации.</w:t>
      </w:r>
    </w:p>
    <w:p w14:paraId="612AED38" w14:textId="0F6E175D" w:rsidR="003F184B" w:rsidRPr="00D43281" w:rsidRDefault="00E2410E" w:rsidP="00735237">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Процесс распределения </w:t>
      </w:r>
      <w:r w:rsidR="009B486F" w:rsidRPr="00D43281">
        <w:rPr>
          <w:rFonts w:ascii="Times New Roman" w:hAnsi="Times New Roman" w:cs="Times New Roman"/>
          <w:color w:val="000000" w:themeColor="text1"/>
          <w:sz w:val="24"/>
          <w:szCs w:val="24"/>
          <w:lang w:val="ru-RU"/>
        </w:rPr>
        <w:t>подверженностей</w:t>
      </w:r>
      <w:r w:rsidRPr="00D43281">
        <w:rPr>
          <w:rFonts w:ascii="Times New Roman" w:hAnsi="Times New Roman" w:cs="Times New Roman"/>
          <w:color w:val="000000" w:themeColor="text1"/>
          <w:sz w:val="24"/>
          <w:szCs w:val="24"/>
          <w:lang w:val="ru-RU"/>
        </w:rPr>
        <w:t xml:space="preserve"> по рейтинговым категориям или пулам рисков должен обеспечивать адекватную дифференциацию рисков, группировку достаточно однородных рисков и точную и последовательную оценку характеристик убытков на уровне рейтинговой категории или пула рисков. В случае приобретенных дебиторских задолженностей группировка должна отражать практику андеррайтинга продавца и неоднородность его клиентов</w:t>
      </w:r>
      <w:r w:rsidR="002D1844" w:rsidRPr="00D43281">
        <w:rPr>
          <w:rFonts w:ascii="Times New Roman" w:hAnsi="Times New Roman" w:cs="Times New Roman"/>
          <w:color w:val="000000" w:themeColor="text1"/>
          <w:sz w:val="24"/>
          <w:szCs w:val="24"/>
          <w:lang w:val="ru-RU"/>
        </w:rPr>
        <w:t>.</w:t>
      </w:r>
    </w:p>
    <w:p w14:paraId="6C04E5B2" w14:textId="1A8CCE4B" w:rsidR="003F184B" w:rsidRPr="00D43281" w:rsidRDefault="00D574D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При распределении подверженностей по классам или пулам рисков банки должны учитывать следующие факторы риска</w:t>
      </w:r>
      <w:r w:rsidR="003F184B" w:rsidRPr="00D43281">
        <w:rPr>
          <w:rFonts w:ascii="Times New Roman" w:hAnsi="Times New Roman" w:cs="Times New Roman"/>
          <w:color w:val="000000" w:themeColor="text1"/>
          <w:sz w:val="24"/>
          <w:szCs w:val="24"/>
          <w:lang w:val="ru-RU"/>
        </w:rPr>
        <w:t>:</w:t>
      </w:r>
    </w:p>
    <w:p w14:paraId="20ACE5FE" w14:textId="0D83150B" w:rsidR="003F184B" w:rsidRPr="00D43281" w:rsidRDefault="00D574D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Характеристики риска заемщика</w:t>
      </w:r>
      <w:r w:rsidR="003F184B" w:rsidRPr="00D43281">
        <w:rPr>
          <w:rFonts w:ascii="Times New Roman" w:hAnsi="Times New Roman" w:cs="Times New Roman"/>
          <w:color w:val="000000" w:themeColor="text1"/>
          <w:sz w:val="24"/>
          <w:szCs w:val="24"/>
          <w:lang w:val="ru-RU"/>
        </w:rPr>
        <w:t>;</w:t>
      </w:r>
    </w:p>
    <w:p w14:paraId="6452A4BE" w14:textId="78CAFAB2" w:rsidR="003F184B" w:rsidRPr="00D43281" w:rsidRDefault="00FF110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Характеристики риска сделки, включая тип продукта и тип обеспеченной кредитной защиты, признанную необеспеченную кредитную защиту, соотношение стоимости кредита к стоимости залога по кредиту, срок погашения кредита и приоритет</w:t>
      </w:r>
      <w:r w:rsidR="003F184B" w:rsidRPr="00D43281">
        <w:rPr>
          <w:rFonts w:ascii="Times New Roman" w:hAnsi="Times New Roman" w:cs="Times New Roman"/>
          <w:color w:val="000000" w:themeColor="text1"/>
          <w:sz w:val="24"/>
          <w:szCs w:val="24"/>
          <w:lang w:val="ru-RU"/>
        </w:rPr>
        <w:t xml:space="preserve">; </w:t>
      </w:r>
      <w:r w:rsidRPr="00D43281">
        <w:rPr>
          <w:rFonts w:ascii="Times New Roman" w:hAnsi="Times New Roman" w:cs="Times New Roman"/>
          <w:color w:val="000000" w:themeColor="text1"/>
          <w:sz w:val="24"/>
          <w:szCs w:val="24"/>
          <w:lang w:val="ru-RU"/>
        </w:rPr>
        <w:t>банки должны четко указывать случаи, когда несколько подверженностей получают выгоду от одной и той же обеспеченной или необеспеченной кредитной защиты</w:t>
      </w:r>
      <w:r w:rsidR="003F184B" w:rsidRPr="00D43281">
        <w:rPr>
          <w:rFonts w:ascii="Times New Roman" w:hAnsi="Times New Roman" w:cs="Times New Roman"/>
          <w:color w:val="000000" w:themeColor="text1"/>
          <w:sz w:val="24"/>
          <w:szCs w:val="24"/>
          <w:lang w:val="ru-RU"/>
        </w:rPr>
        <w:t>;</w:t>
      </w:r>
    </w:p>
    <w:p w14:paraId="2E502D82" w14:textId="23F868DE" w:rsidR="000B0F5B" w:rsidRPr="00D43281" w:rsidRDefault="0081131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Наличие просрочки платежей</w:t>
      </w:r>
      <w:r w:rsidR="000B0F5B" w:rsidRPr="00D43281">
        <w:rPr>
          <w:rFonts w:ascii="Times New Roman" w:hAnsi="Times New Roman" w:cs="Times New Roman"/>
          <w:color w:val="000000" w:themeColor="text1"/>
          <w:sz w:val="24"/>
          <w:szCs w:val="24"/>
          <w:lang w:val="ru-RU"/>
        </w:rPr>
        <w:t xml:space="preserve">, если банк не докажет Национальному банку Молдовы, что </w:t>
      </w:r>
      <w:r w:rsidR="00B61A26" w:rsidRPr="00D43281">
        <w:rPr>
          <w:rFonts w:ascii="Times New Roman" w:hAnsi="Times New Roman" w:cs="Times New Roman"/>
          <w:color w:val="000000" w:themeColor="text1"/>
          <w:sz w:val="24"/>
          <w:szCs w:val="24"/>
          <w:lang w:val="ru-RU"/>
        </w:rPr>
        <w:t>просрочка платежей не является</w:t>
      </w:r>
      <w:r w:rsidR="000B0F5B" w:rsidRPr="00D43281">
        <w:rPr>
          <w:rFonts w:ascii="Times New Roman" w:hAnsi="Times New Roman" w:cs="Times New Roman"/>
          <w:color w:val="000000" w:themeColor="text1"/>
          <w:sz w:val="24"/>
          <w:szCs w:val="24"/>
          <w:lang w:val="ru-RU"/>
        </w:rPr>
        <w:t xml:space="preserve"> </w:t>
      </w:r>
      <w:r w:rsidR="00B61A26" w:rsidRPr="00D43281">
        <w:rPr>
          <w:rFonts w:ascii="Times New Roman" w:hAnsi="Times New Roman" w:cs="Times New Roman"/>
          <w:color w:val="000000" w:themeColor="text1"/>
          <w:sz w:val="24"/>
          <w:szCs w:val="24"/>
          <w:lang w:val="ru-RU"/>
        </w:rPr>
        <w:t>существенным фактором риска для подверженности.</w:t>
      </w:r>
    </w:p>
    <w:p w14:paraId="20BD1B7F" w14:textId="4A1241D1" w:rsidR="00C95E76" w:rsidRPr="00D43281" w:rsidRDefault="005344BF" w:rsidP="00C95E76">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Подчасть</w:t>
      </w:r>
      <w:r w:rsidR="00C95E76" w:rsidRPr="00D43281">
        <w:rPr>
          <w:rFonts w:ascii="Times New Roman" w:hAnsi="Times New Roman" w:cs="Times New Roman"/>
          <w:b/>
          <w:bCs/>
          <w:i/>
          <w:iCs/>
          <w:color w:val="000000" w:themeColor="text1"/>
          <w:sz w:val="24"/>
          <w:szCs w:val="24"/>
          <w:lang w:val="ru-RU"/>
        </w:rPr>
        <w:t xml:space="preserve"> 2</w:t>
      </w:r>
    </w:p>
    <w:p w14:paraId="11D4A690" w14:textId="2C088E18" w:rsidR="00C95E76" w:rsidRPr="00D43281" w:rsidRDefault="00D32EA7" w:rsidP="00C95E76">
      <w:pPr>
        <w:pStyle w:val="ListParagraph"/>
        <w:shd w:val="clear" w:color="auto" w:fill="FFFFFF"/>
        <w:tabs>
          <w:tab w:val="left" w:pos="0"/>
          <w:tab w:val="left" w:pos="567"/>
        </w:tabs>
        <w:spacing w:before="60" w:after="0" w:line="240" w:lineRule="auto"/>
        <w:ind w:left="0"/>
        <w:jc w:val="center"/>
        <w:rPr>
          <w:rFonts w:ascii="Times New Roman" w:hAnsi="Times New Roman" w:cs="Times New Roman"/>
          <w:color w:val="000000" w:themeColor="text1"/>
          <w:sz w:val="24"/>
          <w:szCs w:val="24"/>
          <w:lang w:val="ru-RU"/>
        </w:rPr>
      </w:pPr>
      <w:r w:rsidRPr="00D43281">
        <w:rPr>
          <w:rFonts w:ascii="Times New Roman" w:hAnsi="Times New Roman" w:cs="Times New Roman"/>
          <w:b/>
          <w:bCs/>
          <w:i/>
          <w:iCs/>
          <w:color w:val="000000" w:themeColor="text1"/>
          <w:sz w:val="24"/>
          <w:szCs w:val="24"/>
          <w:lang w:val="ru-RU"/>
        </w:rPr>
        <w:t xml:space="preserve">Присвоение рейтингов различным классам или </w:t>
      </w:r>
      <w:r w:rsidR="00653B88" w:rsidRPr="00D43281">
        <w:rPr>
          <w:rFonts w:ascii="Times New Roman" w:hAnsi="Times New Roman" w:cs="Times New Roman"/>
          <w:b/>
          <w:bCs/>
          <w:i/>
          <w:iCs/>
          <w:color w:val="000000" w:themeColor="text1"/>
          <w:sz w:val="24"/>
          <w:szCs w:val="24"/>
          <w:lang w:val="ru-RU"/>
        </w:rPr>
        <w:t xml:space="preserve">пулам </w:t>
      </w:r>
      <w:r w:rsidRPr="00D43281">
        <w:rPr>
          <w:rFonts w:ascii="Times New Roman" w:hAnsi="Times New Roman" w:cs="Times New Roman"/>
          <w:b/>
          <w:bCs/>
          <w:i/>
          <w:iCs/>
          <w:color w:val="000000" w:themeColor="text1"/>
          <w:sz w:val="24"/>
          <w:szCs w:val="24"/>
          <w:lang w:val="ru-RU"/>
        </w:rPr>
        <w:t>риска и целостность процесса присвоения. Использование моделей</w:t>
      </w:r>
    </w:p>
    <w:p w14:paraId="11882659" w14:textId="4359A02F" w:rsidR="00C95E76" w:rsidRPr="00D43281" w:rsidRDefault="00653B88"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29" w:name="_Ref215507795"/>
      <w:r w:rsidRPr="00D43281">
        <w:rPr>
          <w:rFonts w:ascii="Times New Roman" w:hAnsi="Times New Roman" w:cs="Times New Roman"/>
          <w:color w:val="000000" w:themeColor="text1"/>
          <w:sz w:val="24"/>
          <w:szCs w:val="24"/>
          <w:lang w:val="ru-RU"/>
        </w:rPr>
        <w:t>Банк должен использовать конкретные определения, процессы и критерии для присвоения рисков рейтинговым категориям или пулам рисков в рамках рейтинговой системы, которые соответствуют следующим требованиям</w:t>
      </w:r>
      <w:r w:rsidR="00C95E76" w:rsidRPr="00D43281">
        <w:rPr>
          <w:rFonts w:ascii="Times New Roman" w:hAnsi="Times New Roman" w:cs="Times New Roman"/>
          <w:color w:val="000000" w:themeColor="text1"/>
          <w:sz w:val="24"/>
          <w:szCs w:val="24"/>
          <w:lang w:val="ru-RU"/>
        </w:rPr>
        <w:t>:</w:t>
      </w:r>
      <w:bookmarkEnd w:id="129"/>
    </w:p>
    <w:p w14:paraId="734F5F5B" w14:textId="10342F5E" w:rsidR="00C95E76" w:rsidRPr="00D43281" w:rsidRDefault="00B2362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Определения и критерии для рейтинговых категорий или пулов рисков должны быть достаточно подробными, чтобы рейтинговые специалисты могли последовательно </w:t>
      </w:r>
      <w:r w:rsidRPr="00D43281">
        <w:rPr>
          <w:rFonts w:ascii="Times New Roman" w:hAnsi="Times New Roman" w:cs="Times New Roman"/>
          <w:color w:val="000000" w:themeColor="text1"/>
          <w:sz w:val="24"/>
          <w:szCs w:val="24"/>
          <w:lang w:val="ru-RU"/>
        </w:rPr>
        <w:lastRenderedPageBreak/>
        <w:t>присваивать заемщикам или сделкам с аналогичным риском одну и ту же рейтинговую категорию или пул рисков. Эта последовательность должна поддерживаться независимо от сферы деятельности, отдела или географического местоположения</w:t>
      </w:r>
      <w:r w:rsidR="00C95E76" w:rsidRPr="00D43281">
        <w:rPr>
          <w:rFonts w:ascii="Times New Roman" w:hAnsi="Times New Roman" w:cs="Times New Roman"/>
          <w:color w:val="000000" w:themeColor="text1"/>
          <w:sz w:val="24"/>
          <w:szCs w:val="24"/>
          <w:lang w:val="ru-RU"/>
        </w:rPr>
        <w:t>;</w:t>
      </w:r>
    </w:p>
    <w:p w14:paraId="5315368F" w14:textId="1E00653E" w:rsidR="00C95E76" w:rsidRPr="00D43281" w:rsidRDefault="000907CB"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Документация, связанная с процессом рейтингования, должна позволять третьим сторонам понимать и воспроизводить присвоение рисков рейтинговым категориям или пулам рисков, а также оценивать целесообразность присвоения конкретной рейтинговой категории или пулу рисков</w:t>
      </w:r>
      <w:r w:rsidR="00C95E76" w:rsidRPr="00D43281">
        <w:rPr>
          <w:rFonts w:ascii="Times New Roman" w:hAnsi="Times New Roman" w:cs="Times New Roman"/>
          <w:color w:val="000000" w:themeColor="text1"/>
          <w:sz w:val="24"/>
          <w:szCs w:val="24"/>
          <w:lang w:val="ru-RU"/>
        </w:rPr>
        <w:t>;</w:t>
      </w:r>
    </w:p>
    <w:p w14:paraId="29F5FEB1" w14:textId="1038C8A1" w:rsidR="00C95E76" w:rsidRPr="00D43281" w:rsidRDefault="00D3406D"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Критерии также должны соответствовать внутренним правилам кредитования банка и его политике в отношении проблемных заемщиков и сделок</w:t>
      </w:r>
      <w:r w:rsidR="00C95E76" w:rsidRPr="00D43281">
        <w:rPr>
          <w:rFonts w:ascii="Times New Roman" w:hAnsi="Times New Roman" w:cs="Times New Roman"/>
          <w:color w:val="000000" w:themeColor="text1"/>
          <w:sz w:val="24"/>
          <w:szCs w:val="24"/>
          <w:lang w:val="ru-RU"/>
        </w:rPr>
        <w:t>.</w:t>
      </w:r>
    </w:p>
    <w:p w14:paraId="5DE94BAD" w14:textId="0A255A24" w:rsidR="00C95E76" w:rsidRPr="00D43281" w:rsidRDefault="00D3406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30" w:name="_Ref215563124"/>
      <w:r w:rsidRPr="00D43281">
        <w:rPr>
          <w:rFonts w:ascii="Times New Roman" w:hAnsi="Times New Roman" w:cs="Times New Roman"/>
          <w:color w:val="000000" w:themeColor="text1"/>
          <w:sz w:val="24"/>
          <w:szCs w:val="24"/>
          <w:lang w:val="ru-RU"/>
        </w:rPr>
        <w:t>При присвоении заемщикам и сделкам рейтинговых категорий или пулов риска банк должен учитывать всю соответствующую информацию. Информация должна быть актуальной и позволять банку прогнозировать будущую доходность рисков. Чем меньше информации банк имеет, тем осторожнее он должен подходить к присвоению рискам рейтинговых категорий или пулов риска заемщиков и сделок. Если в качестве основного фактора при присвоении внутреннего рейтинга используется внешний рейтинг, банк должен убедиться, что он также учитывает другую соответствующую информацию.</w:t>
      </w:r>
      <w:bookmarkEnd w:id="130"/>
    </w:p>
    <w:p w14:paraId="6F11D79E" w14:textId="033D08DE" w:rsidR="006469DB" w:rsidRPr="00D43281" w:rsidRDefault="00AA504A"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31" w:name="_Ref215507803"/>
      <w:r w:rsidRPr="00D43281">
        <w:rPr>
          <w:rFonts w:ascii="Times New Roman" w:hAnsi="Times New Roman" w:cs="Times New Roman"/>
          <w:color w:val="000000" w:themeColor="text1"/>
          <w:sz w:val="24"/>
          <w:szCs w:val="24"/>
          <w:lang w:val="ru-RU"/>
        </w:rPr>
        <w:t>Банки используют временной горизонт более одного года при присвоении рейтингов. Рейтинг заемщика — это оценка банком способности и готовности заемщика выполнять свои договорные обязательства, несмотря на неблагоприятные экономические условия или возникновение непредвиденных событий. Системы рейтингов разработаны таким образом, что специфические и отраслевые изменения, если они являются существенными факторами риска для данного типа риска, являются определяющим фактором при переходе из одного класса рейтингов или пула рисков в другой. Влияние экономических циклов также может быть определяющим фактором при переходе из одного класса рейтингов или пула рисков в другой.</w:t>
      </w:r>
      <w:bookmarkEnd w:id="131"/>
    </w:p>
    <w:p w14:paraId="1087AFE7" w14:textId="6761CA8A" w:rsidR="004579DE" w:rsidRPr="00D43281" w:rsidRDefault="00C350F1" w:rsidP="00AE3049">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32" w:name="_Ref215507814"/>
      <w:r w:rsidRPr="00D43281">
        <w:rPr>
          <w:rFonts w:ascii="Times New Roman" w:hAnsi="Times New Roman" w:cs="Times New Roman"/>
          <w:color w:val="000000" w:themeColor="text1"/>
          <w:sz w:val="24"/>
          <w:szCs w:val="24"/>
          <w:lang w:val="ru-RU"/>
        </w:rPr>
        <w:t>В отношении подверженностей пере</w:t>
      </w:r>
      <w:r w:rsidR="009C65C0" w:rsidRPr="00D43281">
        <w:rPr>
          <w:rFonts w:ascii="Times New Roman" w:hAnsi="Times New Roman" w:cs="Times New Roman"/>
          <w:color w:val="000000" w:themeColor="text1"/>
          <w:sz w:val="24"/>
          <w:szCs w:val="24"/>
          <w:lang w:val="ru-RU"/>
        </w:rPr>
        <w:t>д</w:t>
      </w:r>
      <w:r w:rsidRPr="00D43281">
        <w:rPr>
          <w:rFonts w:ascii="Times New Roman" w:hAnsi="Times New Roman" w:cs="Times New Roman"/>
          <w:color w:val="000000" w:themeColor="text1"/>
          <w:sz w:val="24"/>
          <w:szCs w:val="24"/>
          <w:lang w:val="ru-RU"/>
        </w:rPr>
        <w:t xml:space="preserve"> центральными органами власти и центральными банками, </w:t>
      </w:r>
      <w:r w:rsidR="009C65C0" w:rsidRPr="00D43281">
        <w:rPr>
          <w:rFonts w:ascii="Times New Roman" w:hAnsi="Times New Roman" w:cs="Times New Roman"/>
          <w:color w:val="000000" w:themeColor="text1"/>
          <w:sz w:val="24"/>
          <w:szCs w:val="24"/>
          <w:lang w:val="ru-RU"/>
        </w:rPr>
        <w:t>подверженностей перед региональными администрациями, местными органами и субъектами публичного сектора</w:t>
      </w:r>
      <w:r w:rsidRPr="00D43281">
        <w:rPr>
          <w:rFonts w:ascii="Times New Roman" w:hAnsi="Times New Roman" w:cs="Times New Roman"/>
          <w:color w:val="000000" w:themeColor="text1"/>
          <w:sz w:val="24"/>
          <w:szCs w:val="24"/>
          <w:lang w:val="ru-RU"/>
        </w:rPr>
        <w:t xml:space="preserve">, </w:t>
      </w:r>
      <w:r w:rsidR="00543FE4" w:rsidRPr="00D43281">
        <w:rPr>
          <w:rFonts w:ascii="Times New Roman" w:hAnsi="Times New Roman" w:cs="Times New Roman"/>
          <w:color w:val="000000" w:themeColor="text1"/>
          <w:sz w:val="24"/>
          <w:szCs w:val="24"/>
          <w:lang w:val="ru-RU"/>
        </w:rPr>
        <w:t>подверженностей перед банками и подверженностей перед обществами</w:t>
      </w:r>
      <w:r w:rsidRPr="00D43281">
        <w:rPr>
          <w:rFonts w:ascii="Times New Roman" w:hAnsi="Times New Roman" w:cs="Times New Roman"/>
          <w:color w:val="000000" w:themeColor="text1"/>
          <w:sz w:val="24"/>
          <w:szCs w:val="24"/>
          <w:lang w:val="ru-RU"/>
        </w:rPr>
        <w:t>, их классификация осуществляется в соответствии со следующими критериями</w:t>
      </w:r>
      <w:r w:rsidR="004579DE" w:rsidRPr="00D43281">
        <w:rPr>
          <w:rFonts w:ascii="Times New Roman" w:hAnsi="Times New Roman" w:cs="Times New Roman"/>
          <w:color w:val="000000" w:themeColor="text1"/>
          <w:sz w:val="24"/>
          <w:szCs w:val="24"/>
          <w:lang w:val="ru-RU"/>
        </w:rPr>
        <w:t>:</w:t>
      </w:r>
      <w:bookmarkEnd w:id="132"/>
    </w:p>
    <w:p w14:paraId="3CB9BE13" w14:textId="6D757871" w:rsidR="004579DE" w:rsidRPr="00D43281" w:rsidRDefault="0049182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Каждому заемщику присваивается рейтинговый класс в рамках процесса одобрения кредита</w:t>
      </w:r>
      <w:r w:rsidR="004579DE" w:rsidRPr="00D43281">
        <w:rPr>
          <w:rFonts w:ascii="Times New Roman" w:hAnsi="Times New Roman" w:cs="Times New Roman"/>
          <w:color w:val="000000" w:themeColor="text1"/>
          <w:sz w:val="24"/>
          <w:szCs w:val="24"/>
          <w:lang w:val="ru-RU"/>
        </w:rPr>
        <w:t>;</w:t>
      </w:r>
    </w:p>
    <w:p w14:paraId="0E6981D2" w14:textId="4E9A6A7B" w:rsidR="004579DE" w:rsidRPr="00D43281" w:rsidRDefault="00AF4C0C" w:rsidP="00A47DDF">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Для подверженностей, по которым банк получил </w:t>
      </w:r>
      <w:r w:rsidR="000752E1" w:rsidRPr="00D43281">
        <w:rPr>
          <w:rFonts w:ascii="Times New Roman" w:hAnsi="Times New Roman" w:cs="Times New Roman"/>
          <w:color w:val="000000" w:themeColor="text1"/>
          <w:sz w:val="24"/>
          <w:szCs w:val="24"/>
          <w:lang w:val="ru-RU"/>
        </w:rPr>
        <w:t xml:space="preserve">в соответствии с пунктами </w:t>
      </w:r>
      <w:r w:rsidR="00B631B9" w:rsidRPr="00D43281">
        <w:rPr>
          <w:rFonts w:ascii="Times New Roman" w:hAnsi="Times New Roman" w:cs="Times New Roman"/>
          <w:color w:val="000000" w:themeColor="text1"/>
          <w:sz w:val="24"/>
          <w:szCs w:val="24"/>
          <w:lang w:val="ru-RU"/>
        </w:rPr>
        <w:t>4–</w:t>
      </w:r>
      <w:r w:rsidR="002F3264" w:rsidRPr="00D43281">
        <w:rPr>
          <w:rFonts w:ascii="Times New Roman" w:hAnsi="Times New Roman" w:cs="Times New Roman"/>
          <w:color w:val="000000" w:themeColor="text1"/>
          <w:sz w:val="24"/>
          <w:szCs w:val="24"/>
          <w:lang w:val="ru-RU"/>
        </w:rPr>
        <w:t>7 разрешение</w:t>
      </w:r>
      <w:r w:rsidR="000752E1" w:rsidRPr="00D43281">
        <w:rPr>
          <w:rFonts w:ascii="Times New Roman" w:hAnsi="Times New Roman" w:cs="Times New Roman"/>
          <w:color w:val="000000" w:themeColor="text1"/>
          <w:sz w:val="24"/>
          <w:szCs w:val="24"/>
          <w:lang w:val="ru-RU"/>
        </w:rPr>
        <w:t xml:space="preserve"> Национального банка Молдовы </w:t>
      </w:r>
      <w:r w:rsidRPr="00D43281">
        <w:rPr>
          <w:rFonts w:ascii="Times New Roman" w:hAnsi="Times New Roman" w:cs="Times New Roman"/>
          <w:color w:val="000000" w:themeColor="text1"/>
          <w:sz w:val="24"/>
          <w:szCs w:val="24"/>
          <w:lang w:val="ru-RU"/>
        </w:rPr>
        <w:t xml:space="preserve">на использование собственных оценок </w:t>
      </w:r>
      <w:r w:rsidR="000752E1" w:rsidRPr="00D43281">
        <w:rPr>
          <w:rFonts w:ascii="Times New Roman" w:hAnsi="Times New Roman" w:cs="Times New Roman"/>
          <w:color w:val="000000" w:themeColor="text1"/>
          <w:sz w:val="24"/>
          <w:szCs w:val="24"/>
          <w:lang w:val="ru-RU"/>
        </w:rPr>
        <w:t>убытков</w:t>
      </w:r>
      <w:r w:rsidR="00D12547" w:rsidRPr="00D43281">
        <w:rPr>
          <w:rFonts w:ascii="Times New Roman" w:hAnsi="Times New Roman" w:cs="Times New Roman"/>
          <w:color w:val="000000" w:themeColor="text1"/>
          <w:sz w:val="24"/>
          <w:szCs w:val="24"/>
          <w:lang w:val="ru-RU"/>
        </w:rPr>
        <w:t xml:space="preserve"> в случае невозврата и</w:t>
      </w:r>
      <w:r w:rsidR="000752E1" w:rsidRPr="00D43281">
        <w:rPr>
          <w:rFonts w:ascii="Times New Roman" w:hAnsi="Times New Roman" w:cs="Times New Roman"/>
          <w:color w:val="000000" w:themeColor="text1"/>
          <w:sz w:val="24"/>
          <w:szCs w:val="24"/>
          <w:lang w:val="ru-RU"/>
        </w:rPr>
        <w:t xml:space="preserve"> </w:t>
      </w:r>
      <w:r w:rsidR="00D12547" w:rsidRPr="00D43281">
        <w:rPr>
          <w:rFonts w:ascii="Times New Roman" w:hAnsi="Times New Roman" w:cs="Times New Roman"/>
          <w:color w:val="000000" w:themeColor="text1"/>
          <w:sz w:val="24"/>
          <w:szCs w:val="24"/>
          <w:lang w:val="ru-RU"/>
        </w:rPr>
        <w:t>коэффициентов пересчета</w:t>
      </w:r>
      <w:r w:rsidRPr="00D43281">
        <w:rPr>
          <w:rFonts w:ascii="Times New Roman" w:hAnsi="Times New Roman" w:cs="Times New Roman"/>
          <w:color w:val="000000" w:themeColor="text1"/>
          <w:sz w:val="24"/>
          <w:szCs w:val="24"/>
          <w:lang w:val="ru-RU"/>
        </w:rPr>
        <w:t>, каждо</w:t>
      </w:r>
      <w:r w:rsidR="00BD33C8" w:rsidRPr="00D43281">
        <w:rPr>
          <w:rFonts w:ascii="Times New Roman" w:hAnsi="Times New Roman" w:cs="Times New Roman"/>
          <w:color w:val="000000" w:themeColor="text1"/>
          <w:sz w:val="24"/>
          <w:szCs w:val="24"/>
          <w:lang w:val="ru-RU"/>
        </w:rPr>
        <w:t>й подверженности</w:t>
      </w:r>
      <w:r w:rsidRPr="00D43281">
        <w:rPr>
          <w:rFonts w:ascii="Times New Roman" w:hAnsi="Times New Roman" w:cs="Times New Roman"/>
          <w:color w:val="000000" w:themeColor="text1"/>
          <w:sz w:val="24"/>
          <w:szCs w:val="24"/>
          <w:lang w:val="ru-RU"/>
        </w:rPr>
        <w:t xml:space="preserve"> в процессе одобрения кредита присваивается определенная категория риска</w:t>
      </w:r>
      <w:r w:rsidR="004579DE" w:rsidRPr="00D43281">
        <w:rPr>
          <w:rFonts w:ascii="Times New Roman" w:hAnsi="Times New Roman" w:cs="Times New Roman"/>
          <w:color w:val="000000" w:themeColor="text1"/>
          <w:sz w:val="24"/>
          <w:szCs w:val="24"/>
          <w:lang w:val="ru-RU"/>
        </w:rPr>
        <w:t>;</w:t>
      </w:r>
    </w:p>
    <w:p w14:paraId="2772F68C" w14:textId="2520409E" w:rsidR="004579DE" w:rsidRPr="00D43281" w:rsidRDefault="00B631B9" w:rsidP="00EF07E1">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Банки, использующие методы, изложенные в пунктах 75–76, для присвоения весовых коэффициентов риска подверженностям из специализированного финансирования, должны присваивать каждой из этих подверженностей рейтинговую категорию в соответствии с пунктом 165</w:t>
      </w:r>
      <w:r w:rsidR="004579DE" w:rsidRPr="00D43281">
        <w:rPr>
          <w:rFonts w:ascii="Times New Roman" w:hAnsi="Times New Roman" w:cs="Times New Roman"/>
          <w:color w:val="000000" w:themeColor="text1"/>
          <w:sz w:val="24"/>
          <w:szCs w:val="24"/>
          <w:lang w:val="ru-RU"/>
        </w:rPr>
        <w:t>;</w:t>
      </w:r>
    </w:p>
    <w:p w14:paraId="05ED08D9" w14:textId="7608FCAB" w:rsidR="004579DE" w:rsidRPr="00D43281" w:rsidRDefault="002F3264"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33" w:name="_Ref222836166"/>
      <w:r w:rsidRPr="00D43281">
        <w:rPr>
          <w:rFonts w:ascii="Times New Roman" w:hAnsi="Times New Roman" w:cs="Times New Roman"/>
          <w:color w:val="000000" w:themeColor="text1"/>
          <w:sz w:val="24"/>
          <w:szCs w:val="24"/>
          <w:lang w:val="ru-RU"/>
        </w:rPr>
        <w:t>Каждое отдельное юридическое лицо, в отношении которого банк имеет подверженности, оценивается отдельно</w:t>
      </w:r>
      <w:r w:rsidR="004579DE" w:rsidRPr="00D43281">
        <w:rPr>
          <w:rFonts w:ascii="Times New Roman" w:hAnsi="Times New Roman" w:cs="Times New Roman"/>
          <w:color w:val="000000" w:themeColor="text1"/>
          <w:sz w:val="24"/>
          <w:szCs w:val="24"/>
          <w:lang w:val="ro-RO"/>
        </w:rPr>
        <w:t>;</w:t>
      </w:r>
      <w:bookmarkEnd w:id="133"/>
    </w:p>
    <w:p w14:paraId="1BC06832" w14:textId="072A8F8A" w:rsidR="004579DE" w:rsidRPr="00D43281" w:rsidRDefault="00064F09" w:rsidP="00AC7226">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Различные подверженности, связанные с одним и тем же заемщиком, должны быть отнесены к одному и тому же рейтинговому классу заемщика, независимо от различий в характере каждой конкретной сделки. Однако различные подверженности могут привести к тому, что одному и тому же заемщику будет присвоено более одного рейтингового класса в следующих случаях</w:t>
      </w:r>
      <w:r w:rsidR="004579DE" w:rsidRPr="00D43281">
        <w:rPr>
          <w:rFonts w:ascii="Times New Roman" w:hAnsi="Times New Roman" w:cs="Times New Roman"/>
          <w:color w:val="000000" w:themeColor="text1"/>
          <w:sz w:val="24"/>
          <w:szCs w:val="24"/>
          <w:lang w:val="ru-RU"/>
        </w:rPr>
        <w:t>:</w:t>
      </w:r>
    </w:p>
    <w:p w14:paraId="1334C3C5" w14:textId="754A62F8" w:rsidR="002B0F57" w:rsidRPr="00D43281" w:rsidRDefault="003F0457" w:rsidP="00E90A53">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Существует риск перевода средств, связанный со страной, поскольку подверженности выражены в местной валюте или в иностранной валюте</w:t>
      </w:r>
      <w:r w:rsidR="004579DE" w:rsidRPr="00D43281">
        <w:rPr>
          <w:rFonts w:ascii="Times New Roman" w:hAnsi="Times New Roman" w:cs="Times New Roman"/>
          <w:color w:val="000000" w:themeColor="text1"/>
          <w:sz w:val="24"/>
          <w:szCs w:val="24"/>
          <w:lang w:val="ru-RU"/>
        </w:rPr>
        <w:t>;</w:t>
      </w:r>
    </w:p>
    <w:p w14:paraId="7E6E79AB" w14:textId="7D30B265" w:rsidR="002B0F57" w:rsidRPr="00D43281" w:rsidRDefault="00776ED5" w:rsidP="00E90A53">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Обработка залогового обеспечения, связанного с подверженностью, может заключаться в корректировке рейтинга, присвоенного заемщику</w:t>
      </w:r>
      <w:r w:rsidR="004579DE" w:rsidRPr="00D43281">
        <w:rPr>
          <w:rFonts w:ascii="Times New Roman" w:hAnsi="Times New Roman" w:cs="Times New Roman"/>
          <w:color w:val="000000" w:themeColor="text1"/>
          <w:sz w:val="24"/>
          <w:szCs w:val="24"/>
          <w:lang w:val="ru-RU"/>
        </w:rPr>
        <w:t>;</w:t>
      </w:r>
    </w:p>
    <w:p w14:paraId="23C060FA" w14:textId="0736255E" w:rsidR="004579DE" w:rsidRPr="00D43281" w:rsidRDefault="00B47F6F" w:rsidP="00E90A53">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lastRenderedPageBreak/>
        <w:t>Законодательство о защите прав потребителей или банковской тайне, а также любые другие нормативные акты запрещают обмен информацией о клиентах</w:t>
      </w:r>
      <w:r w:rsidR="004579DE" w:rsidRPr="00D43281">
        <w:rPr>
          <w:rFonts w:ascii="Times New Roman" w:hAnsi="Times New Roman" w:cs="Times New Roman"/>
          <w:color w:val="000000" w:themeColor="text1"/>
          <w:sz w:val="24"/>
          <w:szCs w:val="24"/>
          <w:lang w:val="ru-RU"/>
        </w:rPr>
        <w:t>.</w:t>
      </w:r>
    </w:p>
    <w:p w14:paraId="0A9BFD51" w14:textId="5092AF26" w:rsidR="00B47F6F" w:rsidRPr="00D43281" w:rsidRDefault="00B47F6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Для целей подпункта 171.4 банк должен иметь надлежащие правила обращения с отдельными заемщиками и группами связанных клиентов. Эти правила должны включать процедуру определения конкретного риска неблагоприятной корреляции для каждого юридического лица, с которым банк имеет подверженности.</w:t>
      </w:r>
    </w:p>
    <w:p w14:paraId="685F74A0" w14:textId="62B184D2" w:rsidR="00D96B3D" w:rsidRPr="00D43281" w:rsidRDefault="00D96B3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 целях нормативных актов Национального банка Молдовы, касающихся учета кредитного риска контрагента, сделки с контрагентами, для которых выявлен специфический риск неблагоприятной корреляции, рассматриваются по-разному при расчете стоимости их подверженностей.</w:t>
      </w:r>
    </w:p>
    <w:p w14:paraId="0DA364A8" w14:textId="12955D63" w:rsidR="004579DE" w:rsidRPr="00D43281" w:rsidRDefault="00123E7D" w:rsidP="0050258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 случае подверженностей ритейл каждой подверженности необходимо присвоить рейтинговый класс или пул рисков в рамках процесса одобрения кредита</w:t>
      </w:r>
      <w:r w:rsidR="004579DE" w:rsidRPr="00D43281">
        <w:rPr>
          <w:rFonts w:ascii="Times New Roman" w:hAnsi="Times New Roman" w:cs="Times New Roman"/>
          <w:color w:val="000000" w:themeColor="text1"/>
          <w:sz w:val="24"/>
          <w:szCs w:val="24"/>
          <w:lang w:val="ru-RU"/>
        </w:rPr>
        <w:t>.</w:t>
      </w:r>
    </w:p>
    <w:p w14:paraId="3B25AC87" w14:textId="1945ED38" w:rsidR="00940FA6" w:rsidRPr="00D43281" w:rsidRDefault="00940FA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34" w:name="_Ref215507822"/>
      <w:r w:rsidRPr="00D43281">
        <w:rPr>
          <w:rFonts w:ascii="Times New Roman" w:hAnsi="Times New Roman" w:cs="Times New Roman"/>
          <w:color w:val="000000" w:themeColor="text1"/>
          <w:sz w:val="24"/>
          <w:szCs w:val="24"/>
          <w:lang w:val="ru-RU"/>
        </w:rPr>
        <w:t xml:space="preserve">В отношении присвоения рейтингового уровня или пула рисков банки должны документировать ситуации, в которых профессиональное суждение может преобладать над входными или выходными данными процесса присвоения, а также информацию о персонале, ответственном за утверждение приоритета человеческого суждения. Банки должны документировать эти изменения и письменно фиксировать ответственный за это персонал. Банки должны проводить анализ эффективности подверженностей, рейтинги которых были изменены. Этот анализ должен включать оценку эффективности </w:t>
      </w:r>
      <w:r w:rsidR="00FF6423" w:rsidRPr="00D43281">
        <w:rPr>
          <w:rFonts w:ascii="Times New Roman" w:hAnsi="Times New Roman" w:cs="Times New Roman"/>
          <w:color w:val="000000" w:themeColor="text1"/>
          <w:sz w:val="24"/>
          <w:szCs w:val="24"/>
          <w:lang w:val="ru-RU"/>
        </w:rPr>
        <w:t>подверженностей</w:t>
      </w:r>
      <w:r w:rsidRPr="00D43281">
        <w:rPr>
          <w:rFonts w:ascii="Times New Roman" w:hAnsi="Times New Roman" w:cs="Times New Roman"/>
          <w:color w:val="000000" w:themeColor="text1"/>
          <w:sz w:val="24"/>
          <w:szCs w:val="24"/>
          <w:lang w:val="ru-RU"/>
        </w:rPr>
        <w:t>, рейтинги которых были изменены, проводимую назначенным лицом, которое принимает на себя ответственность за весь персонал, ответственный за изменение.</w:t>
      </w:r>
    </w:p>
    <w:p w14:paraId="46AF37CF" w14:textId="513193F6" w:rsidR="00032C81" w:rsidRPr="00D43281" w:rsidRDefault="00032C8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35" w:name="_Ref215507833"/>
      <w:bookmarkEnd w:id="134"/>
      <w:r w:rsidRPr="00D43281">
        <w:rPr>
          <w:rFonts w:ascii="Times New Roman" w:hAnsi="Times New Roman" w:cs="Times New Roman"/>
          <w:color w:val="000000" w:themeColor="text1"/>
          <w:sz w:val="24"/>
          <w:szCs w:val="24"/>
          <w:lang w:val="ru-RU"/>
        </w:rPr>
        <w:t xml:space="preserve">В отношении </w:t>
      </w:r>
      <w:r w:rsidR="008A23AA" w:rsidRPr="00D43281">
        <w:rPr>
          <w:rFonts w:ascii="Times New Roman" w:hAnsi="Times New Roman" w:cs="Times New Roman"/>
          <w:color w:val="000000" w:themeColor="text1"/>
          <w:sz w:val="24"/>
          <w:szCs w:val="24"/>
          <w:lang w:val="ru-RU"/>
        </w:rPr>
        <w:t>подверженностей перед центральными органами власти и центральными банками, подверженностей перед региональными администрациями, местными органами и субъектами публичного сектора, подверженностей перед банками и подверженностей перед обществами</w:t>
      </w:r>
      <w:r w:rsidRPr="00D43281">
        <w:rPr>
          <w:rFonts w:ascii="Times New Roman" w:hAnsi="Times New Roman" w:cs="Times New Roman"/>
          <w:color w:val="000000" w:themeColor="text1"/>
          <w:sz w:val="24"/>
          <w:szCs w:val="24"/>
          <w:lang w:val="ru-RU"/>
        </w:rPr>
        <w:t xml:space="preserve">, процесс </w:t>
      </w:r>
      <w:r w:rsidR="005439D1" w:rsidRPr="00D43281">
        <w:rPr>
          <w:rFonts w:ascii="Times New Roman" w:hAnsi="Times New Roman" w:cs="Times New Roman"/>
          <w:color w:val="000000" w:themeColor="text1"/>
          <w:sz w:val="24"/>
          <w:szCs w:val="24"/>
          <w:lang w:val="ru-RU"/>
        </w:rPr>
        <w:t>распределения</w:t>
      </w:r>
      <w:r w:rsidRPr="00D43281">
        <w:rPr>
          <w:rFonts w:ascii="Times New Roman" w:hAnsi="Times New Roman" w:cs="Times New Roman"/>
          <w:color w:val="000000" w:themeColor="text1"/>
          <w:sz w:val="24"/>
          <w:szCs w:val="24"/>
          <w:lang w:val="ru-RU"/>
        </w:rPr>
        <w:t xml:space="preserve"> должен соответствовать следующим требованиям:</w:t>
      </w:r>
    </w:p>
    <w:bookmarkEnd w:id="135"/>
    <w:p w14:paraId="2309B34A" w14:textId="5D049D2F" w:rsidR="003F6CFB" w:rsidRPr="00D43281" w:rsidRDefault="005439D1" w:rsidP="00C23822">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Процесс </w:t>
      </w:r>
      <w:r w:rsidR="00AB5C45" w:rsidRPr="00D43281">
        <w:rPr>
          <w:rFonts w:ascii="Times New Roman" w:hAnsi="Times New Roman" w:cs="Times New Roman"/>
          <w:color w:val="000000" w:themeColor="text1"/>
          <w:sz w:val="24"/>
          <w:szCs w:val="24"/>
          <w:lang w:val="ru-RU"/>
        </w:rPr>
        <w:t xml:space="preserve">их </w:t>
      </w:r>
      <w:r w:rsidRPr="00D43281">
        <w:rPr>
          <w:rFonts w:ascii="Times New Roman" w:hAnsi="Times New Roman" w:cs="Times New Roman"/>
          <w:color w:val="000000" w:themeColor="text1"/>
          <w:sz w:val="24"/>
          <w:szCs w:val="24"/>
          <w:lang w:val="ru-RU"/>
        </w:rPr>
        <w:t xml:space="preserve">распределения и </w:t>
      </w:r>
      <w:r w:rsidR="00E36A50" w:rsidRPr="00D43281">
        <w:rPr>
          <w:rFonts w:ascii="Times New Roman" w:hAnsi="Times New Roman" w:cs="Times New Roman"/>
          <w:color w:val="000000" w:themeColor="text1"/>
          <w:sz w:val="24"/>
          <w:szCs w:val="24"/>
          <w:lang w:val="ru-RU"/>
        </w:rPr>
        <w:t>его</w:t>
      </w:r>
      <w:r w:rsidRPr="00D43281">
        <w:rPr>
          <w:rFonts w:ascii="Times New Roman" w:hAnsi="Times New Roman" w:cs="Times New Roman"/>
          <w:color w:val="000000" w:themeColor="text1"/>
          <w:sz w:val="24"/>
          <w:szCs w:val="24"/>
          <w:lang w:val="ru-RU"/>
        </w:rPr>
        <w:t xml:space="preserve"> периодический пересмотр осуществля</w:t>
      </w:r>
      <w:r w:rsidR="00E36A50" w:rsidRPr="00D43281">
        <w:rPr>
          <w:rFonts w:ascii="Times New Roman" w:hAnsi="Times New Roman" w:cs="Times New Roman"/>
          <w:color w:val="000000" w:themeColor="text1"/>
          <w:sz w:val="24"/>
          <w:szCs w:val="24"/>
          <w:lang w:val="ru-RU"/>
        </w:rPr>
        <w:t>е</w:t>
      </w:r>
      <w:r w:rsidRPr="00D43281">
        <w:rPr>
          <w:rFonts w:ascii="Times New Roman" w:hAnsi="Times New Roman" w:cs="Times New Roman"/>
          <w:color w:val="000000" w:themeColor="text1"/>
          <w:sz w:val="24"/>
          <w:szCs w:val="24"/>
          <w:lang w:val="ru-RU"/>
        </w:rPr>
        <w:t>тся и утвержда</w:t>
      </w:r>
      <w:r w:rsidR="00E36A50" w:rsidRPr="00D43281">
        <w:rPr>
          <w:rFonts w:ascii="Times New Roman" w:hAnsi="Times New Roman" w:cs="Times New Roman"/>
          <w:color w:val="000000" w:themeColor="text1"/>
          <w:sz w:val="24"/>
          <w:szCs w:val="24"/>
          <w:lang w:val="ru-RU"/>
        </w:rPr>
        <w:t>е</w:t>
      </w:r>
      <w:r w:rsidRPr="00D43281">
        <w:rPr>
          <w:rFonts w:ascii="Times New Roman" w:hAnsi="Times New Roman" w:cs="Times New Roman"/>
          <w:color w:val="000000" w:themeColor="text1"/>
          <w:sz w:val="24"/>
          <w:szCs w:val="24"/>
          <w:lang w:val="ru-RU"/>
        </w:rPr>
        <w:t>тся независимым лицом, не получающим прямой выгоды от решений о предоставлении кредитов</w:t>
      </w:r>
      <w:r w:rsidR="003F6CFB" w:rsidRPr="00D43281">
        <w:rPr>
          <w:rFonts w:ascii="Times New Roman" w:hAnsi="Times New Roman" w:cs="Times New Roman"/>
          <w:color w:val="000000" w:themeColor="text1"/>
          <w:sz w:val="24"/>
          <w:szCs w:val="24"/>
          <w:lang w:val="ru-RU"/>
        </w:rPr>
        <w:t>.</w:t>
      </w:r>
    </w:p>
    <w:p w14:paraId="462FD4BB" w14:textId="13584588" w:rsidR="003F6CFB" w:rsidRPr="00D43281" w:rsidRDefault="007A24CD" w:rsidP="00A1301B">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RU"/>
        </w:rPr>
        <w:t xml:space="preserve">Банки обязаны пересматривать результаты процесса распределения заемщиков не реже одного раза в год и вносить корректировки, если результаты пересмотра не оправдывают сохранение распределения по категориям и группам заемщиков. Заемщики с высоким риском и проблемные подверженности подлежат более частому пересмотру. </w:t>
      </w:r>
      <w:r w:rsidR="004D03B0" w:rsidRPr="00D43281">
        <w:rPr>
          <w:rFonts w:ascii="Times New Roman" w:hAnsi="Times New Roman" w:cs="Times New Roman"/>
          <w:color w:val="000000" w:themeColor="text1"/>
          <w:sz w:val="24"/>
          <w:szCs w:val="24"/>
          <w:lang w:val="ru-RU"/>
        </w:rPr>
        <w:t>Банки</w:t>
      </w:r>
      <w:r w:rsidRPr="00D43281">
        <w:rPr>
          <w:rFonts w:ascii="Times New Roman" w:hAnsi="Times New Roman" w:cs="Times New Roman"/>
          <w:color w:val="000000" w:themeColor="text1"/>
          <w:sz w:val="24"/>
          <w:szCs w:val="24"/>
          <w:lang w:val="ru-RU"/>
        </w:rPr>
        <w:t xml:space="preserve"> обязаны инициировать новый процесс распределения заемщиков, если становится доступна новая существенная информация о заемщике или </w:t>
      </w:r>
      <w:r w:rsidR="004D03B0" w:rsidRPr="00D43281">
        <w:rPr>
          <w:rFonts w:ascii="Times New Roman" w:hAnsi="Times New Roman" w:cs="Times New Roman"/>
          <w:color w:val="000000" w:themeColor="text1"/>
          <w:sz w:val="24"/>
          <w:szCs w:val="24"/>
          <w:lang w:val="ru-RU"/>
        </w:rPr>
        <w:t>подверженности</w:t>
      </w:r>
      <w:r w:rsidR="003F6CFB" w:rsidRPr="00D43281">
        <w:rPr>
          <w:rFonts w:ascii="Times New Roman" w:hAnsi="Times New Roman" w:cs="Times New Roman"/>
          <w:color w:val="000000" w:themeColor="text1"/>
          <w:sz w:val="24"/>
          <w:szCs w:val="24"/>
          <w:lang w:val="ro-RO"/>
        </w:rPr>
        <w:t>.</w:t>
      </w:r>
    </w:p>
    <w:p w14:paraId="34534D52" w14:textId="7CFD4717" w:rsidR="004D03B0" w:rsidRPr="00D43281" w:rsidRDefault="004D03B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Банк должен разработать эффективный процесс получения и обновления соответствующей информации о характеристиках заемщиков, влияющих на параметр вероятности </w:t>
      </w:r>
      <w:r w:rsidR="00F3273F"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xml:space="preserve">, и о характеристиках сделок, влияющих на </w:t>
      </w:r>
      <w:r w:rsidR="00F3273F" w:rsidRPr="00D43281">
        <w:rPr>
          <w:rFonts w:ascii="Times New Roman" w:hAnsi="Times New Roman" w:cs="Times New Roman"/>
          <w:color w:val="000000" w:themeColor="text1"/>
          <w:sz w:val="24"/>
          <w:szCs w:val="24"/>
          <w:lang w:val="ru-RU"/>
        </w:rPr>
        <w:t>потери в случае невозврата</w:t>
      </w:r>
      <w:r w:rsidRPr="00D43281">
        <w:rPr>
          <w:rFonts w:ascii="Times New Roman" w:hAnsi="Times New Roman" w:cs="Times New Roman"/>
          <w:color w:val="000000" w:themeColor="text1"/>
          <w:sz w:val="24"/>
          <w:szCs w:val="24"/>
          <w:lang w:val="ru-RU"/>
        </w:rPr>
        <w:t xml:space="preserve"> или коэффициенты конверсии.</w:t>
      </w:r>
    </w:p>
    <w:p w14:paraId="66FB71FA" w14:textId="57516196" w:rsidR="000C56EB" w:rsidRPr="00D43281" w:rsidRDefault="000C56E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36" w:name="_Ref215507839"/>
      <w:r w:rsidRPr="00D43281">
        <w:rPr>
          <w:rFonts w:ascii="Times New Roman" w:hAnsi="Times New Roman" w:cs="Times New Roman"/>
          <w:color w:val="000000" w:themeColor="text1"/>
          <w:sz w:val="24"/>
          <w:szCs w:val="24"/>
          <w:lang w:val="ru-RU"/>
        </w:rPr>
        <w:t xml:space="preserve">В отношении </w:t>
      </w:r>
      <w:r w:rsidR="00383C12" w:rsidRPr="00D43281">
        <w:rPr>
          <w:rFonts w:ascii="Times New Roman" w:hAnsi="Times New Roman" w:cs="Times New Roman"/>
          <w:color w:val="000000" w:themeColor="text1"/>
          <w:sz w:val="24"/>
          <w:szCs w:val="24"/>
          <w:lang w:val="ru-RU"/>
        </w:rPr>
        <w:t xml:space="preserve">подверженностей ритейл </w:t>
      </w:r>
      <w:r w:rsidRPr="00D43281">
        <w:rPr>
          <w:rFonts w:ascii="Times New Roman" w:hAnsi="Times New Roman" w:cs="Times New Roman"/>
          <w:color w:val="000000" w:themeColor="text1"/>
          <w:sz w:val="24"/>
          <w:szCs w:val="24"/>
          <w:lang w:val="ru-RU"/>
        </w:rPr>
        <w:t xml:space="preserve">банк должен как минимум ежегодно пересматривать распределение обязательств и сделок и корректировать распределение, если результаты пересмотра не оправдывают продолжение текущего распределения, или пересматривать характеристики убытков и профиль событий </w:t>
      </w:r>
      <w:r w:rsidR="000C54AD"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xml:space="preserve"> для каждого выявленного пула рисков, в зависимости от ситуации. Банк </w:t>
      </w:r>
      <w:r w:rsidR="000C54AD" w:rsidRPr="00D43281">
        <w:rPr>
          <w:rFonts w:ascii="Times New Roman" w:hAnsi="Times New Roman" w:cs="Times New Roman"/>
          <w:color w:val="000000" w:themeColor="text1"/>
          <w:sz w:val="24"/>
          <w:szCs w:val="24"/>
          <w:lang w:val="ru-RU"/>
        </w:rPr>
        <w:t>так же</w:t>
      </w:r>
      <w:r w:rsidRPr="00D43281">
        <w:rPr>
          <w:rFonts w:ascii="Times New Roman" w:hAnsi="Times New Roman" w:cs="Times New Roman"/>
          <w:color w:val="000000" w:themeColor="text1"/>
          <w:sz w:val="24"/>
          <w:szCs w:val="24"/>
          <w:lang w:val="ru-RU"/>
        </w:rPr>
        <w:t xml:space="preserve"> должен как минимум ежегодно, на репрезентативной выборке, пересматривать состояние отдельных </w:t>
      </w:r>
      <w:r w:rsidR="000C54AD" w:rsidRPr="00D43281">
        <w:rPr>
          <w:rFonts w:ascii="Times New Roman" w:hAnsi="Times New Roman" w:cs="Times New Roman"/>
          <w:color w:val="000000" w:themeColor="text1"/>
          <w:sz w:val="24"/>
          <w:szCs w:val="24"/>
          <w:lang w:val="ru-RU"/>
        </w:rPr>
        <w:t>подверженностей</w:t>
      </w:r>
      <w:r w:rsidRPr="00D43281">
        <w:rPr>
          <w:rFonts w:ascii="Times New Roman" w:hAnsi="Times New Roman" w:cs="Times New Roman"/>
          <w:color w:val="000000" w:themeColor="text1"/>
          <w:sz w:val="24"/>
          <w:szCs w:val="24"/>
          <w:lang w:val="ru-RU"/>
        </w:rPr>
        <w:t xml:space="preserve"> в каждом пуле рисков, чтобы обеспечить надлежащее распределение обязательств, и корректировать распределение, если результаты пересмотра не оправдывают продолжение текущего распределения.</w:t>
      </w:r>
    </w:p>
    <w:p w14:paraId="22815A9B" w14:textId="64AB115D" w:rsidR="009B7361" w:rsidRPr="00D43281" w:rsidRDefault="00360E26" w:rsidP="00A12334">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37" w:name="_Ref215507559"/>
      <w:bookmarkEnd w:id="136"/>
      <w:r w:rsidRPr="00D43281">
        <w:rPr>
          <w:rFonts w:ascii="Times New Roman" w:hAnsi="Times New Roman" w:cs="Times New Roman"/>
          <w:color w:val="000000" w:themeColor="text1"/>
          <w:sz w:val="24"/>
          <w:szCs w:val="24"/>
          <w:lang w:val="ru-RU"/>
        </w:rPr>
        <w:t>Банки должны использовать статистические или иные математические методы («модели») для присвоения подверженностей рейтинговым категориям или пулам рисков заемщиков или сделок. Должны быть соблюдены следующие требования</w:t>
      </w:r>
      <w:r w:rsidR="009B7361" w:rsidRPr="00D43281">
        <w:rPr>
          <w:rFonts w:ascii="Times New Roman" w:hAnsi="Times New Roman" w:cs="Times New Roman"/>
          <w:color w:val="000000" w:themeColor="text1"/>
          <w:sz w:val="24"/>
          <w:szCs w:val="24"/>
          <w:lang w:val="ru-RU"/>
        </w:rPr>
        <w:t>:</w:t>
      </w:r>
      <w:bookmarkEnd w:id="137"/>
    </w:p>
    <w:p w14:paraId="4082DFA4" w14:textId="76D7ACFC" w:rsidR="009B7361" w:rsidRPr="00D43281" w:rsidRDefault="0095690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38" w:name="_Ref215243891"/>
      <w:r w:rsidRPr="00D43281">
        <w:rPr>
          <w:rFonts w:ascii="Times New Roman" w:hAnsi="Times New Roman" w:cs="Times New Roman"/>
          <w:color w:val="000000" w:themeColor="text1"/>
          <w:sz w:val="24"/>
          <w:szCs w:val="24"/>
          <w:lang w:val="ru-RU"/>
        </w:rPr>
        <w:lastRenderedPageBreak/>
        <w:t>Модель должна обладать хорошей прогностической способностью, и ее использование не должно искажать потребности в собственных средствах</w:t>
      </w:r>
      <w:r w:rsidR="009B7361" w:rsidRPr="00D43281">
        <w:rPr>
          <w:rFonts w:ascii="Times New Roman" w:hAnsi="Times New Roman" w:cs="Times New Roman"/>
          <w:color w:val="000000" w:themeColor="text1"/>
          <w:sz w:val="24"/>
          <w:szCs w:val="24"/>
          <w:lang w:val="ru-RU"/>
        </w:rPr>
        <w:t>;</w:t>
      </w:r>
      <w:bookmarkEnd w:id="138"/>
    </w:p>
    <w:p w14:paraId="14B78FF3" w14:textId="1577056B" w:rsidR="009B7361" w:rsidRPr="00D43281" w:rsidRDefault="009B736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 </w:t>
      </w:r>
      <w:r w:rsidR="00062928" w:rsidRPr="00D43281">
        <w:rPr>
          <w:rFonts w:ascii="Times New Roman" w:hAnsi="Times New Roman" w:cs="Times New Roman"/>
          <w:color w:val="000000" w:themeColor="text1"/>
          <w:sz w:val="24"/>
          <w:szCs w:val="24"/>
          <w:lang w:val="ru-RU"/>
        </w:rPr>
        <w:t>Банк должен иметь процедуру проверки входных данных модели, которая включает оценку точности, полноты и адекватности этих данных</w:t>
      </w:r>
      <w:r w:rsidRPr="00D43281">
        <w:rPr>
          <w:rFonts w:ascii="Times New Roman" w:hAnsi="Times New Roman" w:cs="Times New Roman"/>
          <w:color w:val="000000" w:themeColor="text1"/>
          <w:sz w:val="24"/>
          <w:szCs w:val="24"/>
          <w:lang w:val="ru-RU"/>
        </w:rPr>
        <w:t>;</w:t>
      </w:r>
    </w:p>
    <w:p w14:paraId="518A9FEE" w14:textId="1DB35E54" w:rsidR="009B7361" w:rsidRPr="00D43281" w:rsidRDefault="009B7361" w:rsidP="001A3824">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 </w:t>
      </w:r>
      <w:r w:rsidR="00062928" w:rsidRPr="00D43281">
        <w:rPr>
          <w:rFonts w:ascii="Times New Roman" w:hAnsi="Times New Roman" w:cs="Times New Roman"/>
          <w:color w:val="000000" w:themeColor="text1"/>
          <w:sz w:val="24"/>
          <w:szCs w:val="24"/>
          <w:lang w:val="ru-RU"/>
        </w:rPr>
        <w:t xml:space="preserve">Данные, используемые для создания модели, должны </w:t>
      </w:r>
      <w:r w:rsidR="00FB6B78" w:rsidRPr="00D43281">
        <w:rPr>
          <w:rFonts w:ascii="Times New Roman" w:hAnsi="Times New Roman" w:cs="Times New Roman"/>
          <w:color w:val="000000" w:themeColor="text1"/>
          <w:sz w:val="24"/>
          <w:szCs w:val="24"/>
          <w:lang w:val="ru-RU"/>
        </w:rPr>
        <w:t xml:space="preserve">отражать фактических заемщиков или подверженности </w:t>
      </w:r>
      <w:r w:rsidR="00062928" w:rsidRPr="00D43281">
        <w:rPr>
          <w:rFonts w:ascii="Times New Roman" w:hAnsi="Times New Roman" w:cs="Times New Roman"/>
          <w:color w:val="000000" w:themeColor="text1"/>
          <w:sz w:val="24"/>
          <w:szCs w:val="24"/>
          <w:lang w:val="ru-RU"/>
        </w:rPr>
        <w:t>банка</w:t>
      </w:r>
      <w:r w:rsidRPr="00D43281">
        <w:rPr>
          <w:rFonts w:ascii="Times New Roman" w:hAnsi="Times New Roman" w:cs="Times New Roman"/>
          <w:color w:val="000000" w:themeColor="text1"/>
          <w:sz w:val="24"/>
          <w:szCs w:val="24"/>
          <w:lang w:val="ru-RU"/>
        </w:rPr>
        <w:t>;</w:t>
      </w:r>
    </w:p>
    <w:p w14:paraId="7CEAA4DA" w14:textId="45A6E4DC" w:rsidR="009B7361" w:rsidRPr="00D43281" w:rsidRDefault="00722DDE"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 должен иметь периодический цикл проверки модели, который включает мониторинг производительности и стабильности, проверку спецификаций и сравнение выходных данных с фактическими результатами</w:t>
      </w:r>
      <w:r w:rsidR="009B7361" w:rsidRPr="00D43281">
        <w:rPr>
          <w:rFonts w:ascii="Times New Roman" w:hAnsi="Times New Roman" w:cs="Times New Roman"/>
          <w:color w:val="000000" w:themeColor="text1"/>
          <w:sz w:val="24"/>
          <w:szCs w:val="24"/>
          <w:lang w:val="ru-RU"/>
        </w:rPr>
        <w:t>;</w:t>
      </w:r>
    </w:p>
    <w:p w14:paraId="2DCB2651" w14:textId="14F3CC06" w:rsidR="009B7361" w:rsidRPr="00D43281" w:rsidRDefault="00543A2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 должен использовать профессиональное суждение и человеческий контроль для дополнения статистической модели, чтобы проверять решения, принятые на основе модели, и обеспечивать ее надлежащее использование. Процедуры проверки должны быть направлены на выявление и ограничение ошибок, связанных с недостатками модели. Профессиональные суждения должны учитывать всю соответствующую информацию, которую модель не учитывает. Банк должен формализовать порядок объединения профессионального суждения и результатов модели.</w:t>
      </w:r>
    </w:p>
    <w:p w14:paraId="66E98E3C" w14:textId="67E6C5C3" w:rsidR="009B7361" w:rsidRPr="00D43281" w:rsidRDefault="00151809"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39" w:name="_Ref215507565"/>
      <w:r w:rsidRPr="00D43281">
        <w:rPr>
          <w:rFonts w:ascii="Times New Roman" w:hAnsi="Times New Roman" w:cs="Times New Roman"/>
          <w:color w:val="000000" w:themeColor="text1"/>
          <w:sz w:val="24"/>
          <w:szCs w:val="24"/>
          <w:lang w:val="ru-MD"/>
        </w:rPr>
        <w:t>Для целей подпункта 178.1 входные переменные представляют собой разумную и эффективную основу для получаемых прогнозов. Модель не вносит существенных искажений в результаты. Между входными данными и результатами модели существует функциональная зависимость, которая может быть определена экспертной оценкой, в зависимости от обстоятельств</w:t>
      </w:r>
      <w:r w:rsidR="009B7361" w:rsidRPr="00D43281">
        <w:rPr>
          <w:rFonts w:ascii="Times New Roman" w:hAnsi="Times New Roman" w:cs="Times New Roman"/>
          <w:color w:val="000000" w:themeColor="text1"/>
          <w:sz w:val="24"/>
          <w:szCs w:val="24"/>
          <w:lang w:val="ru-MD"/>
        </w:rPr>
        <w:t>.</w:t>
      </w:r>
      <w:bookmarkEnd w:id="139"/>
    </w:p>
    <w:p w14:paraId="59134055" w14:textId="096F1DDE" w:rsidR="00F06345" w:rsidRPr="00D43281" w:rsidRDefault="00151809" w:rsidP="00E0706B">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Подчасть</w:t>
      </w:r>
      <w:r w:rsidR="00F06345" w:rsidRPr="00D43281">
        <w:rPr>
          <w:rFonts w:ascii="Times New Roman" w:hAnsi="Times New Roman" w:cs="Times New Roman"/>
          <w:b/>
          <w:bCs/>
          <w:i/>
          <w:iCs/>
          <w:color w:val="000000" w:themeColor="text1"/>
          <w:sz w:val="24"/>
          <w:szCs w:val="24"/>
          <w:lang w:val="ro-RO"/>
        </w:rPr>
        <w:t xml:space="preserve"> 3</w:t>
      </w:r>
    </w:p>
    <w:p w14:paraId="5297F3A4" w14:textId="0CBA1E12" w:rsidR="00F06345" w:rsidRPr="00D43281" w:rsidRDefault="00151809" w:rsidP="00E0706B">
      <w:pPr>
        <w:shd w:val="clear" w:color="auto" w:fill="FFFFFF"/>
        <w:tabs>
          <w:tab w:val="left" w:pos="0"/>
          <w:tab w:val="left" w:pos="567"/>
        </w:tabs>
        <w:spacing w:after="120" w:line="240" w:lineRule="auto"/>
        <w:jc w:val="center"/>
        <w:rPr>
          <w:rFonts w:ascii="Times New Roman" w:hAnsi="Times New Roman" w:cs="Times New Roman"/>
          <w:color w:val="000000" w:themeColor="text1"/>
          <w:sz w:val="24"/>
          <w:szCs w:val="24"/>
          <w:lang w:val="ru-RU"/>
        </w:rPr>
      </w:pPr>
      <w:r w:rsidRPr="00D43281">
        <w:rPr>
          <w:rFonts w:ascii="Times New Roman" w:hAnsi="Times New Roman" w:cs="Times New Roman"/>
          <w:b/>
          <w:bCs/>
          <w:i/>
          <w:iCs/>
          <w:color w:val="000000" w:themeColor="text1"/>
          <w:sz w:val="24"/>
          <w:szCs w:val="24"/>
          <w:lang w:val="ru-RU"/>
        </w:rPr>
        <w:t>Документация по рейтинговым системам и хранение данных</w:t>
      </w:r>
    </w:p>
    <w:p w14:paraId="1FDB9629" w14:textId="19C1F959" w:rsidR="00C13663" w:rsidRPr="00D43281" w:rsidRDefault="007A2F4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40" w:name="_Ref215567127"/>
      <w:r w:rsidRPr="00D43281">
        <w:rPr>
          <w:rFonts w:ascii="Times New Roman" w:hAnsi="Times New Roman" w:cs="Times New Roman"/>
          <w:color w:val="000000" w:themeColor="text1"/>
          <w:sz w:val="24"/>
          <w:szCs w:val="24"/>
          <w:lang w:val="ru-MD"/>
        </w:rPr>
        <w:t xml:space="preserve">Банки должны формализовать концептуальные и операционные детали своих рейтинговых систем. Документация должна демонстрировать соответствие требованиям, изложенным в </w:t>
      </w:r>
      <w:r w:rsidR="008145E9" w:rsidRPr="008145E9">
        <w:rPr>
          <w:rFonts w:ascii="Times New Roman" w:hAnsi="Times New Roman" w:cs="Times New Roman"/>
          <w:color w:val="000000" w:themeColor="text1"/>
          <w:sz w:val="24"/>
          <w:szCs w:val="24"/>
          <w:lang w:val="ru-MD"/>
        </w:rPr>
        <w:t>данной главе</w:t>
      </w:r>
      <w:r w:rsidRPr="008145E9">
        <w:rPr>
          <w:rFonts w:ascii="Times New Roman" w:hAnsi="Times New Roman" w:cs="Times New Roman"/>
          <w:color w:val="000000" w:themeColor="text1"/>
          <w:sz w:val="24"/>
          <w:szCs w:val="24"/>
          <w:lang w:val="ru-MD"/>
        </w:rPr>
        <w:t>,</w:t>
      </w:r>
      <w:r w:rsidRPr="00D43281">
        <w:rPr>
          <w:rFonts w:ascii="Times New Roman" w:hAnsi="Times New Roman" w:cs="Times New Roman"/>
          <w:color w:val="000000" w:themeColor="text1"/>
          <w:sz w:val="24"/>
          <w:szCs w:val="24"/>
          <w:lang w:val="ru-MD"/>
        </w:rPr>
        <w:t xml:space="preserve"> и должна охватывать такие темы, как дифференциация портфеля, критерии рейтингования, обязанности сторон, присваивающих рейтинги заемщикам и рискам, частота пересмотра присвоенных рейтингов и надзор за процессом рейтингования со стороны органа управления</w:t>
      </w:r>
      <w:r w:rsidR="00C13663" w:rsidRPr="00D43281">
        <w:rPr>
          <w:rFonts w:ascii="Times New Roman" w:hAnsi="Times New Roman" w:cs="Times New Roman"/>
          <w:color w:val="000000" w:themeColor="text1"/>
          <w:sz w:val="24"/>
          <w:szCs w:val="24"/>
          <w:lang w:val="ru-MD"/>
        </w:rPr>
        <w:t>.</w:t>
      </w:r>
      <w:bookmarkEnd w:id="140"/>
    </w:p>
    <w:p w14:paraId="461C69B4" w14:textId="2E941C49" w:rsidR="00C13663" w:rsidRPr="00D43281" w:rsidRDefault="00136F8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 должен формализовать причины и анализ, на которых основан выбор рейтинговых критериев. Банк должен формализовать все существенные изменения в процессе рейтингования рисков, предоставив документацию, позволяющую идентифицировать изменения в процессе рейтингования рисков с момента последнего пересмотра Национальным банком Молдовы. Также должна быть формализована организация распределения по рейтинговым классам и группам рисков, включая процесс рейтингования и структуру внутреннего контроля</w:t>
      </w:r>
      <w:r w:rsidR="00C13663" w:rsidRPr="00D43281">
        <w:rPr>
          <w:rFonts w:ascii="Times New Roman" w:hAnsi="Times New Roman" w:cs="Times New Roman"/>
          <w:color w:val="000000" w:themeColor="text1"/>
          <w:sz w:val="24"/>
          <w:szCs w:val="24"/>
          <w:lang w:val="ru-MD"/>
        </w:rPr>
        <w:t>.</w:t>
      </w:r>
    </w:p>
    <w:p w14:paraId="4B0FEAD1" w14:textId="07DFFC5F" w:rsidR="00C13663" w:rsidRPr="00D43281" w:rsidRDefault="006B0F4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Банки документируют используемые ими внутри организации конкретные определения неисполнения обязательств и убытков и обеспечить их соответствие определениям, изложенным в настоящем регламенте</w:t>
      </w:r>
      <w:r w:rsidR="00C13663" w:rsidRPr="00D43281">
        <w:rPr>
          <w:rFonts w:ascii="Times New Roman" w:hAnsi="Times New Roman" w:cs="Times New Roman"/>
          <w:color w:val="000000" w:themeColor="text1"/>
          <w:sz w:val="24"/>
          <w:szCs w:val="24"/>
          <w:lang w:val="ru-RU"/>
        </w:rPr>
        <w:t>.</w:t>
      </w:r>
    </w:p>
    <w:p w14:paraId="3CB03841" w14:textId="3559231A" w:rsidR="00C13663" w:rsidRPr="00D43281" w:rsidRDefault="006B0F4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Если банк использует статистические модели в процессе рейтингования, он должен формализовать связанные с ними методологии. Документация должна</w:t>
      </w:r>
      <w:r w:rsidR="00C13663" w:rsidRPr="00D43281">
        <w:rPr>
          <w:rFonts w:ascii="Times New Roman" w:hAnsi="Times New Roman" w:cs="Times New Roman"/>
          <w:color w:val="000000" w:themeColor="text1"/>
          <w:sz w:val="24"/>
          <w:szCs w:val="24"/>
          <w:lang w:val="ru-RU"/>
        </w:rPr>
        <w:t>:</w:t>
      </w:r>
    </w:p>
    <w:p w14:paraId="55B01875" w14:textId="35F9F909" w:rsidR="00C13663" w:rsidRPr="00D43281" w:rsidRDefault="00D14A66"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Подробно описывать теорию, допущения, а также математическую и эмпирическую основу, используемую для присвоения оценок рейтинговым классам, отдельным заемщикам, подверженностям или группам риска, а также источник или источники данных, используемые для оценки модели</w:t>
      </w:r>
      <w:r w:rsidR="00C13663" w:rsidRPr="00D43281">
        <w:rPr>
          <w:rFonts w:ascii="Times New Roman" w:hAnsi="Times New Roman" w:cs="Times New Roman"/>
          <w:color w:val="000000" w:themeColor="text1"/>
          <w:sz w:val="24"/>
          <w:szCs w:val="24"/>
          <w:lang w:val="ru-RU"/>
        </w:rPr>
        <w:t>;</w:t>
      </w:r>
    </w:p>
    <w:p w14:paraId="6536DA5C" w14:textId="16C1EE2E" w:rsidR="00C13663" w:rsidRPr="00D43281" w:rsidRDefault="00460B9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Разраб</w:t>
      </w:r>
      <w:r w:rsidR="00D46890" w:rsidRPr="00D43281">
        <w:rPr>
          <w:rFonts w:ascii="Times New Roman" w:hAnsi="Times New Roman" w:cs="Times New Roman"/>
          <w:color w:val="000000" w:themeColor="text1"/>
          <w:sz w:val="24"/>
          <w:szCs w:val="24"/>
          <w:lang w:val="ru-RU"/>
        </w:rPr>
        <w:t>атыв</w:t>
      </w:r>
      <w:r w:rsidRPr="00D43281">
        <w:rPr>
          <w:rFonts w:ascii="Times New Roman" w:hAnsi="Times New Roman" w:cs="Times New Roman"/>
          <w:color w:val="000000" w:themeColor="text1"/>
          <w:sz w:val="24"/>
          <w:szCs w:val="24"/>
          <w:lang w:val="ru-RU"/>
        </w:rPr>
        <w:t xml:space="preserve">ать строгий процесс статистической проверки модели, включающий тесты производительности вне временной и </w:t>
      </w:r>
      <w:r w:rsidR="00D46890" w:rsidRPr="00D43281">
        <w:rPr>
          <w:rFonts w:ascii="Times New Roman" w:hAnsi="Times New Roman" w:cs="Times New Roman"/>
          <w:color w:val="000000" w:themeColor="text1"/>
          <w:sz w:val="24"/>
          <w:szCs w:val="24"/>
          <w:lang w:val="ru-RU"/>
        </w:rPr>
        <w:t>вне выборочной</w:t>
      </w:r>
      <w:r w:rsidRPr="00D43281">
        <w:rPr>
          <w:rFonts w:ascii="Times New Roman" w:hAnsi="Times New Roman" w:cs="Times New Roman"/>
          <w:color w:val="000000" w:themeColor="text1"/>
          <w:sz w:val="24"/>
          <w:szCs w:val="24"/>
          <w:lang w:val="ru-RU"/>
        </w:rPr>
        <w:t xml:space="preserve"> областей</w:t>
      </w:r>
      <w:r w:rsidR="00C13663" w:rsidRPr="00D43281">
        <w:rPr>
          <w:rFonts w:ascii="Times New Roman" w:hAnsi="Times New Roman" w:cs="Times New Roman"/>
          <w:color w:val="000000" w:themeColor="text1"/>
          <w:sz w:val="24"/>
          <w:szCs w:val="24"/>
          <w:lang w:val="ru-RU"/>
        </w:rPr>
        <w:t>;</w:t>
      </w:r>
    </w:p>
    <w:p w14:paraId="37669863" w14:textId="55B4191C" w:rsidR="00C13663" w:rsidRPr="00D43281" w:rsidRDefault="00D4689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Указывать любые обстоятельства, при которых модель не работает эффективно</w:t>
      </w:r>
      <w:r w:rsidR="00C13663" w:rsidRPr="00D43281">
        <w:rPr>
          <w:rFonts w:ascii="Times New Roman" w:hAnsi="Times New Roman" w:cs="Times New Roman"/>
          <w:color w:val="000000" w:themeColor="text1"/>
          <w:sz w:val="24"/>
          <w:szCs w:val="24"/>
          <w:lang w:val="ru-RU"/>
        </w:rPr>
        <w:t>.</w:t>
      </w:r>
    </w:p>
    <w:p w14:paraId="49F9D9A9" w14:textId="2B912446" w:rsidR="00C41F5F" w:rsidRPr="00D43281" w:rsidRDefault="00444610"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Если банк получил рейтинговую систему или модель, используемую в рейтинговой системе, от стороннего поставщика, и этот поставщик отказывает или </w:t>
      </w:r>
      <w:r w:rsidRPr="00D43281">
        <w:rPr>
          <w:rFonts w:ascii="Times New Roman" w:hAnsi="Times New Roman" w:cs="Times New Roman"/>
          <w:color w:val="000000" w:themeColor="text1"/>
          <w:sz w:val="24"/>
          <w:szCs w:val="24"/>
          <w:lang w:val="ru-RU"/>
        </w:rPr>
        <w:lastRenderedPageBreak/>
        <w:t>ограничивает доступ банка к информации, касающейся методологии рейтинговой системы или модели, или к исходным данным, использованным для разработки методологии или модели, ссылаясь на права собственности на такую информацию, соответствующий банк должен убедительно доказать Национальному банку Молдовы, что требования настоящей подчасти выполнены.</w:t>
      </w:r>
    </w:p>
    <w:p w14:paraId="043DA491" w14:textId="27D1A479" w:rsidR="008874C6" w:rsidRPr="00D43281" w:rsidRDefault="00444610" w:rsidP="008874C6">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Подчасть</w:t>
      </w:r>
      <w:r w:rsidR="008874C6" w:rsidRPr="00D43281">
        <w:rPr>
          <w:rFonts w:ascii="Times New Roman" w:hAnsi="Times New Roman" w:cs="Times New Roman"/>
          <w:b/>
          <w:bCs/>
          <w:i/>
          <w:iCs/>
          <w:color w:val="000000" w:themeColor="text1"/>
          <w:sz w:val="24"/>
          <w:szCs w:val="24"/>
          <w:lang w:val="ro-RO"/>
        </w:rPr>
        <w:t xml:space="preserve"> 4</w:t>
      </w:r>
    </w:p>
    <w:p w14:paraId="4BDEF32A" w14:textId="1CCE4C85" w:rsidR="008874C6" w:rsidRPr="00D43281" w:rsidRDefault="00444610" w:rsidP="008874C6">
      <w:pPr>
        <w:pStyle w:val="ListParagraph"/>
        <w:shd w:val="clear" w:color="auto" w:fill="FFFFFF"/>
        <w:tabs>
          <w:tab w:val="left" w:pos="0"/>
          <w:tab w:val="left" w:pos="567"/>
        </w:tabs>
        <w:spacing w:after="120" w:line="240" w:lineRule="auto"/>
        <w:ind w:left="0"/>
        <w:jc w:val="center"/>
        <w:rPr>
          <w:rFonts w:ascii="Times New Roman" w:hAnsi="Times New Roman" w:cs="Times New Roman"/>
          <w:color w:val="000000" w:themeColor="text1"/>
          <w:sz w:val="24"/>
          <w:szCs w:val="24"/>
          <w:lang w:val="ru-RU"/>
        </w:rPr>
      </w:pPr>
      <w:r w:rsidRPr="00D43281">
        <w:rPr>
          <w:rFonts w:ascii="Times New Roman" w:hAnsi="Times New Roman" w:cs="Times New Roman"/>
          <w:b/>
          <w:bCs/>
          <w:i/>
          <w:iCs/>
          <w:color w:val="000000" w:themeColor="text1"/>
          <w:sz w:val="24"/>
          <w:szCs w:val="24"/>
          <w:lang w:val="ru-RU"/>
        </w:rPr>
        <w:t>Хранение данных</w:t>
      </w:r>
    </w:p>
    <w:p w14:paraId="10DDE828" w14:textId="6394AA74" w:rsidR="00745EE8" w:rsidRPr="00D43281" w:rsidRDefault="00F90045"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Банки собирают и хранят данные по различным аспектам своих внутренних рейтингов в соответствии с требованиями нормативных актов Национального банка Молдовы, касающихся требований к публикации информации банками</w:t>
      </w:r>
      <w:r w:rsidR="00745EE8" w:rsidRPr="00D43281">
        <w:rPr>
          <w:rFonts w:ascii="Times New Roman" w:hAnsi="Times New Roman" w:cs="Times New Roman"/>
          <w:color w:val="000000" w:themeColor="text1"/>
          <w:sz w:val="24"/>
          <w:szCs w:val="24"/>
          <w:lang w:val="ru-RU"/>
        </w:rPr>
        <w:t>.</w:t>
      </w:r>
    </w:p>
    <w:p w14:paraId="0E43D5D5" w14:textId="4855D09F" w:rsidR="00917CFE" w:rsidRPr="00D43281" w:rsidRDefault="00917CFE"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В отношении подверженностей перед центральными администрациями и центральными банками, подверженностей перед региональными </w:t>
      </w:r>
      <w:r w:rsidR="00830165" w:rsidRPr="00D43281">
        <w:rPr>
          <w:rFonts w:ascii="Times New Roman" w:hAnsi="Times New Roman" w:cs="Times New Roman"/>
          <w:color w:val="000000" w:themeColor="text1"/>
          <w:sz w:val="24"/>
          <w:szCs w:val="24"/>
          <w:lang w:val="ru-RU"/>
        </w:rPr>
        <w:t>администрациями</w:t>
      </w:r>
      <w:r w:rsidRPr="00D43281">
        <w:rPr>
          <w:rFonts w:ascii="Times New Roman" w:hAnsi="Times New Roman" w:cs="Times New Roman"/>
          <w:color w:val="000000" w:themeColor="text1"/>
          <w:sz w:val="24"/>
          <w:szCs w:val="24"/>
          <w:lang w:val="ru-RU"/>
        </w:rPr>
        <w:t xml:space="preserve">, местными органами и </w:t>
      </w:r>
      <w:r w:rsidR="00830165" w:rsidRPr="00D43281">
        <w:rPr>
          <w:rFonts w:ascii="Times New Roman" w:hAnsi="Times New Roman" w:cs="Times New Roman"/>
          <w:color w:val="000000" w:themeColor="text1"/>
          <w:sz w:val="24"/>
          <w:szCs w:val="24"/>
          <w:lang w:val="ru-RU"/>
        </w:rPr>
        <w:t>субъектами публичного</w:t>
      </w:r>
      <w:r w:rsidRPr="00D43281">
        <w:rPr>
          <w:rFonts w:ascii="Times New Roman" w:hAnsi="Times New Roman" w:cs="Times New Roman"/>
          <w:color w:val="000000" w:themeColor="text1"/>
          <w:sz w:val="24"/>
          <w:szCs w:val="24"/>
          <w:lang w:val="ru-RU"/>
        </w:rPr>
        <w:t xml:space="preserve"> сектора, </w:t>
      </w:r>
      <w:r w:rsidR="00830165" w:rsidRPr="00D43281">
        <w:rPr>
          <w:rFonts w:ascii="Times New Roman" w:hAnsi="Times New Roman" w:cs="Times New Roman"/>
          <w:color w:val="000000" w:themeColor="text1"/>
          <w:sz w:val="24"/>
          <w:szCs w:val="24"/>
          <w:lang w:val="ru-RU"/>
        </w:rPr>
        <w:t xml:space="preserve">подверженностей перед </w:t>
      </w:r>
      <w:r w:rsidRPr="00D43281">
        <w:rPr>
          <w:rFonts w:ascii="Times New Roman" w:hAnsi="Times New Roman" w:cs="Times New Roman"/>
          <w:color w:val="000000" w:themeColor="text1"/>
          <w:sz w:val="24"/>
          <w:szCs w:val="24"/>
          <w:lang w:val="ru-RU"/>
        </w:rPr>
        <w:t xml:space="preserve">банками, и </w:t>
      </w:r>
      <w:r w:rsidR="00830165" w:rsidRPr="00D43281">
        <w:rPr>
          <w:rFonts w:ascii="Times New Roman" w:hAnsi="Times New Roman" w:cs="Times New Roman"/>
          <w:color w:val="000000" w:themeColor="text1"/>
          <w:sz w:val="24"/>
          <w:szCs w:val="24"/>
          <w:lang w:val="ru-RU"/>
        </w:rPr>
        <w:t>подверженностей перед обществами</w:t>
      </w:r>
      <w:r w:rsidRPr="00D43281">
        <w:rPr>
          <w:rFonts w:ascii="Times New Roman" w:hAnsi="Times New Roman" w:cs="Times New Roman"/>
          <w:color w:val="000000" w:themeColor="text1"/>
          <w:sz w:val="24"/>
          <w:szCs w:val="24"/>
          <w:lang w:val="ru-RU"/>
        </w:rPr>
        <w:t>, банки обязаны собирать и хранить</w:t>
      </w:r>
      <w:r w:rsidR="009C71C7" w:rsidRPr="00D43281">
        <w:rPr>
          <w:rFonts w:ascii="Times New Roman" w:hAnsi="Times New Roman" w:cs="Times New Roman"/>
          <w:color w:val="000000" w:themeColor="text1"/>
          <w:sz w:val="24"/>
          <w:szCs w:val="24"/>
          <w:lang w:val="ru-RU"/>
        </w:rPr>
        <w:t>:</w:t>
      </w:r>
    </w:p>
    <w:p w14:paraId="7C53CA30" w14:textId="49940A19" w:rsidR="00EE5D52" w:rsidRPr="00D43281" w:rsidRDefault="009C71C7" w:rsidP="00EC7E14">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Полную историю рейтингов, присвоенных заемщикам и гарантам, имеющим на это право</w:t>
      </w:r>
      <w:r w:rsidR="00745EE8" w:rsidRPr="00D43281">
        <w:rPr>
          <w:rFonts w:ascii="Times New Roman" w:hAnsi="Times New Roman" w:cs="Times New Roman"/>
          <w:color w:val="000000" w:themeColor="text1"/>
          <w:sz w:val="24"/>
          <w:szCs w:val="24"/>
          <w:lang w:val="ru-RU"/>
        </w:rPr>
        <w:t>;</w:t>
      </w:r>
    </w:p>
    <w:p w14:paraId="50755E06" w14:textId="41EB7DD8" w:rsidR="00230FDB" w:rsidRPr="00D43281" w:rsidRDefault="00236CE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Даты присвоения рейтингов</w:t>
      </w:r>
      <w:r w:rsidR="00745EE8" w:rsidRPr="00D43281">
        <w:rPr>
          <w:rFonts w:ascii="Times New Roman" w:hAnsi="Times New Roman" w:cs="Times New Roman"/>
          <w:color w:val="000000" w:themeColor="text1"/>
          <w:sz w:val="24"/>
          <w:szCs w:val="24"/>
          <w:lang w:val="ru-RU"/>
        </w:rPr>
        <w:t>;</w:t>
      </w:r>
    </w:p>
    <w:p w14:paraId="58BB3042" w14:textId="7E986E9E" w:rsidR="00230FDB" w:rsidRPr="00D43281" w:rsidRDefault="00ED467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Методологию и ключевые данные, использованные для определения рейтингов</w:t>
      </w:r>
      <w:r w:rsidR="00745EE8" w:rsidRPr="00D43281">
        <w:rPr>
          <w:rFonts w:ascii="Times New Roman" w:hAnsi="Times New Roman" w:cs="Times New Roman"/>
          <w:color w:val="000000" w:themeColor="text1"/>
          <w:sz w:val="24"/>
          <w:szCs w:val="24"/>
          <w:lang w:val="ru-RU"/>
        </w:rPr>
        <w:t>;</w:t>
      </w:r>
    </w:p>
    <w:p w14:paraId="104A2A94" w14:textId="70F3585A" w:rsidR="00230FDB" w:rsidRPr="00D43281" w:rsidRDefault="00ED467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Идентификационные данные лица, ответственного за присвоение рейтингов</w:t>
      </w:r>
      <w:r w:rsidR="00745EE8" w:rsidRPr="00D43281">
        <w:rPr>
          <w:rFonts w:ascii="Times New Roman" w:hAnsi="Times New Roman" w:cs="Times New Roman"/>
          <w:color w:val="000000" w:themeColor="text1"/>
          <w:sz w:val="24"/>
          <w:szCs w:val="24"/>
          <w:lang w:val="ru-RU"/>
        </w:rPr>
        <w:t>;</w:t>
      </w:r>
    </w:p>
    <w:p w14:paraId="23F3F8E1" w14:textId="5E7C424B" w:rsidR="00230FDB" w:rsidRPr="00D43281" w:rsidRDefault="00353EB4"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Выявление должников и подверженностей, связанных с неплатежеспособностью</w:t>
      </w:r>
      <w:r w:rsidR="00745EE8" w:rsidRPr="00D43281">
        <w:rPr>
          <w:rFonts w:ascii="Times New Roman" w:hAnsi="Times New Roman" w:cs="Times New Roman"/>
          <w:color w:val="000000" w:themeColor="text1"/>
          <w:sz w:val="24"/>
          <w:szCs w:val="24"/>
          <w:lang w:val="ru-RU"/>
        </w:rPr>
        <w:t>;</w:t>
      </w:r>
    </w:p>
    <w:p w14:paraId="1F09CDBD" w14:textId="4816F372" w:rsidR="00230FDB" w:rsidRPr="00D43281" w:rsidRDefault="009D0D9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Дата происшествия и обстоятельства, приведшие к неисполнению обязательств</w:t>
      </w:r>
      <w:r w:rsidR="00745EE8" w:rsidRPr="00D43281">
        <w:rPr>
          <w:rFonts w:ascii="Times New Roman" w:hAnsi="Times New Roman" w:cs="Times New Roman"/>
          <w:color w:val="000000" w:themeColor="text1"/>
          <w:sz w:val="24"/>
          <w:szCs w:val="24"/>
          <w:lang w:val="ru-RU"/>
        </w:rPr>
        <w:t>;</w:t>
      </w:r>
    </w:p>
    <w:p w14:paraId="43A75622" w14:textId="2BA0AF29" w:rsidR="00DA2EDD" w:rsidRPr="00D43281" w:rsidRDefault="00DA2EDD"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Данные о вероятности невозврата и фактических показателях </w:t>
      </w:r>
      <w:r w:rsidR="001A7E66"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связанных с рейтинговыми категориями, а также данные о миграции рейтингов.</w:t>
      </w:r>
    </w:p>
    <w:p w14:paraId="2B39320C" w14:textId="1E5AF5D3" w:rsidR="00745EE8" w:rsidRPr="00D43281" w:rsidRDefault="00B12513" w:rsidP="0001512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Для </w:t>
      </w:r>
      <w:r w:rsidR="00676009" w:rsidRPr="00D43281">
        <w:rPr>
          <w:rFonts w:ascii="Times New Roman" w:hAnsi="Times New Roman" w:cs="Times New Roman"/>
          <w:color w:val="000000" w:themeColor="text1"/>
          <w:sz w:val="24"/>
          <w:szCs w:val="24"/>
          <w:lang w:val="ru-RU"/>
        </w:rPr>
        <w:t>подверженностей</w:t>
      </w:r>
      <w:r w:rsidRPr="00D43281">
        <w:rPr>
          <w:rFonts w:ascii="Times New Roman" w:hAnsi="Times New Roman" w:cs="Times New Roman"/>
          <w:color w:val="000000" w:themeColor="text1"/>
          <w:sz w:val="24"/>
          <w:szCs w:val="24"/>
          <w:lang w:val="ru-RU"/>
        </w:rPr>
        <w:t>, в отношении которых данн</w:t>
      </w:r>
      <w:r w:rsidR="00676009" w:rsidRPr="00D43281">
        <w:rPr>
          <w:rFonts w:ascii="Times New Roman" w:hAnsi="Times New Roman" w:cs="Times New Roman"/>
          <w:color w:val="000000" w:themeColor="text1"/>
          <w:sz w:val="24"/>
          <w:szCs w:val="24"/>
          <w:lang w:val="ru-RU"/>
        </w:rPr>
        <w:t>ый регламент</w:t>
      </w:r>
      <w:r w:rsidRPr="00D43281">
        <w:rPr>
          <w:rFonts w:ascii="Times New Roman" w:hAnsi="Times New Roman" w:cs="Times New Roman"/>
          <w:color w:val="000000" w:themeColor="text1"/>
          <w:sz w:val="24"/>
          <w:szCs w:val="24"/>
          <w:lang w:val="ru-RU"/>
        </w:rPr>
        <w:t xml:space="preserve"> допускает использование собственных оценок LGD или использование CCF на основе IRB, но для которых банки не используют собственные оценки LGD или CCF на основе IRB, банки обязаны собирать и хранить данные о сравнении фактических значений LGD со значениями, указанными в пункте 144, а также между фактическими значениями CCF и значениями CCF на основе SA, указанными в пункте 155</w:t>
      </w:r>
      <w:r w:rsidR="00745EE8" w:rsidRPr="00D43281">
        <w:rPr>
          <w:rFonts w:ascii="Times New Roman" w:hAnsi="Times New Roman" w:cs="Times New Roman"/>
          <w:color w:val="000000" w:themeColor="text1"/>
          <w:sz w:val="24"/>
          <w:szCs w:val="24"/>
          <w:lang w:val="ru-RU"/>
        </w:rPr>
        <w:t>.</w:t>
      </w:r>
    </w:p>
    <w:p w14:paraId="62B39260" w14:textId="7811D2BD" w:rsidR="00745EE8" w:rsidRPr="00D43281" w:rsidRDefault="00A12CBA"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Банки, использующие собственные оценки потерь </w:t>
      </w:r>
      <w:r w:rsidR="00781262" w:rsidRPr="00D43281">
        <w:rPr>
          <w:rFonts w:ascii="Times New Roman" w:hAnsi="Times New Roman" w:cs="Times New Roman"/>
          <w:color w:val="000000" w:themeColor="text1"/>
          <w:sz w:val="24"/>
          <w:szCs w:val="24"/>
          <w:lang w:val="ru-RU"/>
        </w:rPr>
        <w:t>в случае</w:t>
      </w:r>
      <w:r w:rsidRPr="00D43281">
        <w:rPr>
          <w:rFonts w:ascii="Times New Roman" w:hAnsi="Times New Roman" w:cs="Times New Roman"/>
          <w:color w:val="000000" w:themeColor="text1"/>
          <w:sz w:val="24"/>
          <w:szCs w:val="24"/>
          <w:lang w:val="ru-RU"/>
        </w:rPr>
        <w:t xml:space="preserve"> невозврата и коэффициентов конверсии, обязаны собирать и хранить</w:t>
      </w:r>
      <w:r w:rsidR="00745EE8" w:rsidRPr="00D43281">
        <w:rPr>
          <w:rFonts w:ascii="Times New Roman" w:hAnsi="Times New Roman" w:cs="Times New Roman"/>
          <w:color w:val="000000" w:themeColor="text1"/>
          <w:sz w:val="24"/>
          <w:szCs w:val="24"/>
          <w:lang w:val="ru-RU"/>
        </w:rPr>
        <w:t>:</w:t>
      </w:r>
    </w:p>
    <w:p w14:paraId="31E967C5" w14:textId="40B90226" w:rsidR="00EE5D52" w:rsidRPr="00D43281" w:rsidRDefault="00A12CBA" w:rsidP="00972CF1">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Полную историю рейтингов сделок и оценки потерь и коэффициентов конверсии, связанных с каждой рейтинговой шкалой</w:t>
      </w:r>
      <w:r w:rsidR="00745EE8" w:rsidRPr="00D43281">
        <w:rPr>
          <w:rFonts w:ascii="Times New Roman" w:hAnsi="Times New Roman" w:cs="Times New Roman"/>
          <w:color w:val="000000" w:themeColor="text1"/>
          <w:sz w:val="24"/>
          <w:szCs w:val="24"/>
          <w:lang w:val="ru-RU"/>
        </w:rPr>
        <w:t>;</w:t>
      </w:r>
    </w:p>
    <w:p w14:paraId="48B0B2D6" w14:textId="6E2F8B9C" w:rsidR="00EE5D52" w:rsidRPr="00D43281" w:rsidRDefault="0078126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Даты присвоения рейтингов и составления оценок</w:t>
      </w:r>
      <w:r w:rsidR="00745EE8" w:rsidRPr="00D43281">
        <w:rPr>
          <w:rFonts w:ascii="Times New Roman" w:hAnsi="Times New Roman" w:cs="Times New Roman"/>
          <w:color w:val="000000" w:themeColor="text1"/>
          <w:sz w:val="24"/>
          <w:szCs w:val="24"/>
          <w:lang w:val="ru-RU"/>
        </w:rPr>
        <w:t>;</w:t>
      </w:r>
    </w:p>
    <w:p w14:paraId="10B27CC3" w14:textId="1A917944" w:rsidR="00EE5D52" w:rsidRPr="00D43281" w:rsidRDefault="0078126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Методологию и ключевые данные, использованные для определения рейтингов сделок и получения оценки потерь </w:t>
      </w:r>
      <w:r w:rsidR="00CB2BF8" w:rsidRPr="00D43281">
        <w:rPr>
          <w:rFonts w:ascii="Times New Roman" w:hAnsi="Times New Roman" w:cs="Times New Roman"/>
          <w:color w:val="000000" w:themeColor="text1"/>
          <w:sz w:val="24"/>
          <w:szCs w:val="24"/>
          <w:lang w:val="ru-RU"/>
        </w:rPr>
        <w:t xml:space="preserve">в случае невозврата </w:t>
      </w:r>
      <w:r w:rsidRPr="00D43281">
        <w:rPr>
          <w:rFonts w:ascii="Times New Roman" w:hAnsi="Times New Roman" w:cs="Times New Roman"/>
          <w:color w:val="000000" w:themeColor="text1"/>
          <w:sz w:val="24"/>
          <w:szCs w:val="24"/>
          <w:lang w:val="ru-RU"/>
        </w:rPr>
        <w:t>и коэффициентов конверс</w:t>
      </w:r>
      <w:r w:rsidR="00F31DC3" w:rsidRPr="00D43281">
        <w:rPr>
          <w:rFonts w:ascii="Times New Roman" w:hAnsi="Times New Roman" w:cs="Times New Roman"/>
          <w:color w:val="000000" w:themeColor="text1"/>
          <w:sz w:val="24"/>
          <w:szCs w:val="24"/>
          <w:lang w:val="ru-RU"/>
        </w:rPr>
        <w:t>и</w:t>
      </w:r>
      <w:r w:rsidRPr="00D43281">
        <w:rPr>
          <w:rFonts w:ascii="Times New Roman" w:hAnsi="Times New Roman" w:cs="Times New Roman"/>
          <w:color w:val="000000" w:themeColor="text1"/>
          <w:sz w:val="24"/>
          <w:szCs w:val="24"/>
          <w:lang w:val="ru-RU"/>
        </w:rPr>
        <w:t>и</w:t>
      </w:r>
      <w:r w:rsidR="00745EE8" w:rsidRPr="00D43281">
        <w:rPr>
          <w:rFonts w:ascii="Times New Roman" w:hAnsi="Times New Roman" w:cs="Times New Roman"/>
          <w:color w:val="000000" w:themeColor="text1"/>
          <w:sz w:val="24"/>
          <w:szCs w:val="24"/>
          <w:lang w:val="ru-RU"/>
        </w:rPr>
        <w:t>;</w:t>
      </w:r>
    </w:p>
    <w:p w14:paraId="1416D61B" w14:textId="713C80DA" w:rsidR="00EE5D52" w:rsidRPr="00D43281" w:rsidRDefault="00CB2BF8"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Идентификационные данные лица, оценившего сделку, и лица, предоставившего оценку потерь в случае невозврата и коэффициентов конверсии</w:t>
      </w:r>
      <w:r w:rsidR="00745EE8" w:rsidRPr="00D43281">
        <w:rPr>
          <w:rFonts w:ascii="Times New Roman" w:hAnsi="Times New Roman" w:cs="Times New Roman"/>
          <w:color w:val="000000" w:themeColor="text1"/>
          <w:sz w:val="24"/>
          <w:szCs w:val="24"/>
          <w:lang w:val="ru-RU"/>
        </w:rPr>
        <w:t>;</w:t>
      </w:r>
    </w:p>
    <w:p w14:paraId="148D6864" w14:textId="2A43E00A" w:rsidR="00EE5D52" w:rsidRPr="00D43281" w:rsidRDefault="00CB2BF8" w:rsidP="003475D5">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Данные об оценочных и фактических потерях </w:t>
      </w:r>
      <w:r w:rsidR="008F2142" w:rsidRPr="00D43281">
        <w:rPr>
          <w:rFonts w:ascii="Times New Roman" w:hAnsi="Times New Roman" w:cs="Times New Roman"/>
          <w:color w:val="000000" w:themeColor="text1"/>
          <w:sz w:val="24"/>
          <w:szCs w:val="24"/>
          <w:lang w:val="ru-RU"/>
        </w:rPr>
        <w:t>в случае невозврата</w:t>
      </w:r>
      <w:r w:rsidRPr="00D43281">
        <w:rPr>
          <w:rFonts w:ascii="Times New Roman" w:hAnsi="Times New Roman" w:cs="Times New Roman"/>
          <w:color w:val="000000" w:themeColor="text1"/>
          <w:sz w:val="24"/>
          <w:szCs w:val="24"/>
          <w:lang w:val="ru-RU"/>
        </w:rPr>
        <w:t>, а также об оценочных и фактических коэффициентах конверсии, связанных с кажд</w:t>
      </w:r>
      <w:r w:rsidR="008F2142" w:rsidRPr="00D43281">
        <w:rPr>
          <w:rFonts w:ascii="Times New Roman" w:hAnsi="Times New Roman" w:cs="Times New Roman"/>
          <w:color w:val="000000" w:themeColor="text1"/>
          <w:sz w:val="24"/>
          <w:szCs w:val="24"/>
          <w:lang w:val="ru-RU"/>
        </w:rPr>
        <w:t>ой подверженностью в состоянии невозврата</w:t>
      </w:r>
      <w:r w:rsidR="00745EE8" w:rsidRPr="00D43281">
        <w:rPr>
          <w:rFonts w:ascii="Times New Roman" w:hAnsi="Times New Roman" w:cs="Times New Roman"/>
          <w:color w:val="000000" w:themeColor="text1"/>
          <w:sz w:val="24"/>
          <w:szCs w:val="24"/>
          <w:lang w:val="ru-RU"/>
        </w:rPr>
        <w:t>;</w:t>
      </w:r>
    </w:p>
    <w:p w14:paraId="4672D48D" w14:textId="12313431" w:rsidR="00EE5D52" w:rsidRPr="00D43281" w:rsidRDefault="007E486D" w:rsidP="00511004">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Данные о потерях в случае невозврата по подверженности до и после оценки влияния гарантии или кредитного дериватива для банков, которые учитывают при расчете потерь </w:t>
      </w:r>
      <w:r w:rsidR="00C67526" w:rsidRPr="00D43281">
        <w:rPr>
          <w:rFonts w:ascii="Times New Roman" w:hAnsi="Times New Roman" w:cs="Times New Roman"/>
          <w:color w:val="000000" w:themeColor="text1"/>
          <w:sz w:val="24"/>
          <w:szCs w:val="24"/>
          <w:lang w:val="ru-RU"/>
        </w:rPr>
        <w:t>в случае невозврата,</w:t>
      </w:r>
      <w:r w:rsidRPr="00D43281">
        <w:rPr>
          <w:rFonts w:ascii="Times New Roman" w:hAnsi="Times New Roman" w:cs="Times New Roman"/>
          <w:color w:val="000000" w:themeColor="text1"/>
          <w:sz w:val="24"/>
          <w:szCs w:val="24"/>
          <w:lang w:val="ru-RU"/>
        </w:rPr>
        <w:t xml:space="preserve"> эффекты снижения кредитного риска, обеспечиваемые гарантиями или кредитными деривативами</w:t>
      </w:r>
      <w:r w:rsidR="00745EE8" w:rsidRPr="00D43281">
        <w:rPr>
          <w:rFonts w:ascii="Times New Roman" w:hAnsi="Times New Roman" w:cs="Times New Roman"/>
          <w:color w:val="000000" w:themeColor="text1"/>
          <w:sz w:val="24"/>
          <w:szCs w:val="24"/>
          <w:lang w:val="ru-RU"/>
        </w:rPr>
        <w:t>.</w:t>
      </w:r>
    </w:p>
    <w:p w14:paraId="22E9378F" w14:textId="54377BE4" w:rsidR="00745EE8" w:rsidRPr="00D43281" w:rsidRDefault="00E95B79"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Данные о компонентах убытков по каждой подверженности в состоянии невозврата</w:t>
      </w:r>
      <w:r w:rsidR="00745EE8" w:rsidRPr="00D43281">
        <w:rPr>
          <w:rFonts w:ascii="Times New Roman" w:hAnsi="Times New Roman" w:cs="Times New Roman"/>
          <w:color w:val="000000" w:themeColor="text1"/>
          <w:sz w:val="24"/>
          <w:szCs w:val="24"/>
          <w:lang w:val="ru-RU"/>
        </w:rPr>
        <w:t>.</w:t>
      </w:r>
    </w:p>
    <w:p w14:paraId="28A181F1" w14:textId="2E9DEDC1" w:rsidR="00745EE8" w:rsidRPr="00D43281" w:rsidRDefault="002F16F2"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 случае подверженностей ритейл банки собирают и хранят</w:t>
      </w:r>
      <w:r w:rsidR="00745EE8" w:rsidRPr="00D43281">
        <w:rPr>
          <w:rFonts w:ascii="Times New Roman" w:hAnsi="Times New Roman" w:cs="Times New Roman"/>
          <w:color w:val="000000" w:themeColor="text1"/>
          <w:sz w:val="24"/>
          <w:szCs w:val="24"/>
          <w:lang w:val="ru-RU"/>
        </w:rPr>
        <w:t>:</w:t>
      </w:r>
    </w:p>
    <w:p w14:paraId="147DD786" w14:textId="44CDC73A" w:rsidR="00EE5D52" w:rsidRPr="00D43281" w:rsidRDefault="002F16F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lastRenderedPageBreak/>
        <w:t>Данные, используемые в процессе присвоения подверженностям рейтинговых категорий или пулов рисков</w:t>
      </w:r>
      <w:r w:rsidR="00745EE8" w:rsidRPr="00D43281">
        <w:rPr>
          <w:rFonts w:ascii="Times New Roman" w:hAnsi="Times New Roman" w:cs="Times New Roman"/>
          <w:color w:val="000000" w:themeColor="text1"/>
          <w:sz w:val="24"/>
          <w:szCs w:val="24"/>
          <w:lang w:val="ru-RU"/>
        </w:rPr>
        <w:t>;</w:t>
      </w:r>
    </w:p>
    <w:p w14:paraId="58FDCD59" w14:textId="26BF1026" w:rsidR="00EE5D52" w:rsidRPr="00D43281" w:rsidRDefault="00A605E1" w:rsidP="00746A57">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Данные об оценках вероятностей </w:t>
      </w:r>
      <w:r w:rsidR="00A94A54" w:rsidRPr="00D43281">
        <w:rPr>
          <w:rFonts w:ascii="Times New Roman" w:hAnsi="Times New Roman" w:cs="Times New Roman"/>
          <w:color w:val="000000" w:themeColor="text1"/>
          <w:sz w:val="24"/>
          <w:szCs w:val="24"/>
          <w:lang w:val="ru-MD"/>
        </w:rPr>
        <w:t>невозврата</w:t>
      </w:r>
      <w:r w:rsidRPr="00D43281">
        <w:rPr>
          <w:rFonts w:ascii="Times New Roman" w:hAnsi="Times New Roman" w:cs="Times New Roman"/>
          <w:color w:val="000000" w:themeColor="text1"/>
          <w:sz w:val="24"/>
          <w:szCs w:val="24"/>
          <w:lang w:val="ru-MD"/>
        </w:rPr>
        <w:t xml:space="preserve">, убытков в случае невозврата и коэффициентах конверсии, связанных с рейтинговыми категориями или пулами </w:t>
      </w:r>
      <w:r w:rsidR="00FC7BCA" w:rsidRPr="00D43281">
        <w:rPr>
          <w:rFonts w:ascii="Times New Roman" w:hAnsi="Times New Roman" w:cs="Times New Roman"/>
          <w:color w:val="000000" w:themeColor="text1"/>
          <w:sz w:val="24"/>
          <w:szCs w:val="24"/>
          <w:lang w:val="ru-MD"/>
        </w:rPr>
        <w:t>подверженностей</w:t>
      </w:r>
      <w:r w:rsidR="00745EE8" w:rsidRPr="00D43281">
        <w:rPr>
          <w:rFonts w:ascii="Times New Roman" w:hAnsi="Times New Roman" w:cs="Times New Roman"/>
          <w:color w:val="000000" w:themeColor="text1"/>
          <w:sz w:val="24"/>
          <w:szCs w:val="24"/>
          <w:lang w:val="ru-MD"/>
        </w:rPr>
        <w:t>;</w:t>
      </w:r>
    </w:p>
    <w:p w14:paraId="5C986EA2" w14:textId="7C2E601B" w:rsidR="00EE5D52" w:rsidRPr="00D43281" w:rsidRDefault="00C423EF"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RU"/>
        </w:rPr>
        <w:t>Идентификация должников и подверженностей, связанных с неплатежеспособностью</w:t>
      </w:r>
      <w:r w:rsidR="00745EE8" w:rsidRPr="00D43281">
        <w:rPr>
          <w:rFonts w:ascii="Times New Roman" w:hAnsi="Times New Roman" w:cs="Times New Roman"/>
          <w:color w:val="000000" w:themeColor="text1"/>
          <w:sz w:val="24"/>
          <w:szCs w:val="24"/>
          <w:lang w:val="ro-RO"/>
        </w:rPr>
        <w:t>;</w:t>
      </w:r>
    </w:p>
    <w:p w14:paraId="37604D87" w14:textId="77847656" w:rsidR="00EE5D52" w:rsidRPr="00D43281" w:rsidRDefault="00E41F2E" w:rsidP="00BB089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В </w:t>
      </w:r>
      <w:r w:rsidR="00A94A54" w:rsidRPr="00D43281">
        <w:rPr>
          <w:rFonts w:ascii="Times New Roman" w:hAnsi="Times New Roman" w:cs="Times New Roman"/>
          <w:color w:val="000000" w:themeColor="text1"/>
          <w:sz w:val="24"/>
          <w:szCs w:val="24"/>
          <w:lang w:val="ru-RU"/>
        </w:rPr>
        <w:t>случае подверженностей</w:t>
      </w:r>
      <w:r w:rsidRPr="00D43281">
        <w:rPr>
          <w:rFonts w:ascii="Times New Roman" w:hAnsi="Times New Roman" w:cs="Times New Roman"/>
          <w:color w:val="000000" w:themeColor="text1"/>
          <w:sz w:val="24"/>
          <w:szCs w:val="24"/>
          <w:lang w:val="ru-RU"/>
        </w:rPr>
        <w:t xml:space="preserve"> в состоянии невозврата — данные о рейтинговых категориях или пулах рисков, к которым была отнесена подверженность в течение года, </w:t>
      </w:r>
      <w:r w:rsidR="00A94A54" w:rsidRPr="00D43281">
        <w:rPr>
          <w:rFonts w:ascii="Times New Roman" w:hAnsi="Times New Roman" w:cs="Times New Roman"/>
          <w:color w:val="000000" w:themeColor="text1"/>
          <w:sz w:val="24"/>
          <w:szCs w:val="24"/>
          <w:lang w:val="ru-RU"/>
        </w:rPr>
        <w:t>состоянию невозврата</w:t>
      </w:r>
      <w:r w:rsidRPr="00D43281">
        <w:rPr>
          <w:rFonts w:ascii="Times New Roman" w:hAnsi="Times New Roman" w:cs="Times New Roman"/>
          <w:color w:val="000000" w:themeColor="text1"/>
          <w:sz w:val="24"/>
          <w:szCs w:val="24"/>
          <w:lang w:val="ru-RU"/>
        </w:rPr>
        <w:t xml:space="preserve">, а также о фактическом убытке в случае </w:t>
      </w:r>
      <w:r w:rsidR="00A94A54"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xml:space="preserve"> и эффективном коэффициенте конверсии</w:t>
      </w:r>
      <w:r w:rsidR="00745EE8" w:rsidRPr="00D43281">
        <w:rPr>
          <w:rFonts w:ascii="Times New Roman" w:hAnsi="Times New Roman" w:cs="Times New Roman"/>
          <w:color w:val="000000" w:themeColor="text1"/>
          <w:sz w:val="24"/>
          <w:szCs w:val="24"/>
          <w:lang w:val="ru-RU"/>
        </w:rPr>
        <w:t>;</w:t>
      </w:r>
    </w:p>
    <w:p w14:paraId="00EFDC3E" w14:textId="1B97CBA9" w:rsidR="00A94A54" w:rsidRPr="00D43281" w:rsidRDefault="00A94A54"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Данные о коэффициентах убытков по соответствующим возобновляемым подверженностям ритейл.</w:t>
      </w:r>
    </w:p>
    <w:p w14:paraId="530281E4" w14:textId="50F0BC57" w:rsidR="00E0706B" w:rsidRPr="00D43281" w:rsidRDefault="00AB1BC9" w:rsidP="00E0706B">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Подчасть</w:t>
      </w:r>
      <w:r w:rsidR="00E0706B" w:rsidRPr="00D43281">
        <w:rPr>
          <w:rFonts w:ascii="Times New Roman" w:hAnsi="Times New Roman" w:cs="Times New Roman"/>
          <w:b/>
          <w:bCs/>
          <w:i/>
          <w:iCs/>
          <w:color w:val="000000" w:themeColor="text1"/>
          <w:sz w:val="24"/>
          <w:szCs w:val="24"/>
          <w:lang w:val="ro-RO"/>
        </w:rPr>
        <w:t xml:space="preserve"> </w:t>
      </w:r>
      <w:r w:rsidR="008874C6" w:rsidRPr="00D43281">
        <w:rPr>
          <w:rFonts w:ascii="Times New Roman" w:hAnsi="Times New Roman" w:cs="Times New Roman"/>
          <w:b/>
          <w:bCs/>
          <w:i/>
          <w:iCs/>
          <w:color w:val="000000" w:themeColor="text1"/>
          <w:sz w:val="24"/>
          <w:szCs w:val="24"/>
          <w:lang w:val="ro-RO"/>
        </w:rPr>
        <w:t>5</w:t>
      </w:r>
    </w:p>
    <w:p w14:paraId="223DE9C3" w14:textId="19D3D254" w:rsidR="00E0706B" w:rsidRPr="00D43281" w:rsidRDefault="004635B8" w:rsidP="00E0706B">
      <w:pPr>
        <w:pStyle w:val="ListParagraph"/>
        <w:shd w:val="clear" w:color="auto" w:fill="FFFFFF"/>
        <w:tabs>
          <w:tab w:val="left" w:pos="0"/>
          <w:tab w:val="left" w:pos="567"/>
        </w:tabs>
        <w:spacing w:after="120" w:line="240" w:lineRule="auto"/>
        <w:ind w:left="0"/>
        <w:jc w:val="center"/>
        <w:rPr>
          <w:rFonts w:ascii="Times New Roman" w:hAnsi="Times New Roman" w:cs="Times New Roman"/>
          <w:color w:val="000000" w:themeColor="text1"/>
          <w:sz w:val="24"/>
          <w:szCs w:val="24"/>
          <w:lang w:val="ru-RU"/>
        </w:rPr>
      </w:pPr>
      <w:r w:rsidRPr="00D43281">
        <w:rPr>
          <w:rFonts w:ascii="Times New Roman" w:hAnsi="Times New Roman" w:cs="Times New Roman"/>
          <w:b/>
          <w:bCs/>
          <w:i/>
          <w:iCs/>
          <w:color w:val="000000" w:themeColor="text1"/>
          <w:sz w:val="24"/>
          <w:szCs w:val="24"/>
          <w:lang w:val="ru-RU"/>
        </w:rPr>
        <w:t>Использование стресс-тестов для оценки достаточности капитала</w:t>
      </w:r>
    </w:p>
    <w:p w14:paraId="6DACF1BB" w14:textId="6B6E6204" w:rsidR="00E0706B" w:rsidRPr="00D43281" w:rsidRDefault="00781B1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 должен иметь надежные процессы стресс-тестирования для оценки достаточности своего капитала. Стресс-тестирование выявляет возможные события или будущие изменения экономических условий, которые могут оказать негативное влияние на кредитный риск банка, и оценивает его способность справляться с этими изменениями</w:t>
      </w:r>
      <w:r w:rsidR="00E0706B" w:rsidRPr="00D43281">
        <w:rPr>
          <w:rFonts w:ascii="Times New Roman" w:hAnsi="Times New Roman" w:cs="Times New Roman"/>
          <w:color w:val="000000" w:themeColor="text1"/>
          <w:sz w:val="24"/>
          <w:szCs w:val="24"/>
          <w:lang w:val="ru-RU"/>
        </w:rPr>
        <w:t>.</w:t>
      </w:r>
    </w:p>
    <w:p w14:paraId="6E7BCB8A" w14:textId="433BECE0" w:rsidR="00781B11" w:rsidRPr="00D43281" w:rsidRDefault="00781B1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41" w:name="_Ref215244293"/>
      <w:r w:rsidRPr="00D43281">
        <w:rPr>
          <w:rFonts w:ascii="Times New Roman" w:hAnsi="Times New Roman" w:cs="Times New Roman"/>
          <w:color w:val="000000" w:themeColor="text1"/>
          <w:sz w:val="24"/>
          <w:szCs w:val="24"/>
          <w:lang w:val="ru-RU"/>
        </w:rPr>
        <w:t xml:space="preserve">Банк должен регулярно проводить стресс-тест кредитного риска для оценки влияния конкретных условий на общие требования к капиталу для покрытия кредитного риска. Выбор стресс-теста осуществляется банком и регулируется надзорным органом. Используемый стресс-тест должен быть содержательным и учитывать последствия серьезных, но вероятных сценариев рецессии. Банк должен оценивать изменение своих рейтингов в соответствии со сценариями стресс-теста. Портфели, тестируемые в ходе стресс-теста, должны содержать подавляющее большинство </w:t>
      </w:r>
      <w:r w:rsidR="001D7B37" w:rsidRPr="00D43281">
        <w:rPr>
          <w:rFonts w:ascii="Times New Roman" w:hAnsi="Times New Roman" w:cs="Times New Roman"/>
          <w:color w:val="000000" w:themeColor="text1"/>
          <w:sz w:val="24"/>
          <w:szCs w:val="24"/>
          <w:lang w:val="ru-RU"/>
        </w:rPr>
        <w:t>подверженностей</w:t>
      </w:r>
      <w:r w:rsidRPr="00D43281">
        <w:rPr>
          <w:rFonts w:ascii="Times New Roman" w:hAnsi="Times New Roman" w:cs="Times New Roman"/>
          <w:color w:val="000000" w:themeColor="text1"/>
          <w:sz w:val="24"/>
          <w:szCs w:val="24"/>
          <w:lang w:val="ru-RU"/>
        </w:rPr>
        <w:t xml:space="preserve"> банка</w:t>
      </w:r>
      <w:r w:rsidR="001D7B37" w:rsidRPr="00D43281">
        <w:rPr>
          <w:rFonts w:ascii="Times New Roman" w:hAnsi="Times New Roman" w:cs="Times New Roman"/>
          <w:color w:val="000000" w:themeColor="text1"/>
          <w:sz w:val="24"/>
          <w:szCs w:val="24"/>
          <w:lang w:val="ru-RU"/>
        </w:rPr>
        <w:t>.</w:t>
      </w:r>
    </w:p>
    <w:bookmarkEnd w:id="141"/>
    <w:p w14:paraId="6C4DCFAF" w14:textId="69343FC2" w:rsidR="00F06345" w:rsidRPr="00D43281" w:rsidRDefault="0094050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Сценарии, используемые в пункте 191, также включают факторы риска ESG, в частности физические факторы риска и факторы риска перехода, возникающие в результате изменения климата</w:t>
      </w:r>
      <w:r w:rsidR="00E0706B" w:rsidRPr="00D43281">
        <w:rPr>
          <w:rFonts w:ascii="Times New Roman" w:hAnsi="Times New Roman" w:cs="Times New Roman"/>
          <w:color w:val="000000" w:themeColor="text1"/>
          <w:sz w:val="24"/>
          <w:szCs w:val="24"/>
          <w:lang w:val="ru-RU"/>
        </w:rPr>
        <w:t>.</w:t>
      </w:r>
    </w:p>
    <w:p w14:paraId="7D4D14D0" w14:textId="4A91875C" w:rsidR="00EF648A" w:rsidRPr="00D43281" w:rsidRDefault="0094050D" w:rsidP="00EF648A">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Часть</w:t>
      </w:r>
      <w:r w:rsidR="00EF648A" w:rsidRPr="00D43281">
        <w:rPr>
          <w:rFonts w:ascii="Times New Roman" w:hAnsi="Times New Roman" w:cs="Times New Roman"/>
          <w:b/>
          <w:bCs/>
          <w:i/>
          <w:iCs/>
          <w:color w:val="000000" w:themeColor="text1"/>
          <w:sz w:val="24"/>
          <w:szCs w:val="24"/>
          <w:lang w:val="ro-RO"/>
        </w:rPr>
        <w:t xml:space="preserve"> </w:t>
      </w:r>
      <w:r w:rsidR="00051F96" w:rsidRPr="00D43281">
        <w:rPr>
          <w:rFonts w:ascii="Times New Roman" w:hAnsi="Times New Roman" w:cs="Times New Roman"/>
          <w:b/>
          <w:bCs/>
          <w:i/>
          <w:iCs/>
          <w:color w:val="000000" w:themeColor="text1"/>
          <w:sz w:val="24"/>
          <w:szCs w:val="24"/>
          <w:lang w:val="ro-RO"/>
        </w:rPr>
        <w:t>2</w:t>
      </w:r>
    </w:p>
    <w:p w14:paraId="4BD1D657" w14:textId="44AECF8C" w:rsidR="0048025D" w:rsidRPr="00D43281" w:rsidRDefault="0048025D" w:rsidP="00EF648A">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Количественная оценка риска и проверка достоверности внутренних оценок</w:t>
      </w:r>
    </w:p>
    <w:p w14:paraId="27205076" w14:textId="77777777" w:rsidR="007C6612" w:rsidRPr="00D43281" w:rsidRDefault="007C6612" w:rsidP="007C6612">
      <w:pPr>
        <w:pStyle w:val="ListParagraph"/>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p>
    <w:p w14:paraId="2482E705" w14:textId="7DD0ED4E" w:rsidR="0098187F" w:rsidRPr="00D43281" w:rsidRDefault="0048025D" w:rsidP="0098187F">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Подчасть</w:t>
      </w:r>
      <w:r w:rsidRPr="00D43281">
        <w:rPr>
          <w:rFonts w:ascii="Times New Roman" w:hAnsi="Times New Roman" w:cs="Times New Roman"/>
          <w:b/>
          <w:bCs/>
          <w:i/>
          <w:iCs/>
          <w:color w:val="000000" w:themeColor="text1"/>
          <w:sz w:val="24"/>
          <w:szCs w:val="24"/>
          <w:lang w:val="en-US"/>
        </w:rPr>
        <w:t xml:space="preserve"> </w:t>
      </w:r>
      <w:r w:rsidR="0098187F" w:rsidRPr="00D43281">
        <w:rPr>
          <w:rFonts w:ascii="Times New Roman" w:hAnsi="Times New Roman" w:cs="Times New Roman"/>
          <w:b/>
          <w:bCs/>
          <w:i/>
          <w:iCs/>
          <w:color w:val="000000" w:themeColor="text1"/>
          <w:sz w:val="24"/>
          <w:szCs w:val="24"/>
          <w:lang w:val="ro-RO"/>
        </w:rPr>
        <w:t>1</w:t>
      </w:r>
    </w:p>
    <w:p w14:paraId="457EB748" w14:textId="40369719" w:rsidR="00F06345" w:rsidRPr="00D43281" w:rsidRDefault="002E775A" w:rsidP="0098187F">
      <w:pPr>
        <w:pStyle w:val="ListParagraph"/>
        <w:shd w:val="clear" w:color="auto" w:fill="FFFFFF"/>
        <w:tabs>
          <w:tab w:val="left" w:pos="0"/>
          <w:tab w:val="left" w:pos="567"/>
        </w:tabs>
        <w:spacing w:before="60" w:after="0" w:line="240" w:lineRule="auto"/>
        <w:ind w:left="0"/>
        <w:jc w:val="center"/>
        <w:rPr>
          <w:rFonts w:ascii="Times New Roman" w:hAnsi="Times New Roman" w:cs="Times New Roman"/>
          <w:color w:val="000000" w:themeColor="text1"/>
          <w:sz w:val="24"/>
          <w:szCs w:val="24"/>
          <w:lang w:val="ru-RU"/>
        </w:rPr>
      </w:pPr>
      <w:r w:rsidRPr="00D43281">
        <w:rPr>
          <w:rFonts w:ascii="Times New Roman" w:hAnsi="Times New Roman" w:cs="Times New Roman"/>
          <w:b/>
          <w:bCs/>
          <w:i/>
          <w:iCs/>
          <w:color w:val="000000" w:themeColor="text1"/>
          <w:sz w:val="24"/>
          <w:szCs w:val="24"/>
          <w:lang w:val="ru-RU"/>
        </w:rPr>
        <w:t>Общие требования к оценке</w:t>
      </w:r>
    </w:p>
    <w:p w14:paraId="1D12B236" w14:textId="0F1EC5BB" w:rsidR="00734AF8" w:rsidRPr="00D43281" w:rsidRDefault="00EF12AB"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Неисполнение обязательств должником или неисполнение обязательств по кредитной линии определяется в соответствии с пунктами 23–</w:t>
      </w:r>
      <w:r w:rsidR="00F22381" w:rsidRPr="00D43281">
        <w:rPr>
          <w:rFonts w:ascii="Times New Roman" w:hAnsi="Times New Roman" w:cs="Times New Roman"/>
          <w:color w:val="000000" w:themeColor="text1"/>
          <w:sz w:val="24"/>
          <w:szCs w:val="24"/>
          <w:lang w:val="ru-MD"/>
        </w:rPr>
        <w:t>28 Регламента</w:t>
      </w:r>
      <w:r w:rsidRPr="00D43281">
        <w:rPr>
          <w:rFonts w:ascii="Times New Roman" w:hAnsi="Times New Roman" w:cs="Times New Roman"/>
          <w:color w:val="000000" w:themeColor="text1"/>
          <w:sz w:val="24"/>
          <w:szCs w:val="24"/>
          <w:lang w:val="ru-MD"/>
        </w:rPr>
        <w:t xml:space="preserve"> № 111/2018</w:t>
      </w:r>
      <w:r w:rsidR="006A76D8" w:rsidRPr="00D43281">
        <w:rPr>
          <w:rFonts w:ascii="Times New Roman" w:hAnsi="Times New Roman" w:cs="Times New Roman"/>
          <w:color w:val="000000" w:themeColor="text1"/>
          <w:sz w:val="24"/>
          <w:szCs w:val="24"/>
          <w:lang w:val="ru-MD"/>
        </w:rPr>
        <w:t>.</w:t>
      </w:r>
    </w:p>
    <w:p w14:paraId="30A0A28D" w14:textId="71565A1F" w:rsidR="006A76D8" w:rsidRPr="00D43281" w:rsidRDefault="00F2238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Банки, использующие внешние данные, не соответствующие определению невозврата, изложенному в пункте 23 Регламента № 111/2018, должны внести соответствующие корректировки для достижения существенной эквивалентности определению невозврата</w:t>
      </w:r>
      <w:r w:rsidR="006A76D8" w:rsidRPr="00D43281">
        <w:rPr>
          <w:rFonts w:ascii="Times New Roman" w:hAnsi="Times New Roman" w:cs="Times New Roman"/>
          <w:color w:val="000000" w:themeColor="text1"/>
          <w:sz w:val="24"/>
          <w:szCs w:val="24"/>
          <w:lang w:val="ru-RU"/>
        </w:rPr>
        <w:t>.</w:t>
      </w:r>
    </w:p>
    <w:p w14:paraId="44BF1CFE" w14:textId="73B045E6" w:rsidR="0015523D" w:rsidRPr="00D43281" w:rsidRDefault="00F2238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При количественной оценке параметров риска, которые должны быть связаны с рейтинговыми классами или группами риска, банки должны применять следующие требования</w:t>
      </w:r>
      <w:r w:rsidR="0015523D" w:rsidRPr="00D43281">
        <w:rPr>
          <w:rFonts w:ascii="Times New Roman" w:hAnsi="Times New Roman" w:cs="Times New Roman"/>
          <w:color w:val="000000" w:themeColor="text1"/>
          <w:sz w:val="24"/>
          <w:szCs w:val="24"/>
          <w:lang w:val="ru-RU"/>
        </w:rPr>
        <w:t>:</w:t>
      </w:r>
    </w:p>
    <w:p w14:paraId="32C6FB1B" w14:textId="65B34BB2" w:rsidR="00BF3815" w:rsidRPr="00D43281" w:rsidRDefault="00BF381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Собственные оценки банком параметров риска: вероятности невозврата, убытков в случае невозврата, коэффициента конверсии и ожидаемых убытков должны учитывать все соответствующие данные, информацию и методы. Оценки должны быть получены на основе исторического опыта и эмпирических данных и не должны основываться исключительно на соображениях, вытекающих из профессионального суждения. Оценки должны быть правдоподобными и интуитивно понятными и должны основываться на основных факторах, определяющих изменение соответствующих </w:t>
      </w:r>
      <w:r w:rsidRPr="00D43281">
        <w:rPr>
          <w:rFonts w:ascii="Times New Roman" w:hAnsi="Times New Roman" w:cs="Times New Roman"/>
          <w:color w:val="000000" w:themeColor="text1"/>
          <w:sz w:val="24"/>
          <w:szCs w:val="24"/>
          <w:lang w:val="ru-RU"/>
        </w:rPr>
        <w:lastRenderedPageBreak/>
        <w:t>параметров риска. Чем меньше данных банк располагает, тем более консервативными должны быть его оценки.</w:t>
      </w:r>
    </w:p>
    <w:p w14:paraId="1ED43FF3" w14:textId="3B64E35A" w:rsidR="0015523D" w:rsidRPr="00D43281" w:rsidRDefault="00DE3FFE" w:rsidP="006B1C24">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MD"/>
        </w:rPr>
        <w:t xml:space="preserve">Банк должен быть в состоянии предоставить историю своих убытков, основанную на факторах, которые он считает определяющими динамику параметров риска, выраженную в терминах частоты неисполнения </w:t>
      </w:r>
      <w:r w:rsidR="001A5932" w:rsidRPr="00D43281">
        <w:rPr>
          <w:rFonts w:ascii="Times New Roman" w:hAnsi="Times New Roman" w:cs="Times New Roman"/>
          <w:color w:val="000000" w:themeColor="text1"/>
          <w:sz w:val="24"/>
          <w:szCs w:val="24"/>
          <w:lang w:val="ru-MD"/>
        </w:rPr>
        <w:t>обязательств,</w:t>
      </w:r>
      <w:r w:rsidRPr="00D43281">
        <w:rPr>
          <w:rFonts w:ascii="Times New Roman" w:hAnsi="Times New Roman" w:cs="Times New Roman"/>
          <w:color w:val="000000" w:themeColor="text1"/>
          <w:sz w:val="24"/>
          <w:szCs w:val="24"/>
          <w:lang w:val="ru-MD"/>
        </w:rPr>
        <w:t xml:space="preserve"> убытков </w:t>
      </w:r>
      <w:r w:rsidR="001A5932" w:rsidRPr="00D43281">
        <w:rPr>
          <w:rFonts w:ascii="Times New Roman" w:hAnsi="Times New Roman" w:cs="Times New Roman"/>
          <w:color w:val="000000" w:themeColor="text1"/>
          <w:sz w:val="24"/>
          <w:szCs w:val="24"/>
          <w:lang w:val="ru-MD"/>
        </w:rPr>
        <w:t>в случае невозврата</w:t>
      </w:r>
      <w:r w:rsidRPr="00D43281">
        <w:rPr>
          <w:rFonts w:ascii="Times New Roman" w:hAnsi="Times New Roman" w:cs="Times New Roman"/>
          <w:color w:val="000000" w:themeColor="text1"/>
          <w:sz w:val="24"/>
          <w:szCs w:val="24"/>
          <w:lang w:val="ru-MD"/>
        </w:rPr>
        <w:t>, коэффициента конверсии или убытков, если используются оценки ожидаемых убытков. Оценки банка должны отражать долгосрочный опыт</w:t>
      </w:r>
      <w:r w:rsidR="0015523D" w:rsidRPr="00D43281">
        <w:rPr>
          <w:rFonts w:ascii="Times New Roman" w:hAnsi="Times New Roman" w:cs="Times New Roman"/>
          <w:color w:val="000000" w:themeColor="text1"/>
          <w:sz w:val="24"/>
          <w:szCs w:val="24"/>
          <w:lang w:val="ro-RO"/>
        </w:rPr>
        <w:t>;</w:t>
      </w:r>
    </w:p>
    <w:p w14:paraId="29412321" w14:textId="77BBF646" w:rsidR="00CA54EB" w:rsidRPr="00D43281" w:rsidRDefault="00C0229C"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Любые изменения в практике кредитования или процессе взыскания задолженности, произошедшие в течение периодов наблюдения, указанных в пунктах 198.8 и 200.5, пункте 20</w:t>
      </w:r>
      <w:r w:rsidR="008145E9" w:rsidRPr="00BB1E28">
        <w:rPr>
          <w:rFonts w:ascii="Times New Roman" w:hAnsi="Times New Roman" w:cs="Times New Roman"/>
          <w:color w:val="000000" w:themeColor="text1"/>
          <w:sz w:val="24"/>
          <w:szCs w:val="24"/>
          <w:lang w:val="ru-RU"/>
        </w:rPr>
        <w:t>2</w:t>
      </w:r>
      <w:r w:rsidRPr="00D43281">
        <w:rPr>
          <w:rFonts w:ascii="Times New Roman" w:hAnsi="Times New Roman" w:cs="Times New Roman"/>
          <w:color w:val="000000" w:themeColor="text1"/>
          <w:sz w:val="24"/>
          <w:szCs w:val="24"/>
          <w:lang w:val="ru-MD"/>
        </w:rPr>
        <w:t>.10 и пунктах 20</w:t>
      </w:r>
      <w:r w:rsidR="008145E9" w:rsidRPr="00BB1E28">
        <w:rPr>
          <w:rFonts w:ascii="Times New Roman" w:hAnsi="Times New Roman" w:cs="Times New Roman"/>
          <w:color w:val="000000" w:themeColor="text1"/>
          <w:sz w:val="24"/>
          <w:szCs w:val="24"/>
          <w:lang w:val="ru-RU"/>
        </w:rPr>
        <w:t>6</w:t>
      </w:r>
      <w:r w:rsidRPr="00D43281">
        <w:rPr>
          <w:rFonts w:ascii="Times New Roman" w:hAnsi="Times New Roman" w:cs="Times New Roman"/>
          <w:color w:val="000000" w:themeColor="text1"/>
          <w:sz w:val="24"/>
          <w:szCs w:val="24"/>
          <w:lang w:val="ru-MD"/>
        </w:rPr>
        <w:t>–20</w:t>
      </w:r>
      <w:r w:rsidR="008145E9" w:rsidRPr="00BB1E28">
        <w:rPr>
          <w:rFonts w:ascii="Times New Roman" w:hAnsi="Times New Roman" w:cs="Times New Roman"/>
          <w:color w:val="000000" w:themeColor="text1"/>
          <w:sz w:val="24"/>
          <w:szCs w:val="24"/>
          <w:lang w:val="ru-RU"/>
        </w:rPr>
        <w:t>8</w:t>
      </w:r>
      <w:r w:rsidRPr="00D43281">
        <w:rPr>
          <w:rFonts w:ascii="Times New Roman" w:hAnsi="Times New Roman" w:cs="Times New Roman"/>
          <w:color w:val="000000" w:themeColor="text1"/>
          <w:sz w:val="24"/>
          <w:szCs w:val="24"/>
          <w:lang w:val="ru-MD"/>
        </w:rPr>
        <w:t>, а также пунктах 21</w:t>
      </w:r>
      <w:r w:rsidR="008145E9" w:rsidRPr="00BB1E28">
        <w:rPr>
          <w:rFonts w:ascii="Times New Roman" w:hAnsi="Times New Roman" w:cs="Times New Roman"/>
          <w:color w:val="000000" w:themeColor="text1"/>
          <w:sz w:val="24"/>
          <w:szCs w:val="24"/>
          <w:lang w:val="ru-RU"/>
        </w:rPr>
        <w:t>7</w:t>
      </w:r>
      <w:r w:rsidRPr="00D43281">
        <w:rPr>
          <w:rFonts w:ascii="Times New Roman" w:hAnsi="Times New Roman" w:cs="Times New Roman"/>
          <w:color w:val="000000" w:themeColor="text1"/>
          <w:sz w:val="24"/>
          <w:szCs w:val="24"/>
          <w:lang w:val="ru-MD"/>
        </w:rPr>
        <w:t xml:space="preserve"> и </w:t>
      </w:r>
      <w:r w:rsidR="00207C92" w:rsidRPr="00D43281">
        <w:rPr>
          <w:rFonts w:ascii="Times New Roman" w:hAnsi="Times New Roman" w:cs="Times New Roman"/>
          <w:color w:val="000000" w:themeColor="text1"/>
          <w:sz w:val="24"/>
          <w:szCs w:val="24"/>
          <w:lang w:val="ru-MD"/>
        </w:rPr>
        <w:t>2</w:t>
      </w:r>
      <w:r w:rsidR="008145E9" w:rsidRPr="00BB1E28">
        <w:rPr>
          <w:rFonts w:ascii="Times New Roman" w:hAnsi="Times New Roman" w:cs="Times New Roman"/>
          <w:color w:val="000000" w:themeColor="text1"/>
          <w:sz w:val="24"/>
          <w:szCs w:val="24"/>
          <w:lang w:val="ru-RU"/>
        </w:rPr>
        <w:t>18</w:t>
      </w:r>
      <w:r w:rsidR="00207C92" w:rsidRPr="00D43281">
        <w:rPr>
          <w:rFonts w:ascii="Times New Roman" w:hAnsi="Times New Roman" w:cs="Times New Roman"/>
          <w:color w:val="000000" w:themeColor="text1"/>
          <w:sz w:val="24"/>
          <w:szCs w:val="24"/>
          <w:lang w:val="ru-MD"/>
        </w:rPr>
        <w:t>–2</w:t>
      </w:r>
      <w:r w:rsidR="008145E9" w:rsidRPr="00BB1E28">
        <w:rPr>
          <w:rFonts w:ascii="Times New Roman" w:hAnsi="Times New Roman" w:cs="Times New Roman"/>
          <w:color w:val="000000" w:themeColor="text1"/>
          <w:sz w:val="24"/>
          <w:szCs w:val="24"/>
          <w:lang w:val="ru-RU"/>
        </w:rPr>
        <w:t>19</w:t>
      </w:r>
      <w:r w:rsidRPr="00D43281">
        <w:rPr>
          <w:rFonts w:ascii="Times New Roman" w:hAnsi="Times New Roman" w:cs="Times New Roman"/>
          <w:color w:val="000000" w:themeColor="text1"/>
          <w:sz w:val="24"/>
          <w:szCs w:val="24"/>
          <w:lang w:val="ru-MD"/>
        </w:rPr>
        <w:t>, должны быть учтены. Банковские оценки должны учитывать последствия технологического прогресса и новые данные или другую информацию по мере их поступления. Банки должны пересматривать свои оценки не реже одного раза в год и при появлении новой информации</w:t>
      </w:r>
      <w:r w:rsidR="0015523D" w:rsidRPr="00D43281">
        <w:rPr>
          <w:rFonts w:ascii="Times New Roman" w:hAnsi="Times New Roman" w:cs="Times New Roman"/>
          <w:color w:val="000000" w:themeColor="text1"/>
          <w:sz w:val="24"/>
          <w:szCs w:val="24"/>
          <w:lang w:val="ru-MD"/>
        </w:rPr>
        <w:t>;</w:t>
      </w:r>
    </w:p>
    <w:p w14:paraId="743F4EE0" w14:textId="32EBFA67" w:rsidR="00207C92" w:rsidRPr="00D43281" w:rsidRDefault="00207C9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Выборка подверженностей, представленных в данных, используемых для оценки, стандарты кредитования, действовавшие на момент сбора данных, и другие соответствующие характеристики должны быть сопоставимы с подверженностями и стандартами банка. Экономические или рыночные условия, на которых основаны данные, должны соответствовать текущим условиям и их прогнозируемой эволюции. Количество подверженностей, включенных в выборку, и период, к которому относятся данные, используемые для количественной оценки, должны быть достаточными для того, чтобы банк мог быть уверен в точности и надежности своих оценок.</w:t>
      </w:r>
    </w:p>
    <w:p w14:paraId="64BD79D7" w14:textId="157494EC" w:rsidR="0015523D" w:rsidRPr="00D43281" w:rsidRDefault="00EB37B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RU"/>
        </w:rPr>
        <w:t>В случае приобретения дебиторской задолженности, при составлении оценок следует учитывать всю имеющуюся у банка-покупателя информацию о качестве базовой дебиторской задолженности, включая данные по аналогичным портфелям, предоставленные продавцом, банком-покупателем или внешними источниками. Банк-покупатель должен оценить любые данные, на которые он опирается и которые предоставлены продавцом</w:t>
      </w:r>
      <w:r w:rsidR="0015523D" w:rsidRPr="00D43281">
        <w:rPr>
          <w:rFonts w:ascii="Times New Roman" w:hAnsi="Times New Roman" w:cs="Times New Roman"/>
          <w:color w:val="000000" w:themeColor="text1"/>
          <w:sz w:val="24"/>
          <w:szCs w:val="24"/>
          <w:lang w:val="ro-RO"/>
        </w:rPr>
        <w:t>.</w:t>
      </w:r>
    </w:p>
    <w:p w14:paraId="2466D32E" w14:textId="1ED36F04" w:rsidR="0015523D" w:rsidRPr="00D43281" w:rsidRDefault="00D06AA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Во избежание искажений результатов банк должен, насколько это возможно, включать в свои оценки соответствующие корректировки; после включения соответствующей корректировки банк должен добавить к своим оценкам достаточный запас прочности, связанный с ожидаемым диапазоном ошибок оценки; если методы и данные считаются менее удовлетворительными, ожидаемый диапазон ошибок увеличивается, и запас прочности также увеличивается</w:t>
      </w:r>
      <w:r w:rsidR="0015523D" w:rsidRPr="00D43281">
        <w:rPr>
          <w:rFonts w:ascii="Times New Roman" w:hAnsi="Times New Roman" w:cs="Times New Roman"/>
          <w:color w:val="000000" w:themeColor="text1"/>
          <w:sz w:val="24"/>
          <w:szCs w:val="24"/>
          <w:lang w:val="ru-RU"/>
        </w:rPr>
        <w:t>.</w:t>
      </w:r>
    </w:p>
    <w:p w14:paraId="3D7B352E" w14:textId="0863F39E" w:rsidR="0015523D" w:rsidRPr="00D43281" w:rsidRDefault="003E78D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Если банки используют оценки, отличающиеся от тех, которые используются для внутренних целей при расчете весовых коэффициентов риска, это должно быть формализовано и обосновано</w:t>
      </w:r>
      <w:r w:rsidR="0015523D" w:rsidRPr="00D43281">
        <w:rPr>
          <w:rFonts w:ascii="Times New Roman" w:hAnsi="Times New Roman" w:cs="Times New Roman"/>
          <w:color w:val="000000" w:themeColor="text1"/>
          <w:sz w:val="24"/>
          <w:szCs w:val="24"/>
          <w:lang w:val="ru-RU"/>
        </w:rPr>
        <w:t>.</w:t>
      </w:r>
    </w:p>
    <w:p w14:paraId="24CD2801" w14:textId="5320DE4B" w:rsidR="0015523D" w:rsidRPr="00D43281" w:rsidRDefault="003E78DD"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42" w:name="_Ref215508059"/>
      <w:r w:rsidRPr="00D43281">
        <w:rPr>
          <w:rFonts w:ascii="Times New Roman" w:hAnsi="Times New Roman" w:cs="Times New Roman"/>
          <w:color w:val="000000" w:themeColor="text1"/>
          <w:sz w:val="24"/>
          <w:szCs w:val="24"/>
          <w:lang w:val="ru-RU"/>
        </w:rPr>
        <w:t>Если банк использует объединенные данные нескольких банков, он должен соответствовать следующим требованиям</w:t>
      </w:r>
      <w:r w:rsidR="0015523D" w:rsidRPr="00D43281">
        <w:rPr>
          <w:rFonts w:ascii="Times New Roman" w:hAnsi="Times New Roman" w:cs="Times New Roman"/>
          <w:color w:val="000000" w:themeColor="text1"/>
          <w:sz w:val="24"/>
          <w:szCs w:val="24"/>
          <w:lang w:val="ru-RU"/>
        </w:rPr>
        <w:t>:</w:t>
      </w:r>
      <w:bookmarkEnd w:id="142"/>
    </w:p>
    <w:p w14:paraId="0AD284F8" w14:textId="25D57623" w:rsidR="0015523D" w:rsidRPr="00D43281" w:rsidRDefault="003E78DD"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Системы рейтингов и критерии других банков, предоставляющих данные, должны быть аналогичны его собственным</w:t>
      </w:r>
      <w:r w:rsidR="0015523D" w:rsidRPr="00D43281">
        <w:rPr>
          <w:rFonts w:ascii="Times New Roman" w:hAnsi="Times New Roman" w:cs="Times New Roman"/>
          <w:color w:val="000000" w:themeColor="text1"/>
          <w:sz w:val="24"/>
          <w:szCs w:val="24"/>
          <w:lang w:val="ru-RU"/>
        </w:rPr>
        <w:t>;</w:t>
      </w:r>
    </w:p>
    <w:p w14:paraId="77F17763" w14:textId="4BF082E6" w:rsidR="0015523D" w:rsidRPr="00D43281" w:rsidRDefault="003E78DD"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Объединенные данные должны быть репрезентативными для портфеля, для которого эти данные используются</w:t>
      </w:r>
      <w:r w:rsidR="0015523D" w:rsidRPr="00D43281">
        <w:rPr>
          <w:rFonts w:ascii="Times New Roman" w:hAnsi="Times New Roman" w:cs="Times New Roman"/>
          <w:color w:val="000000" w:themeColor="text1"/>
          <w:sz w:val="24"/>
          <w:szCs w:val="24"/>
          <w:lang w:val="ru-RU"/>
        </w:rPr>
        <w:t>;</w:t>
      </w:r>
    </w:p>
    <w:p w14:paraId="255901F8" w14:textId="7FAC2275" w:rsidR="0015523D" w:rsidRPr="00D43281" w:rsidRDefault="00973EB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Объединенные данные должны использоваться банком для своих оценок последовательно с течением времени</w:t>
      </w:r>
      <w:r w:rsidR="0015523D" w:rsidRPr="00D43281">
        <w:rPr>
          <w:rFonts w:ascii="Times New Roman" w:hAnsi="Times New Roman" w:cs="Times New Roman"/>
          <w:color w:val="000000" w:themeColor="text1"/>
          <w:sz w:val="24"/>
          <w:szCs w:val="24"/>
          <w:lang w:val="ru-RU"/>
        </w:rPr>
        <w:t>;</w:t>
      </w:r>
    </w:p>
    <w:p w14:paraId="5E455F1B" w14:textId="4E687377" w:rsidR="0015523D" w:rsidRPr="00D43281" w:rsidRDefault="00973EB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 должен сохранять ответственность за целостность своих систем рейтингов</w:t>
      </w:r>
      <w:r w:rsidR="0015523D" w:rsidRPr="00D43281">
        <w:rPr>
          <w:rFonts w:ascii="Times New Roman" w:hAnsi="Times New Roman" w:cs="Times New Roman"/>
          <w:color w:val="000000" w:themeColor="text1"/>
          <w:sz w:val="24"/>
          <w:szCs w:val="24"/>
          <w:lang w:val="ru-RU"/>
        </w:rPr>
        <w:t>;</w:t>
      </w:r>
    </w:p>
    <w:p w14:paraId="1D8E067C" w14:textId="470A38C6" w:rsidR="0098187F" w:rsidRPr="00D43281" w:rsidRDefault="00973EB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 должен обладать достаточным внутренним пониманием своих систем рейтингов, включая эффективную возможность мониторинга и аудита процесса рейтингования</w:t>
      </w:r>
      <w:r w:rsidR="0015523D" w:rsidRPr="00D43281">
        <w:rPr>
          <w:rFonts w:ascii="Times New Roman" w:hAnsi="Times New Roman" w:cs="Times New Roman"/>
          <w:color w:val="000000" w:themeColor="text1"/>
          <w:sz w:val="24"/>
          <w:szCs w:val="24"/>
          <w:lang w:val="ru-RU"/>
        </w:rPr>
        <w:t>.</w:t>
      </w:r>
    </w:p>
    <w:p w14:paraId="740DCBB5" w14:textId="77E16E38" w:rsidR="0015523D" w:rsidRPr="00D43281" w:rsidRDefault="008F3BAE" w:rsidP="0015523D">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 xml:space="preserve">Подчасть </w:t>
      </w:r>
      <w:r w:rsidRPr="00D43281">
        <w:rPr>
          <w:rFonts w:ascii="Times New Roman" w:hAnsi="Times New Roman" w:cs="Times New Roman"/>
          <w:b/>
          <w:bCs/>
          <w:i/>
          <w:iCs/>
          <w:color w:val="000000" w:themeColor="text1"/>
          <w:sz w:val="24"/>
          <w:szCs w:val="24"/>
          <w:lang w:val="ro-RO"/>
        </w:rPr>
        <w:t>2</w:t>
      </w:r>
    </w:p>
    <w:p w14:paraId="2E102D05" w14:textId="61F6A0B1" w:rsidR="0015523D" w:rsidRPr="00D43281" w:rsidRDefault="008F3BAE" w:rsidP="002F55E0">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color w:val="000000" w:themeColor="text1"/>
          <w:sz w:val="24"/>
          <w:szCs w:val="24"/>
          <w:lang w:val="ru-RU"/>
        </w:rPr>
      </w:pPr>
      <w:r w:rsidRPr="00D43281">
        <w:rPr>
          <w:rFonts w:ascii="Times New Roman" w:hAnsi="Times New Roman" w:cs="Times New Roman"/>
          <w:b/>
          <w:bCs/>
          <w:i/>
          <w:iCs/>
          <w:color w:val="000000" w:themeColor="text1"/>
          <w:sz w:val="24"/>
          <w:szCs w:val="24"/>
          <w:lang w:val="ru-RU"/>
        </w:rPr>
        <w:t>Особые требования к оценке вероятности невозврата</w:t>
      </w:r>
    </w:p>
    <w:p w14:paraId="6EE01651" w14:textId="4007D516" w:rsidR="00F31DC3" w:rsidRPr="00D43281" w:rsidRDefault="00F31DC3"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43" w:name="_Ref215507096"/>
      <w:r w:rsidRPr="00D43281">
        <w:rPr>
          <w:rFonts w:ascii="Times New Roman" w:hAnsi="Times New Roman" w:cs="Times New Roman"/>
          <w:color w:val="000000" w:themeColor="text1"/>
          <w:sz w:val="24"/>
          <w:szCs w:val="24"/>
          <w:lang w:val="ru-RU"/>
        </w:rPr>
        <w:lastRenderedPageBreak/>
        <w:t xml:space="preserve">При количественной оценке параметров риска, которые должны быть связаны с рейтинговыми классами или пулами рисков, банки должны применять следующие конкретные требования к оценке вероятности невозврата (PD) для подверженностей перед </w:t>
      </w:r>
      <w:r w:rsidR="00643368" w:rsidRPr="00D43281">
        <w:rPr>
          <w:rFonts w:ascii="Times New Roman" w:hAnsi="Times New Roman" w:cs="Times New Roman"/>
          <w:color w:val="000000" w:themeColor="text1"/>
          <w:sz w:val="24"/>
          <w:szCs w:val="24"/>
          <w:lang w:val="ru-RU"/>
        </w:rPr>
        <w:t>центральными администрациями и центральными банками, подверженностей перед региональными администрациями, местными органами и субъектами публичного сектора, подверженностей перед банками, и подверженностей перед обществами:</w:t>
      </w:r>
    </w:p>
    <w:bookmarkEnd w:id="143"/>
    <w:p w14:paraId="54B33895" w14:textId="655D6AD0" w:rsidR="0015523D" w:rsidRPr="00D43281" w:rsidRDefault="00321B0D"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Банки должны оценивать вероятность невозврата по рейтинговым классам заемщиков, используя долгосрочные средние значения годовых показателей невыполнения обязательств. Вероятность невозврата для заемщиков с высокой долей заемных средств или заемщиков, чьи активы преимущественно представляют собой торгуемые активы, должна отражать динамику базовых активов в периоды повышенной волатильности</w:t>
      </w:r>
      <w:r w:rsidR="0015523D" w:rsidRPr="00D43281">
        <w:rPr>
          <w:rFonts w:ascii="Times New Roman" w:hAnsi="Times New Roman" w:cs="Times New Roman"/>
          <w:color w:val="000000" w:themeColor="text1"/>
          <w:sz w:val="24"/>
          <w:szCs w:val="24"/>
          <w:lang w:val="ru-RU"/>
        </w:rPr>
        <w:t>;</w:t>
      </w:r>
    </w:p>
    <w:p w14:paraId="326A549F" w14:textId="2CB01FDD" w:rsidR="0015523D" w:rsidRPr="00D43281" w:rsidRDefault="0010332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 отношении приобретенной корпоративной дебиторской задолженности банки могут оценивать ожидаемые убытки в зависимости от рейтингового класса заемщика, используя долгосрочные средние значения эффективных годовых показателей невозврата</w:t>
      </w:r>
      <w:r w:rsidR="0015523D" w:rsidRPr="00D43281">
        <w:rPr>
          <w:rFonts w:ascii="Times New Roman" w:hAnsi="Times New Roman" w:cs="Times New Roman"/>
          <w:color w:val="000000" w:themeColor="text1"/>
          <w:sz w:val="24"/>
          <w:szCs w:val="24"/>
          <w:lang w:val="ru-RU"/>
        </w:rPr>
        <w:t>;</w:t>
      </w:r>
    </w:p>
    <w:p w14:paraId="68FA16BF" w14:textId="66B4A7DF" w:rsidR="00103323" w:rsidRPr="00D43281" w:rsidRDefault="0010332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Если банк для приобретенных корпоративных дебиторских задолженностей получает долгосрочные средние оценки вероятности </w:t>
      </w:r>
      <w:r w:rsidR="00BB3B4C"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xml:space="preserve"> и убытков в случае </w:t>
      </w:r>
      <w:r w:rsidR="00BB3B4C"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xml:space="preserve"> на основе оценки ожидаемых убытков и соответствующей оценки вероятности </w:t>
      </w:r>
      <w:r w:rsidR="00BB3B4C"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xml:space="preserve"> или убытков в случае </w:t>
      </w:r>
      <w:r w:rsidR="00BB3B4C"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xml:space="preserve">, то процесс оценки общих убытков должен соответствовать общим требованиям к оценке вероятности </w:t>
      </w:r>
      <w:r w:rsidR="00BB3B4C"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xml:space="preserve"> и убытков в случае </w:t>
      </w:r>
      <w:r w:rsidR="00BB3B4C"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xml:space="preserve">, изложенным в настоящей части, и результат должен соответствовать концепции убытков в случае </w:t>
      </w:r>
      <w:r w:rsidR="00BB3B4C"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изложенной в подпункте 20</w:t>
      </w:r>
      <w:r w:rsidR="00D16C5F" w:rsidRPr="00BB1E28">
        <w:rPr>
          <w:rFonts w:ascii="Times New Roman" w:hAnsi="Times New Roman" w:cs="Times New Roman"/>
          <w:color w:val="000000" w:themeColor="text1"/>
          <w:sz w:val="24"/>
          <w:szCs w:val="24"/>
          <w:lang w:val="ru-RU"/>
        </w:rPr>
        <w:t>2</w:t>
      </w:r>
      <w:r w:rsidRPr="00D43281">
        <w:rPr>
          <w:rFonts w:ascii="Times New Roman" w:hAnsi="Times New Roman" w:cs="Times New Roman"/>
          <w:color w:val="000000" w:themeColor="text1"/>
          <w:sz w:val="24"/>
          <w:szCs w:val="24"/>
          <w:lang w:val="ru-RU"/>
        </w:rPr>
        <w:t>.1</w:t>
      </w:r>
      <w:r w:rsidR="00CA3932" w:rsidRPr="00D43281">
        <w:rPr>
          <w:rFonts w:ascii="Times New Roman" w:hAnsi="Times New Roman" w:cs="Times New Roman"/>
          <w:color w:val="000000" w:themeColor="text1"/>
          <w:sz w:val="24"/>
          <w:szCs w:val="24"/>
          <w:lang w:val="ru-RU"/>
        </w:rPr>
        <w:t>;</w:t>
      </w:r>
    </w:p>
    <w:p w14:paraId="660387A1" w14:textId="592B7331" w:rsidR="0015523D" w:rsidRPr="00D43281" w:rsidRDefault="00AF018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Банки должны использовать методы оценки вероятности невозврата только после обоснованного анализа. Банки должны признавать важность соображений, основанных на профессиональном суждении, объединяя результаты методов и внося корректировки с учетом ограничений методов и имеющейся информации</w:t>
      </w:r>
      <w:r w:rsidR="0015523D" w:rsidRPr="00D43281">
        <w:rPr>
          <w:rFonts w:ascii="Times New Roman" w:hAnsi="Times New Roman" w:cs="Times New Roman"/>
          <w:color w:val="000000" w:themeColor="text1"/>
          <w:sz w:val="24"/>
          <w:szCs w:val="24"/>
          <w:lang w:val="ru-RU"/>
        </w:rPr>
        <w:t>;</w:t>
      </w:r>
    </w:p>
    <w:p w14:paraId="5B8BB6E4" w14:textId="7CEBCB7B" w:rsidR="0015523D" w:rsidRPr="00D43281" w:rsidRDefault="000C3DA7" w:rsidP="0060087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В той мере, в которой банк использует собственный опыт невыполнения обязательств для оценки вероятности </w:t>
      </w:r>
      <w:r w:rsidR="008B6F40"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оценки должны учитывать действующие стандарты андеррайтинга и любые различия между рейтинговой системой, которая сгенерировала данные, и действующей рейтинговой системой; в случае изменения стандартов андеррайтинга или рейтинговых систем, после внесения соответствующей корректировки, банк должен добавить больший запас консервативности к своей оценке вероятности</w:t>
      </w:r>
      <w:r w:rsidR="008B6F40" w:rsidRPr="00D43281">
        <w:rPr>
          <w:rFonts w:ascii="Times New Roman" w:hAnsi="Times New Roman" w:cs="Times New Roman"/>
          <w:color w:val="000000" w:themeColor="text1"/>
          <w:sz w:val="24"/>
          <w:szCs w:val="24"/>
          <w:lang w:val="ru-RU"/>
        </w:rPr>
        <w:t xml:space="preserve"> невозврата</w:t>
      </w:r>
      <w:r w:rsidRPr="00D43281">
        <w:rPr>
          <w:rFonts w:ascii="Times New Roman" w:hAnsi="Times New Roman" w:cs="Times New Roman"/>
          <w:color w:val="000000" w:themeColor="text1"/>
          <w:sz w:val="24"/>
          <w:szCs w:val="24"/>
          <w:lang w:val="ru-RU"/>
        </w:rPr>
        <w:t xml:space="preserve">, связанный с ожидаемым диапазоном ошибок оценки, не охваченных </w:t>
      </w:r>
      <w:r w:rsidR="0072533D" w:rsidRPr="00D43281">
        <w:rPr>
          <w:rFonts w:ascii="Times New Roman" w:hAnsi="Times New Roman" w:cs="Times New Roman"/>
          <w:color w:val="000000" w:themeColor="text1"/>
          <w:sz w:val="24"/>
          <w:szCs w:val="24"/>
          <w:lang w:val="ru-RU"/>
        </w:rPr>
        <w:t xml:space="preserve">уже </w:t>
      </w:r>
      <w:r w:rsidRPr="00D43281">
        <w:rPr>
          <w:rFonts w:ascii="Times New Roman" w:hAnsi="Times New Roman" w:cs="Times New Roman"/>
          <w:color w:val="000000" w:themeColor="text1"/>
          <w:sz w:val="24"/>
          <w:szCs w:val="24"/>
          <w:lang w:val="ru-RU"/>
        </w:rPr>
        <w:t>соответствующей корректировкой</w:t>
      </w:r>
      <w:r w:rsidR="0015523D" w:rsidRPr="00D43281">
        <w:rPr>
          <w:rFonts w:ascii="Times New Roman" w:hAnsi="Times New Roman" w:cs="Times New Roman"/>
          <w:color w:val="000000" w:themeColor="text1"/>
          <w:sz w:val="24"/>
          <w:szCs w:val="24"/>
          <w:lang w:val="ru-RU"/>
        </w:rPr>
        <w:t>;</w:t>
      </w:r>
    </w:p>
    <w:p w14:paraId="3665C689" w14:textId="7A319151" w:rsidR="0015523D" w:rsidRPr="00D43281" w:rsidRDefault="00FF3387" w:rsidP="00452586">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В той мере, в которой банк сопоставляет или связывает внутренние рейтинговые оценки с оценками, используемыми внешней кредитной оценочной организацией (ECAI) или аналогичными организациями, а затем приписывает наблюдаемый уровень невозврата в оценках внешних организаций своим рейтинговым оценкам, сопоставление должно основываться на сравнении внутренних рейтинговых критериев с критериями, используемыми внешними организациями, а также между внутренними и внешними рейтингами, присвоенными общим заемщикам. Банк должен избегать любых искажений или несоответствий в процессе сопоставления или в подтверждающих данных. Критерии внешней организации, лежащие в основе данных, используемых для количественной оценки, должны учитывать только риск невозврата и не отражать характеристики </w:t>
      </w:r>
      <w:r w:rsidR="00C02771" w:rsidRPr="00D43281">
        <w:rPr>
          <w:rFonts w:ascii="Times New Roman" w:hAnsi="Times New Roman" w:cs="Times New Roman"/>
          <w:color w:val="000000" w:themeColor="text1"/>
          <w:sz w:val="24"/>
          <w:szCs w:val="24"/>
          <w:lang w:val="ru-RU"/>
        </w:rPr>
        <w:t>сделк</w:t>
      </w:r>
      <w:r w:rsidRPr="00D43281">
        <w:rPr>
          <w:rFonts w:ascii="Times New Roman" w:hAnsi="Times New Roman" w:cs="Times New Roman"/>
          <w:color w:val="000000" w:themeColor="text1"/>
          <w:sz w:val="24"/>
          <w:szCs w:val="24"/>
          <w:lang w:val="ru-RU"/>
        </w:rPr>
        <w:t xml:space="preserve">и. Анализ банка должен включать сравнение определений, используемых для статуса </w:t>
      </w:r>
      <w:r w:rsidR="001628D8"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xml:space="preserve">, в соответствии с требованиями, изложенными в пунктах </w:t>
      </w:r>
      <w:r w:rsidR="001628D8" w:rsidRPr="00D43281">
        <w:rPr>
          <w:rFonts w:ascii="Times New Roman" w:hAnsi="Times New Roman" w:cs="Times New Roman"/>
          <w:color w:val="000000" w:themeColor="text1"/>
          <w:sz w:val="24"/>
          <w:szCs w:val="24"/>
          <w:lang w:val="ru-RU"/>
        </w:rPr>
        <w:t>23–28 Регламента</w:t>
      </w:r>
      <w:r w:rsidRPr="00D43281">
        <w:rPr>
          <w:rFonts w:ascii="Times New Roman" w:hAnsi="Times New Roman" w:cs="Times New Roman"/>
          <w:color w:val="000000" w:themeColor="text1"/>
          <w:sz w:val="24"/>
          <w:szCs w:val="24"/>
          <w:lang w:val="ru-RU"/>
        </w:rPr>
        <w:t xml:space="preserve"> № 111/2018. Банк должен формализовать основу, используемую для сопоставления</w:t>
      </w:r>
      <w:r w:rsidR="0015523D" w:rsidRPr="00D43281">
        <w:rPr>
          <w:rFonts w:ascii="Times New Roman" w:hAnsi="Times New Roman" w:cs="Times New Roman"/>
          <w:color w:val="000000" w:themeColor="text1"/>
          <w:sz w:val="24"/>
          <w:szCs w:val="24"/>
          <w:lang w:val="ru-RU"/>
        </w:rPr>
        <w:t>;</w:t>
      </w:r>
    </w:p>
    <w:p w14:paraId="76894214" w14:textId="07E27733" w:rsidR="00E90A53" w:rsidRPr="00D43281" w:rsidRDefault="00D81B5B" w:rsidP="00C251EC">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 той мере, в которой банк использует статистические модели для прогнозирования состояний невозврата, он может оценивать вероятности невозврата как простое среднее значение оценок вероятностей невозврата для отдельных заемщиков в данном классе. Использование банком моделей прогнозирования вероятности невозврата для этой цели должно соответствовать требованиям, изложенным в пунктах 178–179</w:t>
      </w:r>
      <w:r w:rsidR="0015523D" w:rsidRPr="00D43281">
        <w:rPr>
          <w:rFonts w:ascii="Times New Roman" w:hAnsi="Times New Roman" w:cs="Times New Roman"/>
          <w:color w:val="000000" w:themeColor="text1"/>
          <w:sz w:val="24"/>
          <w:szCs w:val="24"/>
          <w:lang w:val="ru-RU"/>
        </w:rPr>
        <w:t>;</w:t>
      </w:r>
    </w:p>
    <w:p w14:paraId="444B7B56" w14:textId="5FDEA4D9" w:rsidR="00E90A53" w:rsidRPr="00D43281" w:rsidRDefault="00F55C5E" w:rsidP="00700CF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44" w:name="_Ref215295374"/>
      <w:r w:rsidRPr="00D43281">
        <w:rPr>
          <w:rFonts w:ascii="Times New Roman" w:hAnsi="Times New Roman" w:cs="Times New Roman"/>
          <w:color w:val="000000" w:themeColor="text1"/>
          <w:sz w:val="24"/>
          <w:szCs w:val="24"/>
          <w:lang w:val="ru-RU"/>
        </w:rPr>
        <w:lastRenderedPageBreak/>
        <w:t>Независимо от того, использует ли банк внешние, внутренние или централизованные источники данных или их комбинацию для оценки вероятности невозврата, период исторического наблюдения за базовыми данными должен составлять не менее пяти лет хотя бы для одного источника</w:t>
      </w:r>
      <w:r w:rsidR="0015523D" w:rsidRPr="00D43281">
        <w:rPr>
          <w:rFonts w:ascii="Times New Roman" w:hAnsi="Times New Roman" w:cs="Times New Roman"/>
          <w:color w:val="000000" w:themeColor="text1"/>
          <w:sz w:val="24"/>
          <w:szCs w:val="24"/>
          <w:lang w:val="ru-RU"/>
        </w:rPr>
        <w:t>;</w:t>
      </w:r>
      <w:bookmarkEnd w:id="144"/>
    </w:p>
    <w:p w14:paraId="2D67E134" w14:textId="6454B603" w:rsidR="0015523D" w:rsidRPr="00D43281" w:rsidRDefault="00AD13B4" w:rsidP="0002006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Независимо от метода оценки вероятности невозврата (PD), банки оценивают PD для каждого рейтингового уровня на основе наблюдаемого исторического среднего значения уровня невозврата за один год, которое представляет собой арифметическое среднее, основанное на количестве заемщиков (взвешенное по числу); другие подходы, включая средневзвешенные по объему </w:t>
      </w:r>
      <w:r w:rsidR="00A37FF9" w:rsidRPr="00D43281">
        <w:rPr>
          <w:rFonts w:ascii="Times New Roman" w:hAnsi="Times New Roman" w:cs="Times New Roman"/>
          <w:color w:val="000000" w:themeColor="text1"/>
          <w:sz w:val="24"/>
          <w:szCs w:val="24"/>
          <w:lang w:val="ru-RU"/>
        </w:rPr>
        <w:t>подверженностей</w:t>
      </w:r>
      <w:r w:rsidRPr="00D43281">
        <w:rPr>
          <w:rFonts w:ascii="Times New Roman" w:hAnsi="Times New Roman" w:cs="Times New Roman"/>
          <w:color w:val="000000" w:themeColor="text1"/>
          <w:sz w:val="24"/>
          <w:szCs w:val="24"/>
          <w:lang w:val="ru-RU"/>
        </w:rPr>
        <w:t>, не допускаются</w:t>
      </w:r>
      <w:r w:rsidR="0015523D" w:rsidRPr="00D43281">
        <w:rPr>
          <w:rFonts w:ascii="Times New Roman" w:hAnsi="Times New Roman" w:cs="Times New Roman"/>
          <w:color w:val="000000" w:themeColor="text1"/>
          <w:sz w:val="24"/>
          <w:szCs w:val="24"/>
          <w:lang w:val="ru-RU"/>
        </w:rPr>
        <w:t>.</w:t>
      </w:r>
    </w:p>
    <w:p w14:paraId="2F1C410D" w14:textId="179F53A0" w:rsidR="00C168D6" w:rsidRPr="00D43281" w:rsidRDefault="00C168D6"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Для целей подпункта 198.8, если доступный период наблюдения для любого из источников дольше и, если данные являются релевантными, используется более длительный период. Данные должны включать репрезентативное сочетание </w:t>
      </w:r>
      <w:r w:rsidR="005D04CB" w:rsidRPr="00D43281">
        <w:rPr>
          <w:rFonts w:ascii="Times New Roman" w:hAnsi="Times New Roman" w:cs="Times New Roman"/>
          <w:color w:val="000000" w:themeColor="text1"/>
          <w:sz w:val="24"/>
          <w:szCs w:val="24"/>
          <w:lang w:val="ru-RU"/>
        </w:rPr>
        <w:t xml:space="preserve">благоприятных и неблагоприятных </w:t>
      </w:r>
      <w:r w:rsidRPr="00D43281">
        <w:rPr>
          <w:rFonts w:ascii="Times New Roman" w:hAnsi="Times New Roman" w:cs="Times New Roman"/>
          <w:color w:val="000000" w:themeColor="text1"/>
          <w:sz w:val="24"/>
          <w:szCs w:val="24"/>
          <w:lang w:val="ru-RU"/>
        </w:rPr>
        <w:t xml:space="preserve">экономического цикла, относящегося к типу рисков. </w:t>
      </w:r>
      <w:r w:rsidR="0044501C" w:rsidRPr="00D43281">
        <w:rPr>
          <w:rFonts w:ascii="Times New Roman" w:hAnsi="Times New Roman" w:cs="Times New Roman"/>
          <w:color w:val="000000" w:themeColor="text1"/>
          <w:sz w:val="24"/>
          <w:szCs w:val="24"/>
          <w:lang w:val="ru-RU"/>
        </w:rPr>
        <w:t xml:space="preserve">При условии разрешения Национального банка Молдовы, банки, не получившие в соответствии с пунктами 4–7 </w:t>
      </w:r>
      <w:r w:rsidR="00E25448" w:rsidRPr="00D43281">
        <w:rPr>
          <w:rFonts w:ascii="Times New Roman" w:hAnsi="Times New Roman" w:cs="Times New Roman"/>
          <w:color w:val="000000" w:themeColor="text1"/>
          <w:sz w:val="24"/>
          <w:szCs w:val="24"/>
          <w:lang w:val="ru-RU"/>
        </w:rPr>
        <w:t>разреше</w:t>
      </w:r>
      <w:r w:rsidR="0044501C" w:rsidRPr="00D43281">
        <w:rPr>
          <w:rFonts w:ascii="Times New Roman" w:hAnsi="Times New Roman" w:cs="Times New Roman"/>
          <w:color w:val="000000" w:themeColor="text1"/>
          <w:sz w:val="24"/>
          <w:szCs w:val="24"/>
          <w:lang w:val="ru-RU"/>
        </w:rPr>
        <w:t>ния Национального банка Молдовы на использование собственных оценок LGD или на использование CCF на основе подхода IRB, могут использовать при применении подхода IRB соответствующие данные за двухлетний период. Период охвата увеличивается на один год каждый год до тех пор, пока соответствующие данные не будут охватывать не менее пяти лет.</w:t>
      </w:r>
    </w:p>
    <w:p w14:paraId="0EF1C4C3" w14:textId="0148E526" w:rsidR="0015523D" w:rsidRPr="00D43281" w:rsidRDefault="00BD75BF"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 случае подверженностей ритейл применяются следующие требования</w:t>
      </w:r>
      <w:r w:rsidR="0015523D" w:rsidRPr="00D43281">
        <w:rPr>
          <w:rFonts w:ascii="Times New Roman" w:hAnsi="Times New Roman" w:cs="Times New Roman"/>
          <w:color w:val="000000" w:themeColor="text1"/>
          <w:sz w:val="24"/>
          <w:szCs w:val="24"/>
          <w:lang w:val="ru-RU"/>
        </w:rPr>
        <w:t>:</w:t>
      </w:r>
    </w:p>
    <w:p w14:paraId="4E98D083" w14:textId="3FEBCCA3" w:rsidR="00E90A53" w:rsidRPr="00D43281" w:rsidRDefault="002747C2" w:rsidP="00821155">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45" w:name="_Ref215296097"/>
      <w:r w:rsidRPr="00D43281">
        <w:rPr>
          <w:rFonts w:ascii="Times New Roman" w:hAnsi="Times New Roman" w:cs="Times New Roman"/>
          <w:color w:val="000000" w:themeColor="text1"/>
          <w:sz w:val="24"/>
          <w:szCs w:val="24"/>
          <w:lang w:val="ru-RU"/>
        </w:rPr>
        <w:t xml:space="preserve">Банки должны оценивать вероятности невозврата (PD) по рейтинговому классу или пулу рисков заемщиков или сделок на основе долгосрочных средних значений годовых показателей невозврата, при этом показатели невозврата должны рассчитываться на уровне сделки только в тех случаях, когда определение невозврата применяется на уровне отдельных кредитных линий в соответствии с пунктом 24 Регламента № 111/2018. Вероятности </w:t>
      </w:r>
      <w:r w:rsidR="00EA34CC" w:rsidRPr="00D43281">
        <w:rPr>
          <w:rFonts w:ascii="Times New Roman" w:hAnsi="Times New Roman" w:cs="Times New Roman"/>
          <w:color w:val="000000" w:themeColor="text1"/>
          <w:sz w:val="24"/>
          <w:szCs w:val="24"/>
          <w:lang w:val="ru-RU"/>
        </w:rPr>
        <w:t>невозврата</w:t>
      </w:r>
      <w:r w:rsidRPr="00D43281">
        <w:rPr>
          <w:rFonts w:ascii="Times New Roman" w:hAnsi="Times New Roman" w:cs="Times New Roman"/>
          <w:color w:val="000000" w:themeColor="text1"/>
          <w:sz w:val="24"/>
          <w:szCs w:val="24"/>
          <w:lang w:val="ru-RU"/>
        </w:rPr>
        <w:t xml:space="preserve"> должны основываться на наблюдаемом историческом среднем значении годового показателя </w:t>
      </w:r>
      <w:r w:rsidR="00EA34CC" w:rsidRPr="00D43281">
        <w:rPr>
          <w:rFonts w:ascii="Times New Roman" w:hAnsi="Times New Roman" w:cs="Times New Roman"/>
          <w:color w:val="000000" w:themeColor="text1"/>
          <w:sz w:val="24"/>
          <w:szCs w:val="24"/>
          <w:lang w:val="ru-RU"/>
        </w:rPr>
        <w:t>невозврата</w:t>
      </w:r>
      <w:r w:rsidR="0015523D" w:rsidRPr="00D43281">
        <w:rPr>
          <w:rFonts w:ascii="Times New Roman" w:hAnsi="Times New Roman" w:cs="Times New Roman"/>
          <w:color w:val="000000" w:themeColor="text1"/>
          <w:sz w:val="24"/>
          <w:szCs w:val="24"/>
          <w:lang w:val="ru-RU"/>
        </w:rPr>
        <w:t>;</w:t>
      </w:r>
      <w:bookmarkEnd w:id="145"/>
    </w:p>
    <w:p w14:paraId="0100B130" w14:textId="75B7F493" w:rsidR="00E90A53" w:rsidRPr="00D43281" w:rsidRDefault="00E623AC"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Оценки вероятности невозврата также можно получить из оценок общих убытков и соответствующих оценок убытков в случае невозврата</w:t>
      </w:r>
      <w:r w:rsidR="0015523D" w:rsidRPr="00D43281">
        <w:rPr>
          <w:rFonts w:ascii="Times New Roman" w:hAnsi="Times New Roman" w:cs="Times New Roman"/>
          <w:color w:val="000000" w:themeColor="text1"/>
          <w:sz w:val="24"/>
          <w:szCs w:val="24"/>
          <w:lang w:val="ru-RU"/>
        </w:rPr>
        <w:t>;</w:t>
      </w:r>
    </w:p>
    <w:p w14:paraId="13AE6A6A" w14:textId="490BE264" w:rsidR="0015523D" w:rsidRPr="00D43281" w:rsidRDefault="00CA79E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Банки должны рассматривать внутренние данные, используемые для присвоения кредитным рискам рейтинговых категорий или формирования пулов рисков, как основной источник информации для оценки характеристик убытков. Банки могут использовать внешние данные (включая объединенные данные) или статистические модели для количественной оценки при условии наличия обеих следующих надежных связей</w:t>
      </w:r>
      <w:r w:rsidR="0015523D" w:rsidRPr="00D43281">
        <w:rPr>
          <w:rFonts w:ascii="Times New Roman" w:hAnsi="Times New Roman" w:cs="Times New Roman"/>
          <w:color w:val="000000" w:themeColor="text1"/>
          <w:sz w:val="24"/>
          <w:szCs w:val="24"/>
          <w:lang w:val="ru-RU"/>
        </w:rPr>
        <w:t>:</w:t>
      </w:r>
    </w:p>
    <w:p w14:paraId="4731F705" w14:textId="799AC6F7" w:rsidR="0015523D" w:rsidRPr="00D43281" w:rsidRDefault="007E18EC" w:rsidP="00E90A53">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Между процессом, используемым банком для присвоения подверженностям рейтинговых категорий или пулов рисков, и процессом, используемым внешним источником данных; и </w:t>
      </w:r>
    </w:p>
    <w:p w14:paraId="51004E6E" w14:textId="3A514143" w:rsidR="0015523D" w:rsidRPr="00D43281" w:rsidRDefault="007E18EC" w:rsidP="00E90A53">
      <w:pPr>
        <w:pStyle w:val="ListParagraph"/>
        <w:numPr>
          <w:ilvl w:val="2"/>
          <w:numId w:val="2"/>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Между внутренним профилем риска банка и составом внешних данных</w:t>
      </w:r>
      <w:r w:rsidR="0015523D" w:rsidRPr="00D43281">
        <w:rPr>
          <w:rFonts w:ascii="Times New Roman" w:hAnsi="Times New Roman" w:cs="Times New Roman"/>
          <w:color w:val="000000" w:themeColor="text1"/>
          <w:sz w:val="24"/>
          <w:szCs w:val="24"/>
          <w:lang w:val="ru-RU"/>
        </w:rPr>
        <w:t>;</w:t>
      </w:r>
    </w:p>
    <w:p w14:paraId="41B9B861" w14:textId="79BCBBBF" w:rsidR="0015523D" w:rsidRPr="00D43281" w:rsidRDefault="00E43BDB" w:rsidP="00452D88">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RU"/>
        </w:rPr>
        <w:t xml:space="preserve">Если банк получает свои долгосрочные средние оценки вероятности невозврата и потери </w:t>
      </w:r>
      <w:r w:rsidR="0081153C" w:rsidRPr="00D43281">
        <w:rPr>
          <w:rFonts w:ascii="Times New Roman" w:hAnsi="Times New Roman" w:cs="Times New Roman"/>
          <w:color w:val="000000" w:themeColor="text1"/>
          <w:sz w:val="24"/>
          <w:szCs w:val="24"/>
          <w:lang w:val="ru-RU"/>
        </w:rPr>
        <w:t>в случае невозврата</w:t>
      </w:r>
      <w:r w:rsidRPr="00D43281">
        <w:rPr>
          <w:rFonts w:ascii="Times New Roman" w:hAnsi="Times New Roman" w:cs="Times New Roman"/>
          <w:color w:val="000000" w:themeColor="text1"/>
          <w:sz w:val="24"/>
          <w:szCs w:val="24"/>
          <w:lang w:val="ru-RU"/>
        </w:rPr>
        <w:t xml:space="preserve"> для </w:t>
      </w:r>
      <w:r w:rsidR="0081153C" w:rsidRPr="00D43281">
        <w:rPr>
          <w:rFonts w:ascii="Times New Roman" w:hAnsi="Times New Roman" w:cs="Times New Roman"/>
          <w:color w:val="000000" w:themeColor="text1"/>
          <w:sz w:val="24"/>
          <w:szCs w:val="24"/>
          <w:lang w:val="ru-RU"/>
        </w:rPr>
        <w:t>подверженностей ритейл</w:t>
      </w:r>
      <w:r w:rsidRPr="00D43281">
        <w:rPr>
          <w:rFonts w:ascii="Times New Roman" w:hAnsi="Times New Roman" w:cs="Times New Roman"/>
          <w:color w:val="000000" w:themeColor="text1"/>
          <w:sz w:val="24"/>
          <w:szCs w:val="24"/>
          <w:lang w:val="ru-RU"/>
        </w:rPr>
        <w:t xml:space="preserve"> на основе оценки общих убытков и соответствующей оценки PD или LGD, то процесс оценки общих убытков должен соответствовать общим требованиям к оценке PD и LGD, изложенным в настоящей части, и результат должен соответствовать концепции LGD, изложенной в подпункте 20</w:t>
      </w:r>
      <w:r w:rsidR="00D16C5F" w:rsidRPr="00BB1E28">
        <w:rPr>
          <w:rFonts w:ascii="Times New Roman" w:hAnsi="Times New Roman" w:cs="Times New Roman"/>
          <w:color w:val="000000" w:themeColor="text1"/>
          <w:sz w:val="24"/>
          <w:szCs w:val="24"/>
          <w:lang w:val="ru-RU"/>
        </w:rPr>
        <w:t>2</w:t>
      </w:r>
      <w:r w:rsidRPr="00D43281">
        <w:rPr>
          <w:rFonts w:ascii="Times New Roman" w:hAnsi="Times New Roman" w:cs="Times New Roman"/>
          <w:color w:val="000000" w:themeColor="text1"/>
          <w:sz w:val="24"/>
          <w:szCs w:val="24"/>
          <w:lang w:val="ru-RU"/>
        </w:rPr>
        <w:t>.1</w:t>
      </w:r>
      <w:r w:rsidR="0015523D" w:rsidRPr="00D43281">
        <w:rPr>
          <w:rFonts w:ascii="Times New Roman" w:hAnsi="Times New Roman" w:cs="Times New Roman"/>
          <w:color w:val="000000" w:themeColor="text1"/>
          <w:sz w:val="24"/>
          <w:szCs w:val="24"/>
          <w:lang w:val="ro-RO"/>
        </w:rPr>
        <w:t>;</w:t>
      </w:r>
    </w:p>
    <w:p w14:paraId="36053E9C" w14:textId="68AE5791" w:rsidR="0015523D" w:rsidRPr="00D43281" w:rsidRDefault="00D16426" w:rsidP="00B61692">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46" w:name="_Ref215296131"/>
      <w:r w:rsidRPr="00D43281">
        <w:rPr>
          <w:rFonts w:ascii="Times New Roman" w:hAnsi="Times New Roman" w:cs="Times New Roman"/>
          <w:color w:val="000000" w:themeColor="text1"/>
          <w:sz w:val="24"/>
          <w:szCs w:val="24"/>
          <w:lang w:val="ru-RU"/>
        </w:rPr>
        <w:t xml:space="preserve">Независимо от того, использует ли банк внешние, внутренние или централизованные источники данных или их комбинацию для оценки вероятности невозврата, период исторического наблюдения для базовых данных должен составлять не менее пяти лет хотя бы для одного источника. Если доступный период наблюдения для какого-либо из источников дольше </w:t>
      </w:r>
      <w:r w:rsidR="005D04CB" w:rsidRPr="00D43281">
        <w:rPr>
          <w:rFonts w:ascii="Times New Roman" w:hAnsi="Times New Roman" w:cs="Times New Roman"/>
          <w:color w:val="000000" w:themeColor="text1"/>
          <w:sz w:val="24"/>
          <w:szCs w:val="24"/>
          <w:lang w:val="ru-RU"/>
        </w:rPr>
        <w:t>и,</w:t>
      </w:r>
      <w:r w:rsidRPr="00D43281">
        <w:rPr>
          <w:rFonts w:ascii="Times New Roman" w:hAnsi="Times New Roman" w:cs="Times New Roman"/>
          <w:color w:val="000000" w:themeColor="text1"/>
          <w:sz w:val="24"/>
          <w:szCs w:val="24"/>
          <w:lang w:val="ru-RU"/>
        </w:rPr>
        <w:t xml:space="preserve"> если данные являются релевантными, следует использовать этот более длительный период. Данные должны включать репрезентативное сочетание благоприятных и неблагоприятных лет экономического цикла, относящихся к типу рисков. </w:t>
      </w:r>
      <w:r w:rsidR="005D04CB" w:rsidRPr="00D43281">
        <w:rPr>
          <w:rFonts w:ascii="Times New Roman" w:hAnsi="Times New Roman" w:cs="Times New Roman"/>
          <w:color w:val="000000" w:themeColor="text1"/>
          <w:sz w:val="24"/>
          <w:szCs w:val="24"/>
          <w:lang w:val="ru-RU"/>
        </w:rPr>
        <w:t xml:space="preserve">При условии разрешения </w:t>
      </w:r>
      <w:r w:rsidRPr="00D43281">
        <w:rPr>
          <w:rFonts w:ascii="Times New Roman" w:hAnsi="Times New Roman" w:cs="Times New Roman"/>
          <w:color w:val="000000" w:themeColor="text1"/>
          <w:sz w:val="24"/>
          <w:szCs w:val="24"/>
          <w:lang w:val="ru-RU"/>
        </w:rPr>
        <w:t xml:space="preserve">Национального банка Молдовы, при применении подхода IRB банки могут использовать релевантные данные за двухлетний период. Период, </w:t>
      </w:r>
      <w:r w:rsidRPr="00D43281">
        <w:rPr>
          <w:rFonts w:ascii="Times New Roman" w:hAnsi="Times New Roman" w:cs="Times New Roman"/>
          <w:color w:val="000000" w:themeColor="text1"/>
          <w:sz w:val="24"/>
          <w:szCs w:val="24"/>
          <w:lang w:val="ru-RU"/>
        </w:rPr>
        <w:lastRenderedPageBreak/>
        <w:t>подлежащий охвату, должен увеличиваться на один год каждый год до тех пор, пока релевантные данные не будут охватывать не менее пяти лет</w:t>
      </w:r>
      <w:r w:rsidR="0015523D" w:rsidRPr="00D43281">
        <w:rPr>
          <w:rFonts w:ascii="Times New Roman" w:hAnsi="Times New Roman" w:cs="Times New Roman"/>
          <w:color w:val="000000" w:themeColor="text1"/>
          <w:sz w:val="24"/>
          <w:szCs w:val="24"/>
          <w:lang w:val="ro-RO"/>
        </w:rPr>
        <w:t>;</w:t>
      </w:r>
      <w:bookmarkEnd w:id="146"/>
    </w:p>
    <w:p w14:paraId="5DCCAB2E" w14:textId="57009426" w:rsidR="0015523D" w:rsidRPr="00D43281" w:rsidRDefault="00883ED5"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Банки должны выявлять и анализировать ожидаемые изменения параметров риска в течение всего срока действия кредитных подверженностей (эффект сезонности</w:t>
      </w:r>
      <w:r w:rsidR="0015523D" w:rsidRPr="00D43281">
        <w:rPr>
          <w:rFonts w:ascii="Times New Roman" w:hAnsi="Times New Roman" w:cs="Times New Roman"/>
          <w:color w:val="000000" w:themeColor="text1"/>
          <w:sz w:val="24"/>
          <w:szCs w:val="24"/>
          <w:lang w:val="ru-MD"/>
        </w:rPr>
        <w:t>).</w:t>
      </w:r>
    </w:p>
    <w:p w14:paraId="7FED454D" w14:textId="7056419B" w:rsidR="0015523D" w:rsidRPr="00D43281" w:rsidRDefault="00883ED5" w:rsidP="000377B1">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 случае приобретения розничных дебиторских задолженностей банки могут использовать внешние и внутренние справочные данные. Банки должны использовать все соответствующие источники данных в качестве основы для сравнения</w:t>
      </w:r>
      <w:r w:rsidR="0015523D" w:rsidRPr="00D43281">
        <w:rPr>
          <w:rFonts w:ascii="Times New Roman" w:hAnsi="Times New Roman" w:cs="Times New Roman"/>
          <w:color w:val="000000" w:themeColor="text1"/>
          <w:sz w:val="24"/>
          <w:szCs w:val="24"/>
          <w:lang w:val="ru-RU"/>
        </w:rPr>
        <w:t>.</w:t>
      </w:r>
    </w:p>
    <w:p w14:paraId="21D92507" w14:textId="013DE00E" w:rsidR="00FA6E3C" w:rsidRPr="00D43281" w:rsidRDefault="00FA6E3C" w:rsidP="00CE2E9D">
      <w:pPr>
        <w:pStyle w:val="ListParagraph"/>
        <w:shd w:val="clear" w:color="auto" w:fill="FFFFFF"/>
        <w:tabs>
          <w:tab w:val="left" w:pos="0"/>
          <w:tab w:val="left" w:pos="567"/>
        </w:tabs>
        <w:spacing w:before="60" w:after="0" w:line="240" w:lineRule="auto"/>
        <w:ind w:left="567"/>
        <w:jc w:val="both"/>
        <w:rPr>
          <w:rFonts w:ascii="Times New Roman" w:hAnsi="Times New Roman" w:cs="Times New Roman"/>
          <w:color w:val="000000" w:themeColor="text1"/>
          <w:sz w:val="24"/>
          <w:szCs w:val="24"/>
          <w:lang w:val="ro-RO"/>
        </w:rPr>
      </w:pPr>
    </w:p>
    <w:p w14:paraId="402055EC" w14:textId="24530FB5" w:rsidR="0015523D" w:rsidRPr="00D43281" w:rsidRDefault="009B59B7" w:rsidP="0015523D">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Подчасть</w:t>
      </w:r>
      <w:r w:rsidR="0015523D" w:rsidRPr="00D43281">
        <w:rPr>
          <w:rFonts w:ascii="Times New Roman" w:hAnsi="Times New Roman" w:cs="Times New Roman"/>
          <w:b/>
          <w:bCs/>
          <w:i/>
          <w:iCs/>
          <w:color w:val="000000" w:themeColor="text1"/>
          <w:sz w:val="24"/>
          <w:szCs w:val="24"/>
          <w:lang w:val="ro-RO"/>
        </w:rPr>
        <w:t xml:space="preserve"> 3</w:t>
      </w:r>
    </w:p>
    <w:p w14:paraId="22A68394" w14:textId="63C5D519" w:rsidR="0015523D" w:rsidRPr="00D43281" w:rsidRDefault="00831CE7" w:rsidP="007D4F8A">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color w:val="000000" w:themeColor="text1"/>
          <w:sz w:val="24"/>
          <w:szCs w:val="24"/>
          <w:lang w:val="ro-RO"/>
        </w:rPr>
      </w:pPr>
      <w:r w:rsidRPr="00D43281">
        <w:rPr>
          <w:rFonts w:ascii="Times New Roman" w:hAnsi="Times New Roman" w:cs="Times New Roman"/>
          <w:b/>
          <w:bCs/>
          <w:i/>
          <w:iCs/>
          <w:color w:val="000000" w:themeColor="text1"/>
          <w:sz w:val="24"/>
          <w:szCs w:val="24"/>
          <w:lang w:val="ru-RU"/>
        </w:rPr>
        <w:t>Конкретные требования, касающиеся собственных оценок убытков в случае нев</w:t>
      </w:r>
      <w:r w:rsidR="007D4F8A" w:rsidRPr="00D43281">
        <w:rPr>
          <w:rFonts w:ascii="Times New Roman" w:hAnsi="Times New Roman" w:cs="Times New Roman"/>
          <w:b/>
          <w:bCs/>
          <w:i/>
          <w:iCs/>
          <w:color w:val="000000" w:themeColor="text1"/>
          <w:sz w:val="24"/>
          <w:szCs w:val="24"/>
          <w:lang w:val="ru-RU"/>
        </w:rPr>
        <w:t>озврата</w:t>
      </w:r>
    </w:p>
    <w:p w14:paraId="213F7CC5" w14:textId="24997F42" w:rsidR="00D55B17" w:rsidRPr="00D43281" w:rsidRDefault="0018070E" w:rsidP="00365479">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При количественной оценке параметров риска, которые должны быть связаны с рейтинговыми классами или пулами рисков, банки должны применять следующие конкретные требования в отношении своих собственных оценок убытков в случае невозврата</w:t>
      </w:r>
      <w:r w:rsidR="00D55B17" w:rsidRPr="00D43281">
        <w:rPr>
          <w:rFonts w:ascii="Times New Roman" w:hAnsi="Times New Roman" w:cs="Times New Roman"/>
          <w:color w:val="000000" w:themeColor="text1"/>
          <w:sz w:val="24"/>
          <w:szCs w:val="24"/>
          <w:lang w:val="ru-RU"/>
        </w:rPr>
        <w:t>:</w:t>
      </w:r>
    </w:p>
    <w:p w14:paraId="3C703AF6" w14:textId="41F9F018" w:rsidR="00D55B17" w:rsidRPr="00D43281" w:rsidRDefault="00A14691" w:rsidP="00813798">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bookmarkStart w:id="147" w:name="_Ref215296493"/>
      <w:r w:rsidRPr="00D43281">
        <w:rPr>
          <w:rFonts w:ascii="Times New Roman" w:hAnsi="Times New Roman" w:cs="Times New Roman"/>
          <w:color w:val="000000" w:themeColor="text1"/>
          <w:sz w:val="24"/>
          <w:szCs w:val="24"/>
          <w:lang w:val="ru-MD"/>
        </w:rPr>
        <w:t>Банки должны оценивать убытки в случае невозврата для каждого рейтингового уровня или пула сделок на основе средних эффективных убытков в случае невозврата для каждого рейтингового уровня или пула сделок, принимая во внимание все зафиксированные состояния невозврата в источниках данных (взвешенное среднее по количеству состояний невозврата</w:t>
      </w:r>
      <w:r w:rsidR="00D55B17" w:rsidRPr="00D43281">
        <w:rPr>
          <w:rFonts w:ascii="Times New Roman" w:hAnsi="Times New Roman" w:cs="Times New Roman"/>
          <w:color w:val="000000" w:themeColor="text1"/>
          <w:sz w:val="24"/>
          <w:szCs w:val="24"/>
          <w:lang w:val="ru-MD"/>
        </w:rPr>
        <w:t>);</w:t>
      </w:r>
      <w:bookmarkEnd w:id="147"/>
    </w:p>
    <w:p w14:paraId="670F46CA" w14:textId="7D094EB1" w:rsidR="00D55B17" w:rsidRPr="00D43281" w:rsidRDefault="00897741" w:rsidP="00934848">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RU"/>
        </w:rPr>
        <w:t>Банки должны использовать оценки убытков в случае невозврата, соответствующие экономическому спаду, если они более консервативны, чем долгосрочное среднее значение. В той мере, в которой ожидается, что рейтинговая система будет обеспечивать эффективные значения убытков в случае невозврата на постоянном уровне для каждого рейтингового класса или пула рисков с течением времени, банки должны корректировать свои оценки параметров риска для каждого рейтингового класса или пула рисков, чтобы ограничить влияние экономического спада на капитал</w:t>
      </w:r>
      <w:r w:rsidR="00D55B17" w:rsidRPr="00D43281">
        <w:rPr>
          <w:rFonts w:ascii="Times New Roman" w:hAnsi="Times New Roman" w:cs="Times New Roman"/>
          <w:color w:val="000000" w:themeColor="text1"/>
          <w:sz w:val="24"/>
          <w:szCs w:val="24"/>
          <w:lang w:val="ro-RO"/>
        </w:rPr>
        <w:t>.</w:t>
      </w:r>
    </w:p>
    <w:p w14:paraId="6173D38C" w14:textId="6E2869FB" w:rsidR="00365479" w:rsidRPr="00D43281" w:rsidRDefault="004C6CB6"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48" w:name="_Ref215296535"/>
      <w:r w:rsidRPr="00D43281">
        <w:rPr>
          <w:rFonts w:ascii="Times New Roman" w:hAnsi="Times New Roman" w:cs="Times New Roman"/>
          <w:color w:val="000000" w:themeColor="text1"/>
          <w:sz w:val="24"/>
          <w:szCs w:val="24"/>
          <w:lang w:val="ru-RU"/>
        </w:rPr>
        <w:t>Банк должен учитывать степень зависимости между, с одной стороны, риском, связанным с заемщиком, и, с другой стороны, риском, связанным с обеспеченной кредитной защитой, за исключением рамочных соглашений о взаимозачете и балансового взаимозачета кредитов и депозитов, или риском, связанным с поставщиком такой защиты</w:t>
      </w:r>
      <w:r w:rsidR="00D55B17" w:rsidRPr="00D43281">
        <w:rPr>
          <w:rFonts w:ascii="Times New Roman" w:hAnsi="Times New Roman" w:cs="Times New Roman"/>
          <w:color w:val="000000" w:themeColor="text1"/>
          <w:sz w:val="24"/>
          <w:szCs w:val="24"/>
          <w:lang w:val="ru-RU"/>
        </w:rPr>
        <w:t>;</w:t>
      </w:r>
      <w:bookmarkEnd w:id="148"/>
    </w:p>
    <w:p w14:paraId="6F4A0969" w14:textId="7E5A1D52" w:rsidR="00365479" w:rsidRPr="00D43281" w:rsidRDefault="004C6CB6"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Валютные несоответствия между базовым обязательством и обеспеченной кредитной защитой, за исключением рамочных соглашений о взаимозачете и балансового взаимозачета кредитов и депозитов, рассматриваются банком с осторожностью при оценке LGD</w:t>
      </w:r>
      <w:r w:rsidR="00D55B17" w:rsidRPr="00D43281">
        <w:rPr>
          <w:rFonts w:ascii="Times New Roman" w:hAnsi="Times New Roman" w:cs="Times New Roman"/>
          <w:color w:val="000000" w:themeColor="text1"/>
          <w:sz w:val="24"/>
          <w:szCs w:val="24"/>
          <w:lang w:val="ru-RU"/>
        </w:rPr>
        <w:t>;</w:t>
      </w:r>
    </w:p>
    <w:p w14:paraId="7DFDC59D" w14:textId="18121919" w:rsidR="00365479" w:rsidRPr="00D43281" w:rsidRDefault="003F490B"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49" w:name="_Ref215296576"/>
      <w:r w:rsidRPr="00D43281">
        <w:rPr>
          <w:rFonts w:ascii="Times New Roman" w:hAnsi="Times New Roman" w:cs="Times New Roman"/>
          <w:color w:val="000000" w:themeColor="text1"/>
          <w:sz w:val="24"/>
          <w:szCs w:val="24"/>
          <w:lang w:val="ru-RU"/>
        </w:rPr>
        <w:t>В той мере, в которой оценки LGD учитывают наличие обеспеченной кредитной защиты, за исключением рамочных соглашений о взаимозачете и балансового взаимозачета кредитов и депозитов, эти оценки не должны основываться исключительно на предполагаемой рыночной стоимости обеспеченной кредитной защиты</w:t>
      </w:r>
      <w:r w:rsidR="00D55B17" w:rsidRPr="00D43281">
        <w:rPr>
          <w:rFonts w:ascii="Times New Roman" w:hAnsi="Times New Roman" w:cs="Times New Roman"/>
          <w:color w:val="000000" w:themeColor="text1"/>
          <w:sz w:val="24"/>
          <w:szCs w:val="24"/>
          <w:lang w:val="ru-RU"/>
        </w:rPr>
        <w:t>;</w:t>
      </w:r>
      <w:bookmarkEnd w:id="149"/>
    </w:p>
    <w:p w14:paraId="3490ABC6" w14:textId="3E9C2879" w:rsidR="00365479" w:rsidRPr="00D43281" w:rsidRDefault="00947708"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В той мере, в которой оценки LGD учитывают наличие обеспеченной кредитной защиты, помимо </w:t>
      </w:r>
      <w:r w:rsidR="004B28C9" w:rsidRPr="00D43281">
        <w:rPr>
          <w:rFonts w:ascii="Times New Roman" w:hAnsi="Times New Roman" w:cs="Times New Roman"/>
          <w:color w:val="000000" w:themeColor="text1"/>
          <w:sz w:val="24"/>
          <w:szCs w:val="24"/>
          <w:lang w:val="ru-RU"/>
        </w:rPr>
        <w:t>рамоч</w:t>
      </w:r>
      <w:r w:rsidRPr="00D43281">
        <w:rPr>
          <w:rFonts w:ascii="Times New Roman" w:hAnsi="Times New Roman" w:cs="Times New Roman"/>
          <w:color w:val="000000" w:themeColor="text1"/>
          <w:sz w:val="24"/>
          <w:szCs w:val="24"/>
          <w:lang w:val="ru-RU"/>
        </w:rPr>
        <w:t>ных соглашений о взаимозачете и балансового взаимозачета кредитов и депозитов, банки должны установить внутренние требования в отношении администрирования, правовой определенности и управления рисками в отношении такой обеспеченной кредитной защиты, и эти требования в целом должны соответствовать требованиям, изложенным в главе VI Регламента № 112/2018</w:t>
      </w:r>
      <w:r w:rsidR="00D55B17" w:rsidRPr="00D43281">
        <w:rPr>
          <w:rFonts w:ascii="Times New Roman" w:hAnsi="Times New Roman" w:cs="Times New Roman"/>
          <w:color w:val="000000" w:themeColor="text1"/>
          <w:sz w:val="24"/>
          <w:szCs w:val="24"/>
          <w:lang w:val="ru-RU"/>
        </w:rPr>
        <w:t>;</w:t>
      </w:r>
    </w:p>
    <w:p w14:paraId="3C447D08" w14:textId="16E3437D" w:rsidR="00365479" w:rsidRPr="00D43281" w:rsidRDefault="005C22C1"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В той мере, в которой банк признает обеспеченную кредитную защиту, за исключением рамочных соглашений о взаимозачете и балансового взаимозачета кредитов и депозитов, при определении объема подверженности риску контрагента в соответствии с нормативными актами Национального банка Молдовы, касающимися учета риска контрагента, банк не должен учитывать в своих оценках LGD какую-либо сумму, которую он рассчитывает возместить за счет этой обеспеченной кредитной защиты</w:t>
      </w:r>
      <w:r w:rsidR="00D55B17" w:rsidRPr="00D43281">
        <w:rPr>
          <w:rFonts w:ascii="Times New Roman" w:hAnsi="Times New Roman" w:cs="Times New Roman"/>
          <w:color w:val="000000" w:themeColor="text1"/>
          <w:sz w:val="24"/>
          <w:szCs w:val="24"/>
          <w:lang w:val="ru-MD"/>
        </w:rPr>
        <w:t>;</w:t>
      </w:r>
    </w:p>
    <w:p w14:paraId="3B46618C" w14:textId="7D9EFC15" w:rsidR="00365479" w:rsidRPr="00D43281" w:rsidRDefault="001D0C31"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lastRenderedPageBreak/>
        <w:t>В конкретном случае уже находящихся в состоянии невозврата подверженностей банк должен использовать сумму своих наилучших оценок ожидаемых убытков по каждой подверженности, принимая во внимание текущие экономические условия и ситуацию с подверженностью, а также свои собственные оценки увеличения уровня убытков, вызванного возможными дополнительными непредвиденными убытками в период восстановления, а именно между датой невозврата и окончательной ликвидацией подверженности</w:t>
      </w:r>
      <w:r w:rsidR="00D55B17" w:rsidRPr="00D43281">
        <w:rPr>
          <w:rFonts w:ascii="Times New Roman" w:hAnsi="Times New Roman" w:cs="Times New Roman"/>
          <w:color w:val="000000" w:themeColor="text1"/>
          <w:sz w:val="24"/>
          <w:szCs w:val="24"/>
          <w:lang w:val="ru-RU"/>
        </w:rPr>
        <w:t>;</w:t>
      </w:r>
    </w:p>
    <w:p w14:paraId="333926B5" w14:textId="7E8B95DE" w:rsidR="00365479" w:rsidRPr="00D43281" w:rsidRDefault="002930A5"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bookmarkStart w:id="150" w:name="_Ref215505438"/>
      <w:r w:rsidRPr="00D43281">
        <w:rPr>
          <w:rFonts w:ascii="Times New Roman" w:hAnsi="Times New Roman" w:cs="Times New Roman"/>
          <w:color w:val="000000" w:themeColor="text1"/>
          <w:sz w:val="24"/>
          <w:szCs w:val="24"/>
          <w:lang w:val="ru-RU"/>
        </w:rPr>
        <w:t>В той мере, в какой штрафы за просрочку платежа, наложенные на должника до наступления состояния невозврата, были отражены в отчете о прибылях и убытках банка, они должны быть добавлены к риску и убыткам банка</w:t>
      </w:r>
      <w:r w:rsidR="00D55B17" w:rsidRPr="00D43281">
        <w:rPr>
          <w:rFonts w:ascii="Times New Roman" w:hAnsi="Times New Roman" w:cs="Times New Roman"/>
          <w:color w:val="000000" w:themeColor="text1"/>
          <w:sz w:val="24"/>
          <w:szCs w:val="24"/>
          <w:lang w:val="ro-RO"/>
        </w:rPr>
        <w:t>;</w:t>
      </w:r>
      <w:bookmarkEnd w:id="150"/>
    </w:p>
    <w:p w14:paraId="4F9A354E" w14:textId="40C8AD48" w:rsidR="00D55B17" w:rsidRPr="00D43281" w:rsidRDefault="00322E3B" w:rsidP="00365479">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51" w:name="_Ref215506114"/>
      <w:r w:rsidRPr="00D43281">
        <w:rPr>
          <w:rFonts w:ascii="Times New Roman" w:hAnsi="Times New Roman" w:cs="Times New Roman"/>
          <w:color w:val="000000" w:themeColor="text1"/>
          <w:sz w:val="24"/>
          <w:szCs w:val="24"/>
          <w:lang w:val="ru-RU"/>
        </w:rPr>
        <w:t>Для подверженностей перед обществами, банками, центральными администрациями и центральными банками, а также региональными администрациями, местными органами  и субъектами публичного сектора, оценки LGD должны основываться на данных, охватывающих не менее пяти лет, с увеличением на один год каждый год с даты применения до достижения минимального периода в семь лет хотя бы для одного источника данных; если доступный период наблюдения для какого-либо из источников больше и данные являются релевантными, следует использовать этот более длительный период</w:t>
      </w:r>
      <w:r w:rsidR="00D55B17" w:rsidRPr="00D43281">
        <w:rPr>
          <w:rFonts w:ascii="Times New Roman" w:hAnsi="Times New Roman" w:cs="Times New Roman"/>
          <w:color w:val="000000" w:themeColor="text1"/>
          <w:sz w:val="24"/>
          <w:szCs w:val="24"/>
          <w:lang w:val="ru-RU"/>
        </w:rPr>
        <w:t>.</w:t>
      </w:r>
      <w:bookmarkEnd w:id="151"/>
    </w:p>
    <w:p w14:paraId="03896937" w14:textId="702D584C" w:rsidR="00D55B17" w:rsidRPr="00D43281" w:rsidRDefault="003F52EB" w:rsidP="008C5EF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Для целей подпункта 20</w:t>
      </w:r>
      <w:r w:rsidR="00D16C5F" w:rsidRPr="00BB1E28">
        <w:rPr>
          <w:rFonts w:ascii="Times New Roman" w:hAnsi="Times New Roman" w:cs="Times New Roman"/>
          <w:color w:val="000000" w:themeColor="text1"/>
          <w:sz w:val="24"/>
          <w:szCs w:val="24"/>
          <w:lang w:val="ru-RU"/>
        </w:rPr>
        <w:t>2</w:t>
      </w:r>
      <w:r w:rsidRPr="00D43281">
        <w:rPr>
          <w:rFonts w:ascii="Times New Roman" w:hAnsi="Times New Roman" w:cs="Times New Roman"/>
          <w:color w:val="000000" w:themeColor="text1"/>
          <w:sz w:val="24"/>
          <w:szCs w:val="24"/>
          <w:lang w:val="ru-RU"/>
        </w:rPr>
        <w:t>.1 банки должны надлежащим образом учитывать возмещения, произведенные в ходе соответствующих процедур взыскания задолженности по любому виду обеспеченной кредитной защиты, а также по необеспеченной кредитной защите, которая не подпадает под определение, содержащееся в подпункте 3.</w:t>
      </w:r>
      <w:r w:rsidR="00D16C5F" w:rsidRPr="00BB1E28">
        <w:rPr>
          <w:rFonts w:ascii="Times New Roman" w:hAnsi="Times New Roman" w:cs="Times New Roman"/>
          <w:color w:val="000000" w:themeColor="text1"/>
          <w:sz w:val="24"/>
          <w:szCs w:val="24"/>
          <w:lang w:val="ru-RU"/>
        </w:rPr>
        <w:t>24</w:t>
      </w:r>
      <w:r w:rsidR="00D55B17" w:rsidRPr="00D43281">
        <w:rPr>
          <w:rFonts w:ascii="Times New Roman" w:hAnsi="Times New Roman" w:cs="Times New Roman"/>
          <w:color w:val="000000" w:themeColor="text1"/>
          <w:sz w:val="24"/>
          <w:szCs w:val="24"/>
          <w:lang w:val="ru-RU"/>
        </w:rPr>
        <w:t>.</w:t>
      </w:r>
    </w:p>
    <w:p w14:paraId="1EBFEE7B" w14:textId="4515C5DD" w:rsidR="00D55B17" w:rsidRPr="00D43281" w:rsidRDefault="007526AD" w:rsidP="008C5EF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Для целей подпункта 20</w:t>
      </w:r>
      <w:r w:rsidR="00D16C5F" w:rsidRPr="00BB1E28">
        <w:rPr>
          <w:rFonts w:ascii="Times New Roman" w:hAnsi="Times New Roman" w:cs="Times New Roman"/>
          <w:color w:val="000000" w:themeColor="text1"/>
          <w:sz w:val="24"/>
          <w:szCs w:val="24"/>
          <w:lang w:val="ru-RU"/>
        </w:rPr>
        <w:t>2</w:t>
      </w:r>
      <w:r w:rsidRPr="00D43281">
        <w:rPr>
          <w:rFonts w:ascii="Times New Roman" w:hAnsi="Times New Roman" w:cs="Times New Roman"/>
          <w:color w:val="000000" w:themeColor="text1"/>
          <w:sz w:val="24"/>
          <w:szCs w:val="24"/>
          <w:lang w:val="ru-RU"/>
        </w:rPr>
        <w:t>.3 случаи, когда существует значительная степень зависимости, следует рассматривать с осторожностью</w:t>
      </w:r>
      <w:r w:rsidR="00D55B17" w:rsidRPr="00D43281">
        <w:rPr>
          <w:rFonts w:ascii="Times New Roman" w:hAnsi="Times New Roman" w:cs="Times New Roman"/>
          <w:color w:val="000000" w:themeColor="text1"/>
          <w:sz w:val="24"/>
          <w:szCs w:val="24"/>
          <w:lang w:val="ru-RU"/>
        </w:rPr>
        <w:t>.</w:t>
      </w:r>
    </w:p>
    <w:p w14:paraId="7D719317" w14:textId="1651A280" w:rsidR="00D55B17" w:rsidRPr="00D43281" w:rsidRDefault="007526AD" w:rsidP="008C5EF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Для целей подпункта 20</w:t>
      </w:r>
      <w:r w:rsidR="00D16C5F" w:rsidRPr="00BB1E28">
        <w:rPr>
          <w:rFonts w:ascii="Times New Roman" w:hAnsi="Times New Roman" w:cs="Times New Roman"/>
          <w:color w:val="000000" w:themeColor="text1"/>
          <w:sz w:val="24"/>
          <w:szCs w:val="24"/>
          <w:lang w:val="ru-RU"/>
        </w:rPr>
        <w:t>2</w:t>
      </w:r>
      <w:r w:rsidRPr="00D43281">
        <w:rPr>
          <w:rFonts w:ascii="Times New Roman" w:hAnsi="Times New Roman" w:cs="Times New Roman"/>
          <w:color w:val="000000" w:themeColor="text1"/>
          <w:sz w:val="24"/>
          <w:szCs w:val="24"/>
          <w:lang w:val="ru-RU"/>
        </w:rPr>
        <w:t>.5 при оценке LGD следует учитывать влияние потенциальной неспособности банков получить контроль над залоговым обеспечением и оперативно его реализовать</w:t>
      </w:r>
      <w:r w:rsidR="00D55B17" w:rsidRPr="00D43281">
        <w:rPr>
          <w:rFonts w:ascii="Times New Roman" w:hAnsi="Times New Roman" w:cs="Times New Roman"/>
          <w:color w:val="000000" w:themeColor="text1"/>
          <w:sz w:val="24"/>
          <w:szCs w:val="24"/>
          <w:lang w:val="ru-RU"/>
        </w:rPr>
        <w:t>.</w:t>
      </w:r>
    </w:p>
    <w:p w14:paraId="05D29D05" w14:textId="59F386F5" w:rsidR="00D55B17" w:rsidRPr="00D43281" w:rsidRDefault="00D04575" w:rsidP="008C5EF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52" w:name="_Ref215506133"/>
      <w:r w:rsidRPr="00D43281">
        <w:rPr>
          <w:rFonts w:ascii="Times New Roman" w:hAnsi="Times New Roman" w:cs="Times New Roman"/>
          <w:color w:val="000000" w:themeColor="text1"/>
          <w:sz w:val="24"/>
          <w:szCs w:val="24"/>
          <w:lang w:val="ru-MD"/>
        </w:rPr>
        <w:t>В случае подверженностей ритейл банки могут</w:t>
      </w:r>
      <w:r w:rsidR="00D55B17" w:rsidRPr="00D43281">
        <w:rPr>
          <w:rFonts w:ascii="Times New Roman" w:hAnsi="Times New Roman" w:cs="Times New Roman"/>
          <w:color w:val="000000" w:themeColor="text1"/>
          <w:sz w:val="24"/>
          <w:szCs w:val="24"/>
          <w:lang w:val="ru-MD"/>
        </w:rPr>
        <w:t>:</w:t>
      </w:r>
      <w:bookmarkEnd w:id="152"/>
    </w:p>
    <w:p w14:paraId="734DE698" w14:textId="618DB51E" w:rsidR="00185414" w:rsidRPr="00D43281" w:rsidRDefault="00A05580" w:rsidP="00185414">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Получать оценки убытков в случае невозврата на основе фактических убытков и соответствующих оценок вероятностей невозврата</w:t>
      </w:r>
      <w:r w:rsidR="00D55B17" w:rsidRPr="00D43281">
        <w:rPr>
          <w:rFonts w:ascii="Times New Roman" w:hAnsi="Times New Roman" w:cs="Times New Roman"/>
          <w:color w:val="000000" w:themeColor="text1"/>
          <w:sz w:val="24"/>
          <w:szCs w:val="24"/>
          <w:lang w:val="ru-MD"/>
        </w:rPr>
        <w:t>;</w:t>
      </w:r>
    </w:p>
    <w:p w14:paraId="7DDFCB6E" w14:textId="3780F2B7" w:rsidR="00185414" w:rsidRPr="00D43281" w:rsidRDefault="00A05580" w:rsidP="00185414">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bookmarkStart w:id="153" w:name="_Ref215296702"/>
      <w:r w:rsidRPr="00D43281">
        <w:rPr>
          <w:rFonts w:ascii="Times New Roman" w:hAnsi="Times New Roman" w:cs="Times New Roman"/>
          <w:color w:val="000000" w:themeColor="text1"/>
          <w:sz w:val="24"/>
          <w:szCs w:val="24"/>
          <w:lang w:val="ru-MD"/>
        </w:rPr>
        <w:t>Учитывать будущие заимствования либо при определении собственных коэффициентов конверсии, либо при определении собственных оценок убытков в случае невозврата</w:t>
      </w:r>
      <w:r w:rsidR="00D55B17" w:rsidRPr="00D43281">
        <w:rPr>
          <w:rFonts w:ascii="Times New Roman" w:hAnsi="Times New Roman" w:cs="Times New Roman"/>
          <w:color w:val="000000" w:themeColor="text1"/>
          <w:sz w:val="24"/>
          <w:szCs w:val="24"/>
          <w:lang w:val="ru-MD"/>
        </w:rPr>
        <w:t>;</w:t>
      </w:r>
      <w:bookmarkEnd w:id="153"/>
    </w:p>
    <w:p w14:paraId="3B1214EF" w14:textId="10F3AE42" w:rsidR="00D55B17" w:rsidRPr="00D43281" w:rsidRDefault="00CD09F0" w:rsidP="00185414">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Использовать внешние и внутренние контрольные показатели для оценки убытков в случае невозврата по приобретенным розничным дебиторским задолженностям</w:t>
      </w:r>
      <w:r w:rsidR="00D55B17" w:rsidRPr="00D43281">
        <w:rPr>
          <w:rFonts w:ascii="Times New Roman" w:hAnsi="Times New Roman" w:cs="Times New Roman"/>
          <w:color w:val="000000" w:themeColor="text1"/>
          <w:sz w:val="24"/>
          <w:szCs w:val="24"/>
          <w:lang w:val="ru-MD"/>
        </w:rPr>
        <w:t>.</w:t>
      </w:r>
    </w:p>
    <w:p w14:paraId="1BAC75C5" w14:textId="5E1DC69B" w:rsidR="00D55B17" w:rsidRPr="00D43281" w:rsidRDefault="00CD09F0" w:rsidP="008C5EF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Для целей подпункта 20</w:t>
      </w:r>
      <w:r w:rsidR="00D16C5F" w:rsidRPr="00BB1E28">
        <w:rPr>
          <w:rFonts w:ascii="Times New Roman" w:hAnsi="Times New Roman" w:cs="Times New Roman"/>
          <w:color w:val="000000" w:themeColor="text1"/>
          <w:sz w:val="24"/>
          <w:szCs w:val="24"/>
          <w:lang w:val="ru-RU"/>
        </w:rPr>
        <w:t>6</w:t>
      </w:r>
      <w:r w:rsidRPr="00D43281">
        <w:rPr>
          <w:rFonts w:ascii="Times New Roman" w:hAnsi="Times New Roman" w:cs="Times New Roman"/>
          <w:color w:val="000000" w:themeColor="text1"/>
          <w:sz w:val="24"/>
          <w:szCs w:val="24"/>
          <w:lang w:val="ru-MD"/>
        </w:rPr>
        <w:t>.2, если банки включают будущие дополнительные выплаты в свои коэффициенты конверсии, они должны быть отражены в LGD как в числителе, так и в знаменателе. Если банки не включают будущие дополнительные выплаты в свои коэффициенты конверсии, они должны быть отражены в LGD только в числителе</w:t>
      </w:r>
      <w:r w:rsidR="00D55B17" w:rsidRPr="00D43281">
        <w:rPr>
          <w:rFonts w:ascii="Times New Roman" w:hAnsi="Times New Roman" w:cs="Times New Roman"/>
          <w:color w:val="000000" w:themeColor="text1"/>
          <w:sz w:val="24"/>
          <w:szCs w:val="24"/>
          <w:lang w:val="ru-MD"/>
        </w:rPr>
        <w:t>.</w:t>
      </w:r>
    </w:p>
    <w:p w14:paraId="03C2A4E6" w14:textId="549E0386" w:rsidR="00D55B17" w:rsidRPr="00D43281" w:rsidRDefault="0099077A" w:rsidP="008C5EF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54" w:name="_Ref215506139"/>
      <w:r w:rsidRPr="00D43281">
        <w:rPr>
          <w:rFonts w:ascii="Times New Roman" w:hAnsi="Times New Roman" w:cs="Times New Roman"/>
          <w:color w:val="000000" w:themeColor="text1"/>
          <w:sz w:val="24"/>
          <w:szCs w:val="24"/>
          <w:lang w:val="ru-MD"/>
        </w:rPr>
        <w:t>Для подверженностей ритейл оценка LGD должна основываться на данных, охватывающих не менее пяти лет. При условии разрешения Национального банка Молдовы, при применении подхода IRB банки могут использовать соответствующие данные за двухлетний период. Период охвата должен увеличиваться на один год каждый год до тех пор, пока соответствующие данные не будут охватывать не менее пяти лет</w:t>
      </w:r>
      <w:r w:rsidR="00D55B17" w:rsidRPr="00D43281">
        <w:rPr>
          <w:rFonts w:ascii="Times New Roman" w:hAnsi="Times New Roman" w:cs="Times New Roman"/>
          <w:color w:val="000000" w:themeColor="text1"/>
          <w:sz w:val="24"/>
          <w:szCs w:val="24"/>
          <w:lang w:val="ru-MD"/>
        </w:rPr>
        <w:t>.</w:t>
      </w:r>
      <w:bookmarkEnd w:id="154"/>
    </w:p>
    <w:p w14:paraId="666AB9BB" w14:textId="562EA465" w:rsidR="006D525A" w:rsidRPr="00D43281" w:rsidRDefault="00295423" w:rsidP="00D96018">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Подчасть</w:t>
      </w:r>
      <w:r w:rsidR="006D525A" w:rsidRPr="00D43281">
        <w:rPr>
          <w:rFonts w:ascii="Times New Roman" w:hAnsi="Times New Roman" w:cs="Times New Roman"/>
          <w:b/>
          <w:bCs/>
          <w:i/>
          <w:iCs/>
          <w:color w:val="000000" w:themeColor="text1"/>
          <w:sz w:val="24"/>
          <w:szCs w:val="24"/>
          <w:lang w:val="ro-RO"/>
        </w:rPr>
        <w:t xml:space="preserve"> 4</w:t>
      </w:r>
    </w:p>
    <w:p w14:paraId="74907F26" w14:textId="4E44B791" w:rsidR="006D525A" w:rsidRPr="00D43281" w:rsidRDefault="00036B20" w:rsidP="00D96018">
      <w:pPr>
        <w:pStyle w:val="ListParagraph"/>
        <w:shd w:val="clear" w:color="auto" w:fill="FFFFFF"/>
        <w:tabs>
          <w:tab w:val="left" w:pos="0"/>
          <w:tab w:val="left" w:pos="567"/>
        </w:tabs>
        <w:spacing w:before="60" w:after="0" w:line="240" w:lineRule="auto"/>
        <w:ind w:left="0"/>
        <w:jc w:val="center"/>
        <w:rPr>
          <w:rFonts w:ascii="Times New Roman" w:hAnsi="Times New Roman" w:cs="Times New Roman"/>
          <w:color w:val="000000" w:themeColor="text1"/>
          <w:sz w:val="24"/>
          <w:szCs w:val="24"/>
          <w:lang w:val="ru-RU"/>
        </w:rPr>
      </w:pPr>
      <w:r w:rsidRPr="00D43281">
        <w:rPr>
          <w:rFonts w:ascii="Times New Roman" w:hAnsi="Times New Roman" w:cs="Times New Roman"/>
          <w:b/>
          <w:bCs/>
          <w:i/>
          <w:iCs/>
          <w:color w:val="000000" w:themeColor="text1"/>
          <w:sz w:val="24"/>
          <w:szCs w:val="24"/>
          <w:lang w:val="ru-RU"/>
        </w:rPr>
        <w:t>Особые требования к собственным расчетам коэффициентов пересчета</w:t>
      </w:r>
    </w:p>
    <w:p w14:paraId="1F7AC2CD" w14:textId="2FF8ADEC" w:rsidR="000D7505" w:rsidRPr="00D43281" w:rsidRDefault="00036B20" w:rsidP="00185414">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При количественной оценке параметров риска, которые должны быть связаны с рейтинговыми классами или пулами рисков, банки должны применять следующие конкретные требования к своим собственным оценкам коэффициента пересчета</w:t>
      </w:r>
      <w:r w:rsidR="000D7505" w:rsidRPr="00D43281">
        <w:rPr>
          <w:rFonts w:ascii="Times New Roman" w:hAnsi="Times New Roman" w:cs="Times New Roman"/>
          <w:color w:val="000000" w:themeColor="text1"/>
          <w:sz w:val="24"/>
          <w:szCs w:val="24"/>
          <w:lang w:val="ru-RU"/>
        </w:rPr>
        <w:t>:</w:t>
      </w:r>
    </w:p>
    <w:p w14:paraId="2B9BC31F" w14:textId="3BFB57BB" w:rsidR="004A5F60" w:rsidRPr="00D43281" w:rsidRDefault="00154736" w:rsidP="004A5F6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55" w:name="_Ref215296989"/>
      <w:r w:rsidRPr="00D43281">
        <w:rPr>
          <w:rFonts w:ascii="Times New Roman" w:hAnsi="Times New Roman" w:cs="Times New Roman"/>
          <w:color w:val="000000" w:themeColor="text1"/>
          <w:sz w:val="24"/>
          <w:szCs w:val="24"/>
          <w:lang w:val="ru-RU"/>
        </w:rPr>
        <w:t xml:space="preserve">Банки должны оценивать коэффициенты конверсии по рейтинговым категориям или группам сделок на основе эффективных средних коэффициентов конверсии </w:t>
      </w:r>
      <w:r w:rsidRPr="00D43281">
        <w:rPr>
          <w:rFonts w:ascii="Times New Roman" w:hAnsi="Times New Roman" w:cs="Times New Roman"/>
          <w:color w:val="000000" w:themeColor="text1"/>
          <w:sz w:val="24"/>
          <w:szCs w:val="24"/>
          <w:lang w:val="ru-RU"/>
        </w:rPr>
        <w:lastRenderedPageBreak/>
        <w:t>по рейтинговым категориям или группам сделок, используя средневзвешенное значение всех наблюдаемых случаев невозврата в источниках данных</w:t>
      </w:r>
      <w:r w:rsidR="000D7505" w:rsidRPr="00D43281">
        <w:rPr>
          <w:rFonts w:ascii="Times New Roman" w:hAnsi="Times New Roman" w:cs="Times New Roman"/>
          <w:color w:val="000000" w:themeColor="text1"/>
          <w:sz w:val="24"/>
          <w:szCs w:val="24"/>
          <w:lang w:val="ru-RU"/>
        </w:rPr>
        <w:t>;</w:t>
      </w:r>
      <w:bookmarkEnd w:id="155"/>
    </w:p>
    <w:p w14:paraId="5AFCA8F3" w14:textId="39AFE1EB" w:rsidR="004A5F60" w:rsidRPr="00D43281" w:rsidRDefault="00CA056D" w:rsidP="00393437">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RU"/>
        </w:rPr>
        <w:t>Банки должны использовать оценки коэффициентов конверсии, соответствующие экономическому спаду, если они более консервативны, чем долгосрочное среднее значение. В той мере, в которой ожидается, что рейтинговая система будет обеспечивать эффективные значения коэффициентов конверсии на постоянном уровне по рейтинговым категориям или группам рисков с течением времени, банки должны корректировать свои оценки параметров риска по рейтинговым категориям или группам рисков, чтобы ограничить влияние экономического спада на капитал</w:t>
      </w:r>
      <w:r w:rsidR="000D7505" w:rsidRPr="00D43281">
        <w:rPr>
          <w:rFonts w:ascii="Times New Roman" w:hAnsi="Times New Roman" w:cs="Times New Roman"/>
          <w:color w:val="000000" w:themeColor="text1"/>
          <w:sz w:val="24"/>
          <w:szCs w:val="24"/>
          <w:lang w:val="ro-RO"/>
        </w:rPr>
        <w:t>;</w:t>
      </w:r>
    </w:p>
    <w:p w14:paraId="6D1B37A6" w14:textId="1C653615" w:rsidR="004A5F60" w:rsidRPr="00D43281" w:rsidRDefault="00471D20" w:rsidP="004A5F6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56" w:name="_Ref215297023"/>
      <w:r w:rsidRPr="00D43281">
        <w:rPr>
          <w:rFonts w:ascii="Times New Roman" w:hAnsi="Times New Roman" w:cs="Times New Roman"/>
          <w:color w:val="000000" w:themeColor="text1"/>
          <w:sz w:val="24"/>
          <w:szCs w:val="24"/>
          <w:lang w:val="ru-RU"/>
        </w:rPr>
        <w:t>В расчетах CCF, основанных на IRB, банки учитывают возможность того, что заемщик может произвести дополнительные выплаты до и после даты наступления события невозврата</w:t>
      </w:r>
      <w:r w:rsidR="000D7505" w:rsidRPr="00D43281">
        <w:rPr>
          <w:rFonts w:ascii="Times New Roman" w:hAnsi="Times New Roman" w:cs="Times New Roman"/>
          <w:color w:val="000000" w:themeColor="text1"/>
          <w:sz w:val="24"/>
          <w:szCs w:val="24"/>
          <w:lang w:val="ru-RU"/>
        </w:rPr>
        <w:t>;</w:t>
      </w:r>
      <w:bookmarkEnd w:id="156"/>
    </w:p>
    <w:p w14:paraId="22E035E1" w14:textId="33295D75" w:rsidR="004A5F60" w:rsidRPr="00D43281" w:rsidRDefault="00EE5F46" w:rsidP="004A5F6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При составлении собственных оценок коэффициентов конверсии банкам следует учитывать свою собственную политику и стратегии, принятые в отношении мониторинга счетов и обработки платежей. Банкам также следует учитывать свои возможности и готовность предотвращать дальнейшие списания средств в ситуациях, близких к невозврату, таких как нарушения договорных обязательств или другие события, связанные с техническими сбоями</w:t>
      </w:r>
      <w:r w:rsidR="000D7505" w:rsidRPr="00D43281">
        <w:rPr>
          <w:rFonts w:ascii="Times New Roman" w:hAnsi="Times New Roman" w:cs="Times New Roman"/>
          <w:color w:val="000000" w:themeColor="text1"/>
          <w:sz w:val="24"/>
          <w:szCs w:val="24"/>
          <w:lang w:val="ru-RU"/>
        </w:rPr>
        <w:t>;</w:t>
      </w:r>
    </w:p>
    <w:p w14:paraId="08D9DEC3" w14:textId="607B3A43" w:rsidR="004A5F60" w:rsidRPr="00D43281" w:rsidRDefault="00EE5F46" w:rsidP="004A5F6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Банки должны иметь надлежащие системы и процедуры для мониторинга сумм сделок, сумм, подлежащих выплате по предоставленным кредитным линиям, и изменений сумм, подлежащих выплате заемщиком и в зависимости от рейтингового класса. Банк должен иметь возможность ежедневно отслеживать остатки на счетах</w:t>
      </w:r>
      <w:r w:rsidR="000D7505" w:rsidRPr="00D43281">
        <w:rPr>
          <w:rFonts w:ascii="Times New Roman" w:hAnsi="Times New Roman" w:cs="Times New Roman"/>
          <w:color w:val="000000" w:themeColor="text1"/>
          <w:sz w:val="24"/>
          <w:szCs w:val="24"/>
          <w:lang w:val="ru-RU"/>
        </w:rPr>
        <w:t>;</w:t>
      </w:r>
    </w:p>
    <w:p w14:paraId="664DA071" w14:textId="567D5F72" w:rsidR="004A5F60" w:rsidRPr="00D43281" w:rsidRDefault="005743EE" w:rsidP="004A5F6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Если банки используют для расчета взвешенных по риску сумм подверженностей оценки коэффициентов пересчета, отличающиеся от тех, которые используются для внутренних целей, эта ситуация должна быть формализована и иметь разумный характер</w:t>
      </w:r>
      <w:r w:rsidR="004A5F60" w:rsidRPr="00D43281">
        <w:rPr>
          <w:rFonts w:ascii="Times New Roman" w:hAnsi="Times New Roman" w:cs="Times New Roman"/>
          <w:color w:val="000000" w:themeColor="text1"/>
          <w:sz w:val="24"/>
          <w:szCs w:val="24"/>
          <w:lang w:val="ru-RU"/>
        </w:rPr>
        <w:t>;</w:t>
      </w:r>
    </w:p>
    <w:p w14:paraId="3BC4757B" w14:textId="0E020E17" w:rsidR="004A5F60" w:rsidRPr="00D43281" w:rsidRDefault="00FF101E" w:rsidP="004A5F6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57" w:name="_Ref215297074"/>
      <w:r w:rsidRPr="00D43281">
        <w:rPr>
          <w:rFonts w:ascii="Times New Roman" w:hAnsi="Times New Roman" w:cs="Times New Roman"/>
          <w:color w:val="000000" w:themeColor="text1"/>
          <w:sz w:val="24"/>
          <w:szCs w:val="24"/>
          <w:lang w:val="ru-RU"/>
        </w:rPr>
        <w:t>Расчет CCF на основе IRB проводятся банками с использованием подхода с фиксированным временным горизонтом в 12 месяцев</w:t>
      </w:r>
      <w:r w:rsidR="000D7505" w:rsidRPr="00D43281">
        <w:rPr>
          <w:rFonts w:ascii="Times New Roman" w:hAnsi="Times New Roman" w:cs="Times New Roman"/>
          <w:color w:val="000000" w:themeColor="text1"/>
          <w:sz w:val="24"/>
          <w:szCs w:val="24"/>
          <w:lang w:val="ru-RU"/>
        </w:rPr>
        <w:t>;</w:t>
      </w:r>
      <w:bookmarkEnd w:id="157"/>
    </w:p>
    <w:p w14:paraId="66086A22" w14:textId="5119F66A" w:rsidR="000D7505" w:rsidRPr="00D43281" w:rsidRDefault="00FF101E" w:rsidP="004A5F60">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58" w:name="_Ref215297109"/>
      <w:r w:rsidRPr="00D43281">
        <w:rPr>
          <w:rFonts w:ascii="Times New Roman" w:hAnsi="Times New Roman" w:cs="Times New Roman"/>
          <w:color w:val="000000" w:themeColor="text1"/>
          <w:sz w:val="24"/>
          <w:szCs w:val="24"/>
          <w:lang w:val="ru-RU"/>
        </w:rPr>
        <w:t>Расчеты CCF, основанные на IRB, проводятся банками на основе справочных данных, отражающих характеристики заемщика, кредитной линии и банковской практики управления рисками, к которым применяются эти оценки</w:t>
      </w:r>
      <w:r w:rsidR="004A5F60" w:rsidRPr="00D43281">
        <w:rPr>
          <w:rFonts w:ascii="Times New Roman" w:hAnsi="Times New Roman" w:cs="Times New Roman"/>
          <w:color w:val="000000" w:themeColor="text1"/>
          <w:sz w:val="24"/>
          <w:szCs w:val="24"/>
          <w:lang w:val="ru-RU"/>
        </w:rPr>
        <w:t>.</w:t>
      </w:r>
      <w:bookmarkEnd w:id="158"/>
    </w:p>
    <w:p w14:paraId="2039466C" w14:textId="08575E2A" w:rsidR="000D7505" w:rsidRPr="00D43281" w:rsidRDefault="00782103" w:rsidP="004A5F60">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59" w:name="_Ref215297431"/>
      <w:r w:rsidRPr="00D43281">
        <w:rPr>
          <w:rFonts w:ascii="Times New Roman" w:hAnsi="Times New Roman" w:cs="Times New Roman"/>
          <w:color w:val="000000" w:themeColor="text1"/>
          <w:sz w:val="24"/>
          <w:szCs w:val="24"/>
          <w:lang w:val="ru-RU"/>
        </w:rPr>
        <w:t>Для целей подпункта 2</w:t>
      </w:r>
      <w:r w:rsidR="00D16C5F" w:rsidRPr="00BB1E28">
        <w:rPr>
          <w:rFonts w:ascii="Times New Roman" w:hAnsi="Times New Roman" w:cs="Times New Roman"/>
          <w:color w:val="000000" w:themeColor="text1"/>
          <w:sz w:val="24"/>
          <w:szCs w:val="24"/>
          <w:lang w:val="ru-RU"/>
        </w:rPr>
        <w:t>09</w:t>
      </w:r>
      <w:r w:rsidRPr="00D43281">
        <w:rPr>
          <w:rFonts w:ascii="Times New Roman" w:hAnsi="Times New Roman" w:cs="Times New Roman"/>
          <w:color w:val="000000" w:themeColor="text1"/>
          <w:sz w:val="24"/>
          <w:szCs w:val="24"/>
          <w:lang w:val="ru-RU"/>
        </w:rPr>
        <w:t>.1, если банки наблюдают отрицательный эффективный коэффициент конверсии в своих неявных наблюдениях, эффективный коэффициент конверсии для этих наблюдений должен быть равен нулю для целей количественной оценки их коэффициента конверсии на основе IRB. Банки могут использовать информацию об отрицательном эффективном коэффициенте конверсии в процессе разработки модели для целей дифференциации рисков</w:t>
      </w:r>
      <w:r w:rsidR="000D7505" w:rsidRPr="00D43281">
        <w:rPr>
          <w:rFonts w:ascii="Times New Roman" w:hAnsi="Times New Roman" w:cs="Times New Roman"/>
          <w:color w:val="000000" w:themeColor="text1"/>
          <w:sz w:val="24"/>
          <w:szCs w:val="24"/>
          <w:lang w:val="ru-RU"/>
        </w:rPr>
        <w:t>.</w:t>
      </w:r>
      <w:bookmarkEnd w:id="159"/>
    </w:p>
    <w:p w14:paraId="0EF1DB1E" w14:textId="5B3CC7D0" w:rsidR="000D7505" w:rsidRPr="00D16C5F" w:rsidRDefault="00782103" w:rsidP="00D16C5F">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Для целей </w:t>
      </w:r>
      <w:r w:rsidR="00D16C5F" w:rsidRPr="00D43281">
        <w:rPr>
          <w:rFonts w:ascii="Times New Roman" w:hAnsi="Times New Roman" w:cs="Times New Roman"/>
          <w:color w:val="000000" w:themeColor="text1"/>
          <w:sz w:val="24"/>
          <w:szCs w:val="24"/>
          <w:lang w:val="ru-MD"/>
        </w:rPr>
        <w:t xml:space="preserve">подпункта </w:t>
      </w:r>
      <w:r w:rsidRPr="00D43281">
        <w:rPr>
          <w:rFonts w:ascii="Times New Roman" w:hAnsi="Times New Roman" w:cs="Times New Roman"/>
          <w:color w:val="000000" w:themeColor="text1"/>
          <w:sz w:val="24"/>
          <w:szCs w:val="24"/>
          <w:lang w:val="ru-RU"/>
        </w:rPr>
        <w:t>2</w:t>
      </w:r>
      <w:r w:rsidR="00D16C5F" w:rsidRPr="00BB1E28">
        <w:rPr>
          <w:rFonts w:ascii="Times New Roman" w:hAnsi="Times New Roman" w:cs="Times New Roman"/>
          <w:color w:val="000000" w:themeColor="text1"/>
          <w:sz w:val="24"/>
          <w:szCs w:val="24"/>
          <w:lang w:val="ru-RU"/>
        </w:rPr>
        <w:t>09</w:t>
      </w:r>
      <w:r w:rsidRPr="00D43281">
        <w:rPr>
          <w:rFonts w:ascii="Times New Roman" w:hAnsi="Times New Roman" w:cs="Times New Roman"/>
          <w:color w:val="000000" w:themeColor="text1"/>
          <w:sz w:val="24"/>
          <w:szCs w:val="24"/>
          <w:lang w:val="ru-RU"/>
        </w:rPr>
        <w:t xml:space="preserve">.3 коэффициенты конверсии IRB </w:t>
      </w:r>
      <w:r w:rsidR="00D16C5F" w:rsidRPr="00D16C5F">
        <w:rPr>
          <w:rFonts w:ascii="Times New Roman" w:hAnsi="Times New Roman" w:cs="Times New Roman"/>
          <w:color w:val="000000" w:themeColor="text1"/>
          <w:sz w:val="24"/>
          <w:szCs w:val="24"/>
          <w:lang w:val="ru-RU"/>
        </w:rPr>
        <w:t xml:space="preserve">предусматривает более высокую степень </w:t>
      </w:r>
      <w:r w:rsidRPr="00D16C5F">
        <w:rPr>
          <w:rFonts w:ascii="Times New Roman" w:hAnsi="Times New Roman" w:cs="Times New Roman"/>
          <w:color w:val="000000" w:themeColor="text1"/>
          <w:sz w:val="24"/>
          <w:szCs w:val="24"/>
          <w:lang w:val="ru-RU"/>
        </w:rPr>
        <w:t>осторожности в тех случаях, когда можно обоснованно ожидать более сильной положительной корреляции между частотой невозврата и размером коэффициента конверсии</w:t>
      </w:r>
      <w:r w:rsidR="000D7505" w:rsidRPr="00D16C5F">
        <w:rPr>
          <w:rFonts w:ascii="Times New Roman" w:hAnsi="Times New Roman" w:cs="Times New Roman"/>
          <w:color w:val="000000" w:themeColor="text1"/>
          <w:sz w:val="24"/>
          <w:szCs w:val="24"/>
          <w:lang w:val="ru-RU"/>
        </w:rPr>
        <w:t>.</w:t>
      </w:r>
    </w:p>
    <w:p w14:paraId="3000B307" w14:textId="08AABC79" w:rsidR="000D7505" w:rsidRPr="00D43281" w:rsidRDefault="0074452B" w:rsidP="004A5F60">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Для целей подпункта 2</w:t>
      </w:r>
      <w:r w:rsidR="00D16C5F">
        <w:rPr>
          <w:rFonts w:ascii="Times New Roman" w:hAnsi="Times New Roman" w:cs="Times New Roman"/>
          <w:color w:val="000000" w:themeColor="text1"/>
          <w:sz w:val="24"/>
          <w:szCs w:val="24"/>
          <w:lang w:val="ro-RO"/>
        </w:rPr>
        <w:t>09</w:t>
      </w:r>
      <w:r w:rsidRPr="00D43281">
        <w:rPr>
          <w:rFonts w:ascii="Times New Roman" w:hAnsi="Times New Roman" w:cs="Times New Roman"/>
          <w:color w:val="000000" w:themeColor="text1"/>
          <w:sz w:val="24"/>
          <w:szCs w:val="24"/>
          <w:lang w:val="ru-MD"/>
        </w:rPr>
        <w:t>.7 каждое состояние невозврата коррелирует с характеристиками заемщика и соответствующего кредитного учреждения на фиксированную дату отсчета, определяемую как период за 12 месяцев до даты невозврата</w:t>
      </w:r>
      <w:r w:rsidR="000D7505" w:rsidRPr="00D43281">
        <w:rPr>
          <w:rFonts w:ascii="Times New Roman" w:hAnsi="Times New Roman" w:cs="Times New Roman"/>
          <w:color w:val="000000" w:themeColor="text1"/>
          <w:sz w:val="24"/>
          <w:szCs w:val="24"/>
          <w:lang w:val="ru-MD"/>
        </w:rPr>
        <w:t>.</w:t>
      </w:r>
    </w:p>
    <w:p w14:paraId="2D8E8C68" w14:textId="53B8D97C" w:rsidR="0054438F" w:rsidRPr="00D43281" w:rsidRDefault="0054438F" w:rsidP="004A5F60">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Для целей подпункта 2</w:t>
      </w:r>
      <w:r w:rsidR="00D16C5F">
        <w:rPr>
          <w:rFonts w:ascii="Times New Roman" w:hAnsi="Times New Roman" w:cs="Times New Roman"/>
          <w:color w:val="000000" w:themeColor="text1"/>
          <w:sz w:val="24"/>
          <w:szCs w:val="24"/>
          <w:lang w:val="ro-RO"/>
        </w:rPr>
        <w:t>09</w:t>
      </w:r>
      <w:r w:rsidRPr="00D43281">
        <w:rPr>
          <w:rFonts w:ascii="Times New Roman" w:hAnsi="Times New Roman" w:cs="Times New Roman"/>
          <w:color w:val="000000" w:themeColor="text1"/>
          <w:sz w:val="24"/>
          <w:szCs w:val="24"/>
          <w:lang w:val="ru-RU"/>
        </w:rPr>
        <w:t xml:space="preserve">.8 расчеты совокупной стоимости риска на основе IRB, </w:t>
      </w:r>
      <w:r w:rsidR="00D16C5F" w:rsidRPr="00D16C5F">
        <w:rPr>
          <w:rFonts w:ascii="Times New Roman" w:hAnsi="Times New Roman" w:cs="Times New Roman"/>
          <w:color w:val="000000" w:themeColor="text1"/>
          <w:sz w:val="24"/>
          <w:szCs w:val="24"/>
          <w:lang w:val="ru-RU"/>
        </w:rPr>
        <w:t xml:space="preserve">применяемый </w:t>
      </w:r>
      <w:r w:rsidRPr="00D43281">
        <w:rPr>
          <w:rFonts w:ascii="Times New Roman" w:hAnsi="Times New Roman" w:cs="Times New Roman"/>
          <w:color w:val="000000" w:themeColor="text1"/>
          <w:sz w:val="24"/>
          <w:szCs w:val="24"/>
          <w:lang w:val="ru-RU"/>
        </w:rPr>
        <w:t>к конкретным подверженностям, не должны основываться на данных, которые суммируют эффекты различных характеристик, или на данных по подверженностям, имеющим существенно различающиеся характеристики риска. Расчеты совокупной стоимости риска на основе IRB должны основываться на сегментах с соответствующим уровнем однородности. Для этой цели следующие методы допускаются только на основании детального изучения и обоснования банком:</w:t>
      </w:r>
    </w:p>
    <w:p w14:paraId="409936B9" w14:textId="3737542E" w:rsidR="00F027AA" w:rsidRPr="00D43281" w:rsidRDefault="00BA2A01" w:rsidP="00F027AA">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lastRenderedPageBreak/>
        <w:t>Применение базовых данных по МСП/среднему бизнесу для крупных корпоративных заемщиков</w:t>
      </w:r>
      <w:r w:rsidR="000D7505" w:rsidRPr="00D43281">
        <w:rPr>
          <w:rFonts w:ascii="Times New Roman" w:hAnsi="Times New Roman" w:cs="Times New Roman"/>
          <w:color w:val="000000" w:themeColor="text1"/>
          <w:sz w:val="24"/>
          <w:szCs w:val="24"/>
          <w:lang w:val="ru-RU"/>
        </w:rPr>
        <w:t>;</w:t>
      </w:r>
    </w:p>
    <w:p w14:paraId="2A65DD30" w14:textId="5CED4694" w:rsidR="00F027AA" w:rsidRPr="00D43281" w:rsidRDefault="00BA2A01" w:rsidP="00F027AA">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Применение данных по обязательствам, предлагающим небольшой неиспользованный доступный лимит, к объектам, предлагающим большой неиспользованный доступный лимит</w:t>
      </w:r>
      <w:r w:rsidR="000D7505" w:rsidRPr="00D43281">
        <w:rPr>
          <w:rFonts w:ascii="Times New Roman" w:hAnsi="Times New Roman" w:cs="Times New Roman"/>
          <w:color w:val="000000" w:themeColor="text1"/>
          <w:sz w:val="24"/>
          <w:szCs w:val="24"/>
          <w:lang w:val="ru-RU"/>
        </w:rPr>
        <w:t>;</w:t>
      </w:r>
    </w:p>
    <w:p w14:paraId="203383F2" w14:textId="457FBD92" w:rsidR="00F027AA" w:rsidRPr="00D43281" w:rsidRDefault="002A492C" w:rsidP="00F027AA">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Применение данных о заемщиках со случаями неплатежей или заблокированных для дополнительных снятий средств на отчетную дату к заемщикам, у которых нет известных случаев неплатежей или соответствующих ограничений</w:t>
      </w:r>
      <w:r w:rsidR="000D7505" w:rsidRPr="00D43281">
        <w:rPr>
          <w:rFonts w:ascii="Times New Roman" w:hAnsi="Times New Roman" w:cs="Times New Roman"/>
          <w:color w:val="000000" w:themeColor="text1"/>
          <w:sz w:val="24"/>
          <w:szCs w:val="24"/>
          <w:lang w:val="ru-RU"/>
        </w:rPr>
        <w:t>;</w:t>
      </w:r>
    </w:p>
    <w:p w14:paraId="2066425B" w14:textId="2251D804" w:rsidR="000D7505" w:rsidRPr="00D43281" w:rsidRDefault="00DF0F07" w:rsidP="00F027AA">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60" w:name="_Ref215297246"/>
      <w:r w:rsidRPr="00D43281">
        <w:rPr>
          <w:rFonts w:ascii="Times New Roman" w:hAnsi="Times New Roman" w:cs="Times New Roman"/>
          <w:color w:val="000000" w:themeColor="text1"/>
          <w:sz w:val="24"/>
          <w:szCs w:val="24"/>
          <w:lang w:val="ru-RU"/>
        </w:rPr>
        <w:t>Использование данных, на которые повлияли изменения в ассортименте кредитных и других кредитных продуктов заемщиков в течение периода наблюдения, за исключением случаев, когда эти данные были эффективно скорректированы путем устранения последствий изменений в ассортименте продуктов</w:t>
      </w:r>
      <w:r w:rsidR="000D7505" w:rsidRPr="00D43281">
        <w:rPr>
          <w:rFonts w:ascii="Times New Roman" w:hAnsi="Times New Roman" w:cs="Times New Roman"/>
          <w:color w:val="000000" w:themeColor="text1"/>
          <w:sz w:val="24"/>
          <w:szCs w:val="24"/>
          <w:lang w:val="ru-RU"/>
        </w:rPr>
        <w:t>.</w:t>
      </w:r>
      <w:bookmarkEnd w:id="160"/>
    </w:p>
    <w:p w14:paraId="0C040C38" w14:textId="15428662" w:rsidR="000D7505" w:rsidRPr="00D43281" w:rsidRDefault="002D61C8" w:rsidP="004A5F60">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Для целей подпункта 21</w:t>
      </w:r>
      <w:r w:rsidR="00C57225">
        <w:rPr>
          <w:rFonts w:ascii="Times New Roman" w:hAnsi="Times New Roman" w:cs="Times New Roman"/>
          <w:color w:val="000000" w:themeColor="text1"/>
          <w:sz w:val="24"/>
          <w:szCs w:val="24"/>
          <w:lang w:val="ro-RO"/>
        </w:rPr>
        <w:t>3</w:t>
      </w:r>
      <w:r w:rsidRPr="00D43281">
        <w:rPr>
          <w:rFonts w:ascii="Times New Roman" w:hAnsi="Times New Roman" w:cs="Times New Roman"/>
          <w:color w:val="000000" w:themeColor="text1"/>
          <w:sz w:val="24"/>
          <w:szCs w:val="24"/>
          <w:lang w:val="ru-RU"/>
        </w:rPr>
        <w:t>.4 банки должны продемонстрировать Национальному банку Молдовы, что они в полной мере понимают влияние изменений в структуре клиентской базы на эталонные наборы данных по подверженностям и связанные с ними коэффициенты ликвидности, а также что такое влияние является несущественным или было эффективно смягчено в процессе оценки. В этой связи следующие методы не считаются приемлемыми</w:t>
      </w:r>
      <w:r w:rsidR="000D7505" w:rsidRPr="00D43281">
        <w:rPr>
          <w:rFonts w:ascii="Times New Roman" w:hAnsi="Times New Roman" w:cs="Times New Roman"/>
          <w:color w:val="000000" w:themeColor="text1"/>
          <w:sz w:val="24"/>
          <w:szCs w:val="24"/>
          <w:lang w:val="ru-RU"/>
        </w:rPr>
        <w:t>:</w:t>
      </w:r>
    </w:p>
    <w:p w14:paraId="0533A971" w14:textId="4DBB53FB" w:rsidR="00B168A1" w:rsidRPr="00D43281" w:rsidRDefault="002D61C8" w:rsidP="00B168A1">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Установление пороговых значений или предельных значений для ССF или наблюдений за значениями воздействия, за исключением эффективного коэффициента конверсии, равного нулю, в соответствии с пунктом 21</w:t>
      </w:r>
      <w:r w:rsidR="00C57225">
        <w:rPr>
          <w:rFonts w:ascii="Times New Roman" w:hAnsi="Times New Roman" w:cs="Times New Roman"/>
          <w:color w:val="000000" w:themeColor="text1"/>
          <w:sz w:val="24"/>
          <w:szCs w:val="24"/>
          <w:lang w:val="ro-RO"/>
        </w:rPr>
        <w:t>0</w:t>
      </w:r>
      <w:r w:rsidR="000D7505" w:rsidRPr="00D43281">
        <w:rPr>
          <w:rFonts w:ascii="Times New Roman" w:hAnsi="Times New Roman" w:cs="Times New Roman"/>
          <w:color w:val="000000" w:themeColor="text1"/>
          <w:sz w:val="24"/>
          <w:szCs w:val="24"/>
          <w:lang w:val="ru-RU"/>
        </w:rPr>
        <w:t>;</w:t>
      </w:r>
    </w:p>
    <w:p w14:paraId="6EA48685" w14:textId="1B3E6907" w:rsidR="00A0621D" w:rsidRPr="00D43281" w:rsidRDefault="008764B1" w:rsidP="00A0621D">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m-CH"/>
        </w:rPr>
      </w:pPr>
      <w:r w:rsidRPr="00D43281">
        <w:rPr>
          <w:rFonts w:ascii="Times New Roman" w:hAnsi="Times New Roman" w:cs="Times New Roman"/>
          <w:color w:val="000000" w:themeColor="text1"/>
          <w:sz w:val="24"/>
          <w:szCs w:val="24"/>
          <w:lang w:val="rm-CH"/>
        </w:rPr>
        <w:t>Использование оценок на уровне заемщика, которые не в полной мере охватывают соответствующие варианты преобразования продуктов или которые ненадлежащим образом объединяют продукты с очень разными характеристиками</w:t>
      </w:r>
      <w:r w:rsidR="000D7505" w:rsidRPr="00D43281">
        <w:rPr>
          <w:rFonts w:ascii="Times New Roman" w:hAnsi="Times New Roman" w:cs="Times New Roman"/>
          <w:color w:val="000000" w:themeColor="text1"/>
          <w:sz w:val="24"/>
          <w:szCs w:val="24"/>
          <w:lang w:val="rm-CH"/>
        </w:rPr>
        <w:t>;</w:t>
      </w:r>
    </w:p>
    <w:p w14:paraId="4509C2A8" w14:textId="09E743B4" w:rsidR="00A0621D" w:rsidRPr="00D43281" w:rsidRDefault="008764B1" w:rsidP="00A0621D">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m-CH"/>
        </w:rPr>
      </w:pPr>
      <w:r w:rsidRPr="00D43281">
        <w:rPr>
          <w:rFonts w:ascii="Times New Roman" w:hAnsi="Times New Roman" w:cs="Times New Roman"/>
          <w:color w:val="000000" w:themeColor="text1"/>
          <w:sz w:val="24"/>
          <w:szCs w:val="24"/>
          <w:lang w:val="rm-CH"/>
        </w:rPr>
        <w:t>Корректировка только значимых наблюдений, затронутых преобразованием продукта</w:t>
      </w:r>
      <w:r w:rsidR="000D7505" w:rsidRPr="00D43281">
        <w:rPr>
          <w:rFonts w:ascii="Times New Roman" w:hAnsi="Times New Roman" w:cs="Times New Roman"/>
          <w:color w:val="000000" w:themeColor="text1"/>
          <w:sz w:val="24"/>
          <w:szCs w:val="24"/>
          <w:lang w:val="rm-CH"/>
        </w:rPr>
        <w:t>;</w:t>
      </w:r>
    </w:p>
    <w:p w14:paraId="02B05A10" w14:textId="2AD7A93F" w:rsidR="000D7505" w:rsidRPr="00D43281" w:rsidRDefault="008764B1" w:rsidP="00A0621D">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m-CH"/>
        </w:rPr>
      </w:pPr>
      <w:r w:rsidRPr="00D43281">
        <w:rPr>
          <w:rFonts w:ascii="Times New Roman" w:hAnsi="Times New Roman" w:cs="Times New Roman"/>
          <w:color w:val="000000" w:themeColor="text1"/>
          <w:sz w:val="24"/>
          <w:szCs w:val="24"/>
          <w:lang w:val="rm-CH"/>
        </w:rPr>
        <w:t>Исключение наблюдений, затронутых преобразованием профиля продукта</w:t>
      </w:r>
      <w:r w:rsidR="000D7505" w:rsidRPr="00D43281">
        <w:rPr>
          <w:rFonts w:ascii="Times New Roman" w:hAnsi="Times New Roman" w:cs="Times New Roman"/>
          <w:color w:val="000000" w:themeColor="text1"/>
          <w:sz w:val="24"/>
          <w:szCs w:val="24"/>
          <w:lang w:val="rm-CH"/>
        </w:rPr>
        <w:t>.</w:t>
      </w:r>
    </w:p>
    <w:p w14:paraId="21EACACB" w14:textId="19E5C105" w:rsidR="000D7505" w:rsidRPr="00D43281" w:rsidRDefault="00CA0926" w:rsidP="00A0621D">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m-CH"/>
        </w:rPr>
      </w:pPr>
      <w:r w:rsidRPr="00D43281">
        <w:rPr>
          <w:rFonts w:ascii="Times New Roman" w:hAnsi="Times New Roman" w:cs="Times New Roman"/>
          <w:color w:val="000000" w:themeColor="text1"/>
          <w:sz w:val="24"/>
          <w:szCs w:val="24"/>
          <w:lang w:val="rm-CH"/>
        </w:rPr>
        <w:t>Банки должны обеспечить эффективную защиту кредитных линий, основанных на IRB, от потенциальных шоковых последствий, вызванных почти полным использованием средств кредитной линии на отчетную дату</w:t>
      </w:r>
      <w:r w:rsidR="000D7505" w:rsidRPr="00D43281">
        <w:rPr>
          <w:rFonts w:ascii="Times New Roman" w:hAnsi="Times New Roman" w:cs="Times New Roman"/>
          <w:color w:val="000000" w:themeColor="text1"/>
          <w:sz w:val="24"/>
          <w:szCs w:val="24"/>
          <w:lang w:val="rm-CH"/>
        </w:rPr>
        <w:t>.</w:t>
      </w:r>
    </w:p>
    <w:p w14:paraId="47728BB6" w14:textId="36D2388A" w:rsidR="000D7505" w:rsidRPr="00D43281" w:rsidRDefault="00073601" w:rsidP="00A0621D">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m-CH"/>
        </w:rPr>
      </w:pPr>
      <w:r w:rsidRPr="00D43281">
        <w:rPr>
          <w:rFonts w:ascii="Times New Roman" w:hAnsi="Times New Roman" w:cs="Times New Roman"/>
          <w:color w:val="000000" w:themeColor="text1"/>
          <w:sz w:val="24"/>
          <w:szCs w:val="24"/>
          <w:lang w:val="rm-CH"/>
        </w:rPr>
        <w:t>Базовые данные не ограничиваются суммой основного долга по кредитной линии или доступным лимитом кредитной линии. Начисленные проценты, прочие подлежащие уплате суммы и суммы, превышающие лимиты кредитной линии, включаются в базовые данные</w:t>
      </w:r>
      <w:r w:rsidR="000D7505" w:rsidRPr="00D43281">
        <w:rPr>
          <w:rFonts w:ascii="Times New Roman" w:hAnsi="Times New Roman" w:cs="Times New Roman"/>
          <w:color w:val="000000" w:themeColor="text1"/>
          <w:sz w:val="24"/>
          <w:szCs w:val="24"/>
          <w:lang w:val="rm-CH"/>
        </w:rPr>
        <w:t>.</w:t>
      </w:r>
    </w:p>
    <w:p w14:paraId="2C15261A" w14:textId="2528BC1D" w:rsidR="000D7505" w:rsidRPr="00D43281" w:rsidRDefault="00C17A18" w:rsidP="005B426D">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o-RO"/>
        </w:rPr>
      </w:pPr>
      <w:bookmarkStart w:id="161" w:name="_Ref215506164"/>
      <w:r w:rsidRPr="00D43281">
        <w:rPr>
          <w:rFonts w:ascii="Times New Roman" w:hAnsi="Times New Roman" w:cs="Times New Roman"/>
          <w:color w:val="000000" w:themeColor="text1"/>
          <w:sz w:val="24"/>
          <w:szCs w:val="24"/>
          <w:lang w:val="ru-RU"/>
        </w:rPr>
        <w:t>Для</w:t>
      </w:r>
      <w:r w:rsidR="005201F2" w:rsidRPr="00D43281">
        <w:rPr>
          <w:rFonts w:ascii="Times New Roman" w:hAnsi="Times New Roman" w:cs="Times New Roman"/>
          <w:color w:val="000000" w:themeColor="text1"/>
          <w:sz w:val="24"/>
          <w:szCs w:val="24"/>
          <w:lang w:val="ru-RU"/>
        </w:rPr>
        <w:t xml:space="preserve"> подверженностей перед</w:t>
      </w:r>
      <w:r w:rsidRPr="00D43281">
        <w:rPr>
          <w:rFonts w:ascii="Times New Roman" w:hAnsi="Times New Roman" w:cs="Times New Roman"/>
          <w:color w:val="000000" w:themeColor="text1"/>
          <w:sz w:val="24"/>
          <w:szCs w:val="24"/>
          <w:lang w:val="ru-RU"/>
        </w:rPr>
        <w:t xml:space="preserve"> обществами, банками, центральными администрациями и центральными банками, а также региональными администрациями, местными органами  и субъектами публичного сектора, оценки коэффициентов конверсии должны основываться на данных, охватывающих период не менее пяти лет, который увеличивается на один год в каждый год после введения в действие, пока не будет достигнут минимальный период в семь лет по крайней мере для одного источника данных. Если для любого из источников доступен более длительный период наблюдения и соответствующие данные являются актуальными, то используется именно этот более длительный период</w:t>
      </w:r>
      <w:r w:rsidR="000D7505" w:rsidRPr="00D43281">
        <w:rPr>
          <w:rFonts w:ascii="Times New Roman" w:hAnsi="Times New Roman" w:cs="Times New Roman"/>
          <w:color w:val="000000" w:themeColor="text1"/>
          <w:sz w:val="24"/>
          <w:szCs w:val="24"/>
          <w:lang w:val="ro-RO"/>
        </w:rPr>
        <w:t>.</w:t>
      </w:r>
      <w:bookmarkEnd w:id="161"/>
    </w:p>
    <w:p w14:paraId="0CF60C70" w14:textId="76BE2EB9" w:rsidR="000D7505" w:rsidRPr="00D43281" w:rsidRDefault="007237B6" w:rsidP="00A0621D">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62" w:name="_Ref215506175"/>
      <w:r w:rsidRPr="00D43281">
        <w:rPr>
          <w:rFonts w:ascii="Times New Roman" w:hAnsi="Times New Roman" w:cs="Times New Roman"/>
          <w:color w:val="000000" w:themeColor="text1"/>
          <w:sz w:val="24"/>
          <w:szCs w:val="24"/>
          <w:lang w:val="ru-MD"/>
        </w:rPr>
        <w:t>В случае подверженностей ритейл банки могут учитывать будущие выплаты по кредитам либо при определении собственных коэффициентов конверсии, либо при определении собственных оценок убытка в случае невозврата</w:t>
      </w:r>
      <w:r w:rsidR="000D7505" w:rsidRPr="00D43281">
        <w:rPr>
          <w:rFonts w:ascii="Times New Roman" w:hAnsi="Times New Roman" w:cs="Times New Roman"/>
          <w:color w:val="000000" w:themeColor="text1"/>
          <w:sz w:val="24"/>
          <w:szCs w:val="24"/>
          <w:lang w:val="ru-MD"/>
        </w:rPr>
        <w:t>.</w:t>
      </w:r>
      <w:bookmarkEnd w:id="162"/>
    </w:p>
    <w:p w14:paraId="74C7E4DD" w14:textId="3CDB1181" w:rsidR="001E5C52" w:rsidRPr="00D43281" w:rsidRDefault="007237B6" w:rsidP="00A0621D">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63" w:name="_Ref215506180"/>
      <w:r w:rsidRPr="00D43281">
        <w:rPr>
          <w:rFonts w:ascii="Times New Roman" w:hAnsi="Times New Roman" w:cs="Times New Roman"/>
          <w:color w:val="000000" w:themeColor="text1"/>
          <w:sz w:val="24"/>
          <w:szCs w:val="24"/>
          <w:lang w:val="ru-RU"/>
        </w:rPr>
        <w:t xml:space="preserve">Для подверженностей ритейл оценки коэффициентов конверсии должны основываться на данных, охватывающих период не менее пяти лет. При условии получения </w:t>
      </w:r>
      <w:r w:rsidR="00451C08" w:rsidRPr="00D43281">
        <w:rPr>
          <w:rFonts w:ascii="Times New Roman" w:hAnsi="Times New Roman" w:cs="Times New Roman"/>
          <w:color w:val="000000" w:themeColor="text1"/>
          <w:sz w:val="24"/>
          <w:szCs w:val="24"/>
          <w:lang w:val="ru-RU"/>
        </w:rPr>
        <w:t>разреш</w:t>
      </w:r>
      <w:r w:rsidRPr="00D43281">
        <w:rPr>
          <w:rFonts w:ascii="Times New Roman" w:hAnsi="Times New Roman" w:cs="Times New Roman"/>
          <w:color w:val="000000" w:themeColor="text1"/>
          <w:sz w:val="24"/>
          <w:szCs w:val="24"/>
          <w:lang w:val="ru-RU"/>
        </w:rPr>
        <w:t>ения Национального банка Молдовы при применении подхода IRB банки могут использовать соответствующие данные, охватывающие период в два года. Период, который должен быть охвачен, увеличивается на один год ежегодно, пока соответствующие данные не будут охватывать как минимум пять лет</w:t>
      </w:r>
      <w:r w:rsidR="000D7505" w:rsidRPr="00D43281">
        <w:rPr>
          <w:rFonts w:ascii="Times New Roman" w:hAnsi="Times New Roman" w:cs="Times New Roman"/>
          <w:color w:val="000000" w:themeColor="text1"/>
          <w:sz w:val="24"/>
          <w:szCs w:val="24"/>
          <w:lang w:val="ru-RU"/>
        </w:rPr>
        <w:t>.</w:t>
      </w:r>
      <w:bookmarkEnd w:id="163"/>
    </w:p>
    <w:p w14:paraId="19FBE296" w14:textId="6E5885D8" w:rsidR="001E5C52" w:rsidRPr="00D43281" w:rsidRDefault="001740BA" w:rsidP="001E5C52">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lastRenderedPageBreak/>
        <w:t>Подчасть</w:t>
      </w:r>
      <w:r w:rsidR="001E5C52" w:rsidRPr="00D43281">
        <w:rPr>
          <w:rFonts w:ascii="Times New Roman" w:hAnsi="Times New Roman" w:cs="Times New Roman"/>
          <w:b/>
          <w:bCs/>
          <w:i/>
          <w:iCs/>
          <w:color w:val="000000" w:themeColor="text1"/>
          <w:sz w:val="24"/>
          <w:szCs w:val="24"/>
          <w:lang w:val="ro-RO"/>
        </w:rPr>
        <w:t xml:space="preserve"> 5</w:t>
      </w:r>
    </w:p>
    <w:p w14:paraId="00674FCC" w14:textId="53A08A8A" w:rsidR="005C1433" w:rsidRPr="00D43281" w:rsidRDefault="005C1433" w:rsidP="001E5C52">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Требования к оценке эффективности нефинансового обеспечения кредит</w:t>
      </w:r>
      <w:r w:rsidR="00407021" w:rsidRPr="00D43281">
        <w:rPr>
          <w:rFonts w:ascii="Times New Roman" w:hAnsi="Times New Roman" w:cs="Times New Roman"/>
          <w:b/>
          <w:bCs/>
          <w:i/>
          <w:iCs/>
          <w:color w:val="000000" w:themeColor="text1"/>
          <w:sz w:val="24"/>
          <w:szCs w:val="24"/>
          <w:lang w:val="ru-RU"/>
        </w:rPr>
        <w:t>а</w:t>
      </w:r>
      <w:r w:rsidRPr="00D43281">
        <w:rPr>
          <w:rFonts w:ascii="Times New Roman" w:hAnsi="Times New Roman" w:cs="Times New Roman"/>
          <w:b/>
          <w:bCs/>
          <w:i/>
          <w:iCs/>
          <w:color w:val="000000" w:themeColor="text1"/>
          <w:sz w:val="24"/>
          <w:szCs w:val="24"/>
          <w:lang w:val="ru-RU"/>
        </w:rPr>
        <w:t xml:space="preserve"> для подверженностей перед </w:t>
      </w:r>
      <w:r w:rsidR="006C5FBF" w:rsidRPr="00D43281">
        <w:rPr>
          <w:rFonts w:ascii="Times New Roman" w:hAnsi="Times New Roman" w:cs="Times New Roman"/>
          <w:b/>
          <w:bCs/>
          <w:i/>
          <w:iCs/>
          <w:color w:val="000000" w:themeColor="text1"/>
          <w:sz w:val="24"/>
          <w:szCs w:val="24"/>
          <w:lang w:val="ru-RU"/>
        </w:rPr>
        <w:t xml:space="preserve">центральными администрациями и центральными банками, подверженностей перед региональными администрациями, местными </w:t>
      </w:r>
      <w:r w:rsidR="00407021" w:rsidRPr="00D43281">
        <w:rPr>
          <w:rFonts w:ascii="Times New Roman" w:hAnsi="Times New Roman" w:cs="Times New Roman"/>
          <w:b/>
          <w:bCs/>
          <w:i/>
          <w:iCs/>
          <w:color w:val="000000" w:themeColor="text1"/>
          <w:sz w:val="24"/>
          <w:szCs w:val="24"/>
          <w:lang w:val="ru-RU"/>
        </w:rPr>
        <w:t>органами и</w:t>
      </w:r>
      <w:r w:rsidR="006C5FBF" w:rsidRPr="00D43281">
        <w:rPr>
          <w:rFonts w:ascii="Times New Roman" w:hAnsi="Times New Roman" w:cs="Times New Roman"/>
          <w:b/>
          <w:bCs/>
          <w:i/>
          <w:iCs/>
          <w:color w:val="000000" w:themeColor="text1"/>
          <w:sz w:val="24"/>
          <w:szCs w:val="24"/>
          <w:lang w:val="ru-RU"/>
        </w:rPr>
        <w:t xml:space="preserve"> субъектами публичного сектора </w:t>
      </w:r>
      <w:r w:rsidR="005201F2" w:rsidRPr="00D43281">
        <w:rPr>
          <w:rFonts w:ascii="Times New Roman" w:hAnsi="Times New Roman" w:cs="Times New Roman"/>
          <w:b/>
          <w:bCs/>
          <w:i/>
          <w:iCs/>
          <w:color w:val="000000" w:themeColor="text1"/>
          <w:sz w:val="24"/>
          <w:szCs w:val="24"/>
          <w:lang w:val="ru-RU"/>
        </w:rPr>
        <w:t xml:space="preserve">и подверженностей перед </w:t>
      </w:r>
      <w:r w:rsidR="00407021" w:rsidRPr="00D43281">
        <w:rPr>
          <w:rFonts w:ascii="Times New Roman" w:hAnsi="Times New Roman" w:cs="Times New Roman"/>
          <w:b/>
          <w:bCs/>
          <w:i/>
          <w:iCs/>
          <w:color w:val="000000" w:themeColor="text1"/>
          <w:sz w:val="24"/>
          <w:szCs w:val="24"/>
          <w:lang w:val="ru-RU"/>
        </w:rPr>
        <w:t>обществами, в</w:t>
      </w:r>
      <w:r w:rsidRPr="00D43281">
        <w:rPr>
          <w:rFonts w:ascii="Times New Roman" w:hAnsi="Times New Roman" w:cs="Times New Roman"/>
          <w:b/>
          <w:bCs/>
          <w:i/>
          <w:iCs/>
          <w:color w:val="000000" w:themeColor="text1"/>
          <w:sz w:val="24"/>
          <w:szCs w:val="24"/>
          <w:lang w:val="ru-RU"/>
        </w:rPr>
        <w:t xml:space="preserve"> отношении которых используются собственные оценки убытка в случае </w:t>
      </w:r>
      <w:r w:rsidR="005201F2" w:rsidRPr="00D43281">
        <w:rPr>
          <w:rFonts w:ascii="Times New Roman" w:hAnsi="Times New Roman" w:cs="Times New Roman"/>
          <w:b/>
          <w:bCs/>
          <w:i/>
          <w:iCs/>
          <w:color w:val="000000" w:themeColor="text1"/>
          <w:sz w:val="24"/>
          <w:szCs w:val="24"/>
          <w:lang w:val="ru-RU"/>
        </w:rPr>
        <w:t>невозврата</w:t>
      </w:r>
      <w:r w:rsidRPr="00D43281">
        <w:rPr>
          <w:rFonts w:ascii="Times New Roman" w:hAnsi="Times New Roman" w:cs="Times New Roman"/>
          <w:b/>
          <w:bCs/>
          <w:i/>
          <w:iCs/>
          <w:color w:val="000000" w:themeColor="text1"/>
          <w:sz w:val="24"/>
          <w:szCs w:val="24"/>
          <w:lang w:val="ru-RU"/>
        </w:rPr>
        <w:t xml:space="preserve">, </w:t>
      </w:r>
      <w:r w:rsidR="00407021" w:rsidRPr="00D43281">
        <w:rPr>
          <w:rFonts w:ascii="Times New Roman" w:hAnsi="Times New Roman" w:cs="Times New Roman"/>
          <w:b/>
          <w:bCs/>
          <w:i/>
          <w:iCs/>
          <w:color w:val="000000" w:themeColor="text1"/>
          <w:sz w:val="24"/>
          <w:szCs w:val="24"/>
          <w:lang w:val="ru-RU"/>
        </w:rPr>
        <w:t>а также для подверженностей ритейл</w:t>
      </w:r>
    </w:p>
    <w:p w14:paraId="68B1C16A" w14:textId="619A2A50" w:rsidR="00516F10" w:rsidRPr="00D43281" w:rsidRDefault="0096778B" w:rsidP="00786EE0">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64" w:name="_Ref215298820"/>
      <w:r w:rsidRPr="00D43281">
        <w:rPr>
          <w:rFonts w:ascii="Times New Roman" w:hAnsi="Times New Roman" w:cs="Times New Roman"/>
          <w:color w:val="000000" w:themeColor="text1"/>
          <w:sz w:val="24"/>
          <w:szCs w:val="24"/>
          <w:lang w:val="ru-RU"/>
        </w:rPr>
        <w:t>В отношении приемлемых гарантов (поставщиков защиты) и приемлемых гарантий применяются следующие требования</w:t>
      </w:r>
      <w:r w:rsidR="00516F10" w:rsidRPr="00D43281">
        <w:rPr>
          <w:rFonts w:ascii="Times New Roman" w:hAnsi="Times New Roman" w:cs="Times New Roman"/>
          <w:color w:val="000000" w:themeColor="text1"/>
          <w:sz w:val="24"/>
          <w:szCs w:val="24"/>
          <w:lang w:val="ru-RU"/>
        </w:rPr>
        <w:t>:</w:t>
      </w:r>
      <w:bookmarkEnd w:id="164"/>
    </w:p>
    <w:p w14:paraId="28B363A8" w14:textId="15A92216" w:rsidR="00516F10" w:rsidRPr="00D43281" w:rsidRDefault="002F0364" w:rsidP="002873C8">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Банки должны иметь четко определенные критерии в отношении типов гарантов, которых они признают для целей расчета взвешенных по риску сумм подверженностей</w:t>
      </w:r>
      <w:r w:rsidR="00516F10" w:rsidRPr="00D43281">
        <w:rPr>
          <w:rFonts w:ascii="Times New Roman" w:hAnsi="Times New Roman" w:cs="Times New Roman"/>
          <w:color w:val="000000" w:themeColor="text1"/>
          <w:sz w:val="24"/>
          <w:szCs w:val="24"/>
          <w:lang w:val="ru-RU"/>
        </w:rPr>
        <w:t>;</w:t>
      </w:r>
    </w:p>
    <w:p w14:paraId="7B65F623" w14:textId="3C1715B6" w:rsidR="005251FE" w:rsidRPr="00D43281" w:rsidRDefault="002F0364" w:rsidP="005251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К признаваемым гарантиям применяются те же правила, что и к дебиторам, предусмотренные в пунктах 168–170, 171–175 и 176–177</w:t>
      </w:r>
      <w:r w:rsidR="00516F10" w:rsidRPr="00D43281">
        <w:rPr>
          <w:rFonts w:ascii="Times New Roman" w:hAnsi="Times New Roman" w:cs="Times New Roman"/>
          <w:color w:val="000000" w:themeColor="text1"/>
          <w:sz w:val="24"/>
          <w:szCs w:val="24"/>
          <w:lang w:val="ru-RU"/>
        </w:rPr>
        <w:t>;</w:t>
      </w:r>
    </w:p>
    <w:p w14:paraId="574ECED2" w14:textId="510BC635" w:rsidR="005251FE" w:rsidRPr="00D43281" w:rsidRDefault="002F0364" w:rsidP="005251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Гарантия оформлена в письменном виде, не отзывается и не изменяется гарантом, действует до полного исполнения обязательства в соответствии с суммой и сроком действия гарантии и подлежит принудительному исполнению в отношении гаранта в юрисдикции, в которой у него имеются активы, подлежащие принудительному взысканию по решению суда</w:t>
      </w:r>
      <w:r w:rsidR="00516F10" w:rsidRPr="00D43281">
        <w:rPr>
          <w:rFonts w:ascii="Times New Roman" w:hAnsi="Times New Roman" w:cs="Times New Roman"/>
          <w:color w:val="000000" w:themeColor="text1"/>
          <w:sz w:val="24"/>
          <w:szCs w:val="24"/>
          <w:lang w:val="ru-RU"/>
        </w:rPr>
        <w:t>;</w:t>
      </w:r>
    </w:p>
    <w:p w14:paraId="1B8753EE" w14:textId="1899AB8E" w:rsidR="00516F10" w:rsidRPr="00D43281" w:rsidRDefault="00BC2FD6" w:rsidP="005251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bookmarkStart w:id="165" w:name="_Ref215298058"/>
      <w:r w:rsidRPr="00D43281">
        <w:rPr>
          <w:rFonts w:ascii="Times New Roman" w:hAnsi="Times New Roman" w:cs="Times New Roman"/>
          <w:color w:val="000000" w:themeColor="text1"/>
          <w:sz w:val="24"/>
          <w:szCs w:val="24"/>
          <w:lang w:val="ru-RU"/>
        </w:rPr>
        <w:t>Гарантия является безусловной</w:t>
      </w:r>
      <w:r w:rsidR="00516F10" w:rsidRPr="00D43281">
        <w:rPr>
          <w:rFonts w:ascii="Times New Roman" w:hAnsi="Times New Roman" w:cs="Times New Roman"/>
          <w:color w:val="000000" w:themeColor="text1"/>
          <w:sz w:val="24"/>
          <w:szCs w:val="24"/>
          <w:lang w:val="ru-RU"/>
        </w:rPr>
        <w:t>.</w:t>
      </w:r>
      <w:bookmarkEnd w:id="165"/>
    </w:p>
    <w:p w14:paraId="28D6D515" w14:textId="6ACD9770" w:rsidR="00516F10" w:rsidRPr="00D43281" w:rsidRDefault="0012287C" w:rsidP="00786EE0">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 смысле подпункта 22</w:t>
      </w:r>
      <w:r w:rsidR="00324670">
        <w:rPr>
          <w:rFonts w:ascii="Times New Roman" w:hAnsi="Times New Roman" w:cs="Times New Roman"/>
          <w:color w:val="000000" w:themeColor="text1"/>
          <w:sz w:val="24"/>
          <w:szCs w:val="24"/>
          <w:lang w:val="ro-RO"/>
        </w:rPr>
        <w:t>0</w:t>
      </w:r>
      <w:r w:rsidRPr="00D43281">
        <w:rPr>
          <w:rFonts w:ascii="Times New Roman" w:hAnsi="Times New Roman" w:cs="Times New Roman"/>
          <w:color w:val="000000" w:themeColor="text1"/>
          <w:sz w:val="24"/>
          <w:szCs w:val="24"/>
          <w:lang w:val="ru-RU"/>
        </w:rPr>
        <w:t>.4 «безусловная гарантия» означает гарантию, в случае которой договор о защите кредита не содержит никаких условий, выполнение которых находится вне прямого контроля кредитующего банка и которые могли бы освободить гаранта от обязательства своевременно произвести выплату в случае виновного неисполнения договорных обязательств должником или в случае, если первоначальный должник не производит оплату в срок. Положение договора о защите кредита, предусматривающее, что ненадлежащее выполнение обязательства по проявлению должной осмотрительности или мошенничество со стороны кредитующего банка аннулирует или уменьшает степень покрытия гарантии, предоставленной гарантом, не препятствует признанию данной гарантии безусловной</w:t>
      </w:r>
      <w:r w:rsidR="00516F10" w:rsidRPr="00D43281">
        <w:rPr>
          <w:rFonts w:ascii="Times New Roman" w:hAnsi="Times New Roman" w:cs="Times New Roman"/>
          <w:color w:val="000000" w:themeColor="text1"/>
          <w:sz w:val="24"/>
          <w:szCs w:val="24"/>
          <w:lang w:val="ru-RU"/>
        </w:rPr>
        <w:t>.</w:t>
      </w:r>
    </w:p>
    <w:p w14:paraId="63F0AD35" w14:textId="318028A2" w:rsidR="00516F10" w:rsidRPr="00D43281" w:rsidRDefault="00ED451D" w:rsidP="005251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66" w:name="_Ref215298829"/>
      <w:r w:rsidRPr="00D43281">
        <w:rPr>
          <w:rFonts w:ascii="Times New Roman" w:hAnsi="Times New Roman" w:cs="Times New Roman"/>
          <w:color w:val="000000" w:themeColor="text1"/>
          <w:sz w:val="24"/>
          <w:szCs w:val="24"/>
          <w:lang w:val="ru-RU"/>
        </w:rPr>
        <w:t>Гарантии, при которых выплата гарантом обусловлена обязательством кредитующего банка предварительно предъявить претензии должнику и которые покрывают только убытки, оставшиеся после завершения банком процесса реструктуризации, считаются безусловными</w:t>
      </w:r>
      <w:r w:rsidR="00516F10" w:rsidRPr="00D43281">
        <w:rPr>
          <w:rFonts w:ascii="Times New Roman" w:hAnsi="Times New Roman" w:cs="Times New Roman"/>
          <w:color w:val="000000" w:themeColor="text1"/>
          <w:sz w:val="24"/>
          <w:szCs w:val="24"/>
          <w:lang w:val="ru-RU"/>
        </w:rPr>
        <w:t>.</w:t>
      </w:r>
      <w:bookmarkEnd w:id="166"/>
    </w:p>
    <w:p w14:paraId="1EB7D636" w14:textId="354F43A7" w:rsidR="00516F10" w:rsidRPr="00D43281" w:rsidRDefault="002026F0" w:rsidP="00C82DB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RU"/>
        </w:rPr>
        <w:t>Банки могут учитывать нефинансовую защиту кредита, используя либо подход, основанный на моделировании корректировки PD/LGD, в соответствии с настоящей частью и при условии выполнения требования, предусмотренного в пункте 2</w:t>
      </w:r>
      <w:r w:rsidR="00324670">
        <w:rPr>
          <w:rFonts w:ascii="Times New Roman" w:hAnsi="Times New Roman" w:cs="Times New Roman"/>
          <w:color w:val="000000" w:themeColor="text1"/>
          <w:sz w:val="24"/>
          <w:szCs w:val="24"/>
          <w:lang w:val="ro-RO"/>
        </w:rPr>
        <w:t>29</w:t>
      </w:r>
      <w:r w:rsidRPr="00D43281">
        <w:rPr>
          <w:rFonts w:ascii="Times New Roman" w:hAnsi="Times New Roman" w:cs="Times New Roman"/>
          <w:color w:val="000000" w:themeColor="text1"/>
          <w:sz w:val="24"/>
          <w:szCs w:val="24"/>
          <w:lang w:val="ru-RU"/>
        </w:rPr>
        <w:t xml:space="preserve">, либо подход, заключающийся в замене параметров риска на основе A-IRB, в соответствии с расчетом взвешенных по риску сумм </w:t>
      </w:r>
      <w:r w:rsidR="00B32C07" w:rsidRPr="00D43281">
        <w:rPr>
          <w:rFonts w:ascii="Times New Roman" w:hAnsi="Times New Roman" w:cs="Times New Roman"/>
          <w:color w:val="000000" w:themeColor="text1"/>
          <w:sz w:val="24"/>
          <w:szCs w:val="24"/>
          <w:lang w:val="ru-RU"/>
        </w:rPr>
        <w:t>подверженностей</w:t>
      </w:r>
      <w:r w:rsidRPr="00D43281">
        <w:rPr>
          <w:rFonts w:ascii="Times New Roman" w:hAnsi="Times New Roman" w:cs="Times New Roman"/>
          <w:color w:val="000000" w:themeColor="text1"/>
          <w:sz w:val="24"/>
          <w:szCs w:val="24"/>
          <w:lang w:val="ru-RU"/>
        </w:rPr>
        <w:t xml:space="preserve"> и сумм ожидаемых убытков в соответствии с методом замещения, когда гарантированная подверженность обрабатывается в соответствии с подходом IRB с использованием собственных оценок LGD, а сопоставимая прямая позиция по отношению к поставщику защиты обрабатывается в соответствии с подходом IRB, предусмотренным Регламентом № 112/2018, при условии соблюдения требований приемлемости, установленных Регламентом № 112/2018. Банки должны иметь четкие политики оценки влияния нефинансовой кредитной защиты на параметры риска. Политики банков соответствуют их внутренней практике управления рисками и отражают требования настоящей подчасти. Указанные политики четко определяют, какие из конкретных методов, описанных в настоящем пункте, используются для каждой рейтинговой системы, и банки </w:t>
      </w:r>
      <w:r w:rsidRPr="00D43281">
        <w:rPr>
          <w:rFonts w:ascii="Times New Roman" w:hAnsi="Times New Roman" w:cs="Times New Roman"/>
          <w:color w:val="000000" w:themeColor="text1"/>
          <w:sz w:val="24"/>
          <w:szCs w:val="24"/>
          <w:lang w:val="ru-MD"/>
        </w:rPr>
        <w:t>последовательно применяют эти политики на протяжении времени</w:t>
      </w:r>
      <w:r w:rsidR="00516F10" w:rsidRPr="00D43281">
        <w:rPr>
          <w:rFonts w:ascii="Times New Roman" w:hAnsi="Times New Roman" w:cs="Times New Roman"/>
          <w:color w:val="000000" w:themeColor="text1"/>
          <w:sz w:val="24"/>
          <w:szCs w:val="24"/>
          <w:lang w:val="ru-MD"/>
        </w:rPr>
        <w:t>.</w:t>
      </w:r>
    </w:p>
    <w:p w14:paraId="301BF7D5" w14:textId="0983A954" w:rsidR="00516F10" w:rsidRPr="00D43281" w:rsidRDefault="002C7167" w:rsidP="005251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67" w:name="_Ref215298842"/>
      <w:r w:rsidRPr="00D43281">
        <w:rPr>
          <w:rFonts w:ascii="Times New Roman" w:hAnsi="Times New Roman" w:cs="Times New Roman"/>
          <w:color w:val="000000" w:themeColor="text1"/>
          <w:sz w:val="24"/>
          <w:szCs w:val="24"/>
          <w:lang w:val="ru-MD"/>
        </w:rPr>
        <w:t xml:space="preserve">Банк должен иметь четко определенные критерии в отношении корректировки рейтинговых классов, групп риска или оценок убытка в случае невозврата, а также, в случае </w:t>
      </w:r>
      <w:r w:rsidRPr="00D43281">
        <w:rPr>
          <w:rFonts w:ascii="Times New Roman" w:hAnsi="Times New Roman" w:cs="Times New Roman"/>
          <w:color w:val="000000" w:themeColor="text1"/>
          <w:sz w:val="24"/>
          <w:szCs w:val="24"/>
          <w:lang w:val="ru-MD"/>
        </w:rPr>
        <w:lastRenderedPageBreak/>
        <w:t>розничных требований и приобретенных приемлемых требований, в отношении процесса отнесения позиций к рейтинговым классам или группам риска, с целью отражения влияния гарантий на расчет взвешенных по риску сумм подверженностей. Эти критерии соответствуют требованиям, изложенным в пунктах 168–170, 171–175 и 176–177</w:t>
      </w:r>
      <w:r w:rsidR="00516F10" w:rsidRPr="00D43281">
        <w:rPr>
          <w:rFonts w:ascii="Times New Roman" w:hAnsi="Times New Roman" w:cs="Times New Roman"/>
          <w:color w:val="000000" w:themeColor="text1"/>
          <w:sz w:val="24"/>
          <w:szCs w:val="24"/>
          <w:lang w:val="ru-MD"/>
        </w:rPr>
        <w:t>.</w:t>
      </w:r>
      <w:bookmarkEnd w:id="167"/>
    </w:p>
    <w:p w14:paraId="3BFF65D8" w14:textId="36D66E38" w:rsidR="00516F10" w:rsidRPr="00D43281" w:rsidRDefault="002C7167" w:rsidP="005251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68" w:name="_Ref215298850"/>
      <w:r w:rsidRPr="00D43281">
        <w:rPr>
          <w:rFonts w:ascii="Times New Roman" w:hAnsi="Times New Roman" w:cs="Times New Roman"/>
          <w:color w:val="000000" w:themeColor="text1"/>
          <w:sz w:val="24"/>
          <w:szCs w:val="24"/>
          <w:lang w:val="ru-MD"/>
        </w:rPr>
        <w:t>Критерии должны быть обоснованными и интуитивно понятными. Они должны учитывать способность и готовность гаранта выполнить свои обязательства в соответствии с условиями гарантии, вероятные сроки любых выплат, производимых гарантом, степень взаимосвязи между способностью гаранта выполнить свои обязательства в рамках гарантии и платежеспособностью должника, а также уровень, на котором сохраняется остаточный риск в отношении должника</w:t>
      </w:r>
      <w:r w:rsidR="00516F10" w:rsidRPr="00D43281">
        <w:rPr>
          <w:rFonts w:ascii="Times New Roman" w:hAnsi="Times New Roman" w:cs="Times New Roman"/>
          <w:color w:val="000000" w:themeColor="text1"/>
          <w:sz w:val="24"/>
          <w:szCs w:val="24"/>
          <w:lang w:val="ru-MD"/>
        </w:rPr>
        <w:t>.</w:t>
      </w:r>
      <w:bookmarkEnd w:id="168"/>
    </w:p>
    <w:p w14:paraId="340FF755" w14:textId="218ED89D" w:rsidR="00516F10" w:rsidRPr="00D43281" w:rsidRDefault="00FA4B0D" w:rsidP="005251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69" w:name="_Ref215298591"/>
      <w:r w:rsidRPr="00D43281">
        <w:rPr>
          <w:rFonts w:ascii="Times New Roman" w:hAnsi="Times New Roman" w:cs="Times New Roman"/>
          <w:color w:val="000000" w:themeColor="text1"/>
          <w:sz w:val="24"/>
          <w:szCs w:val="24"/>
          <w:lang w:val="ru-RU"/>
        </w:rPr>
        <w:t>Требования, предусмотренные в настоящей части в отношении личных гарантий, применяются также к кредитным производным финансовым инструментам, основанным на одной подписи. В случае несоответствия между обязательством, пользующимся защитой, и базовым обязательством, являющимся предметом кредитного производного финансового инструмента, или между обязательством, пользующимся защитой, и обязательством, используемым для определения наступления кредитного события, применяются требования, предусмотренные пунктом 64 Регламента № 112/2018. В случае подверженностей ритейл и приемлемых приобретенных требований пункты 22</w:t>
      </w:r>
      <w:r w:rsidR="007B4AB3">
        <w:rPr>
          <w:rFonts w:ascii="Times New Roman" w:hAnsi="Times New Roman" w:cs="Times New Roman"/>
          <w:color w:val="000000" w:themeColor="text1"/>
          <w:sz w:val="24"/>
          <w:szCs w:val="24"/>
          <w:lang w:val="ro-RO"/>
        </w:rPr>
        <w:t>6</w:t>
      </w:r>
      <w:r w:rsidRPr="00D43281">
        <w:rPr>
          <w:rFonts w:ascii="Times New Roman" w:hAnsi="Times New Roman" w:cs="Times New Roman"/>
          <w:color w:val="000000" w:themeColor="text1"/>
          <w:sz w:val="24"/>
          <w:szCs w:val="24"/>
          <w:lang w:val="ru-RU"/>
        </w:rPr>
        <w:t>–2</w:t>
      </w:r>
      <w:r w:rsidR="007B4AB3">
        <w:rPr>
          <w:rFonts w:ascii="Times New Roman" w:hAnsi="Times New Roman" w:cs="Times New Roman"/>
          <w:color w:val="000000" w:themeColor="text1"/>
          <w:sz w:val="24"/>
          <w:szCs w:val="24"/>
          <w:lang w:val="ro-RO"/>
        </w:rPr>
        <w:t>28</w:t>
      </w:r>
      <w:r w:rsidRPr="00D43281">
        <w:rPr>
          <w:rFonts w:ascii="Times New Roman" w:hAnsi="Times New Roman" w:cs="Times New Roman"/>
          <w:color w:val="000000" w:themeColor="text1"/>
          <w:sz w:val="24"/>
          <w:szCs w:val="24"/>
          <w:lang w:val="ru-RU"/>
        </w:rPr>
        <w:t xml:space="preserve"> применяются к процессу отнесения рисков к рейтинговым классам или группам риска</w:t>
      </w:r>
      <w:r w:rsidR="00516F10" w:rsidRPr="00D43281">
        <w:rPr>
          <w:rFonts w:ascii="Times New Roman" w:hAnsi="Times New Roman" w:cs="Times New Roman"/>
          <w:color w:val="000000" w:themeColor="text1"/>
          <w:sz w:val="24"/>
          <w:szCs w:val="24"/>
          <w:lang w:val="ru-RU"/>
        </w:rPr>
        <w:t>.</w:t>
      </w:r>
      <w:bookmarkEnd w:id="169"/>
    </w:p>
    <w:p w14:paraId="761CEA55" w14:textId="51290F1B" w:rsidR="00287AE5" w:rsidRPr="00D43281" w:rsidRDefault="00FA4B0D" w:rsidP="00287AE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Критерии должны учитывать структуру платежей по кредитному производном финансовому инструменту и с осторожностью оценивать её влияние на уровень и график взыскания задолженности. Банк должен учитывать, в какой степени сохраняются другие формы остаточного риска</w:t>
      </w:r>
      <w:r w:rsidR="00516F10" w:rsidRPr="00D43281">
        <w:rPr>
          <w:rFonts w:ascii="Times New Roman" w:hAnsi="Times New Roman" w:cs="Times New Roman"/>
          <w:color w:val="000000" w:themeColor="text1"/>
          <w:sz w:val="24"/>
          <w:szCs w:val="24"/>
          <w:lang w:val="ru-RU"/>
        </w:rPr>
        <w:t>.</w:t>
      </w:r>
    </w:p>
    <w:p w14:paraId="7CE93510" w14:textId="37DE39A0" w:rsidR="00516F10" w:rsidRPr="00D43281" w:rsidRDefault="00535F55" w:rsidP="00287AE5">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70" w:name="_Ref215298605"/>
      <w:r w:rsidRPr="00D43281">
        <w:rPr>
          <w:rFonts w:ascii="Times New Roman" w:hAnsi="Times New Roman" w:cs="Times New Roman"/>
          <w:color w:val="000000" w:themeColor="text1"/>
          <w:sz w:val="24"/>
          <w:szCs w:val="24"/>
          <w:lang w:val="ru-RU"/>
        </w:rPr>
        <w:t>Кредитные производные финансовые инструменты типа «первый дефолт» (</w:t>
      </w:r>
      <w:r w:rsidRPr="000A6D01">
        <w:rPr>
          <w:rFonts w:ascii="Times New Roman" w:hAnsi="Times New Roman" w:cs="Times New Roman"/>
          <w:color w:val="000000" w:themeColor="text1"/>
          <w:sz w:val="24"/>
          <w:szCs w:val="24"/>
          <w:lang w:val="en-GB"/>
        </w:rPr>
        <w:t>first</w:t>
      </w:r>
      <w:r w:rsidRPr="00BB1E28">
        <w:rPr>
          <w:rFonts w:ascii="Times New Roman" w:hAnsi="Times New Roman" w:cs="Times New Roman"/>
          <w:color w:val="000000" w:themeColor="text1"/>
          <w:sz w:val="24"/>
          <w:szCs w:val="24"/>
          <w:lang w:val="ru-RU"/>
        </w:rPr>
        <w:t>-</w:t>
      </w:r>
      <w:r w:rsidRPr="000A6D01">
        <w:rPr>
          <w:rFonts w:ascii="Times New Roman" w:hAnsi="Times New Roman" w:cs="Times New Roman"/>
          <w:color w:val="000000" w:themeColor="text1"/>
          <w:sz w:val="24"/>
          <w:szCs w:val="24"/>
          <w:lang w:val="en-GB"/>
        </w:rPr>
        <w:t>to</w:t>
      </w:r>
      <w:r w:rsidRPr="00BB1E28">
        <w:rPr>
          <w:rFonts w:ascii="Times New Roman" w:hAnsi="Times New Roman" w:cs="Times New Roman"/>
          <w:color w:val="000000" w:themeColor="text1"/>
          <w:sz w:val="24"/>
          <w:szCs w:val="24"/>
          <w:lang w:val="ru-RU"/>
        </w:rPr>
        <w:t>-</w:t>
      </w:r>
      <w:r w:rsidRPr="000A6D01">
        <w:rPr>
          <w:rFonts w:ascii="Times New Roman" w:hAnsi="Times New Roman" w:cs="Times New Roman"/>
          <w:color w:val="000000" w:themeColor="text1"/>
          <w:sz w:val="24"/>
          <w:szCs w:val="24"/>
          <w:lang w:val="en-GB"/>
        </w:rPr>
        <w:t>default</w:t>
      </w:r>
      <w:r w:rsidRPr="00D43281">
        <w:rPr>
          <w:rFonts w:ascii="Times New Roman" w:hAnsi="Times New Roman" w:cs="Times New Roman"/>
          <w:color w:val="000000" w:themeColor="text1"/>
          <w:sz w:val="24"/>
          <w:szCs w:val="24"/>
          <w:lang w:val="ru-RU"/>
        </w:rPr>
        <w:t>) могут признаваться в качестве приемлемой нефинансовой защиты от кредитного риска. Тем не менее, кредитные производные финансовые инструменты типа «второй по дефолту» (</w:t>
      </w:r>
      <w:r w:rsidRPr="000A6D01">
        <w:rPr>
          <w:rFonts w:ascii="Times New Roman" w:hAnsi="Times New Roman" w:cs="Times New Roman"/>
          <w:color w:val="000000" w:themeColor="text1"/>
          <w:sz w:val="24"/>
          <w:szCs w:val="24"/>
          <w:lang w:val="en-GB"/>
        </w:rPr>
        <w:t>second</w:t>
      </w:r>
      <w:r w:rsidRPr="00BB1E28">
        <w:rPr>
          <w:rFonts w:ascii="Times New Roman" w:hAnsi="Times New Roman" w:cs="Times New Roman"/>
          <w:color w:val="000000" w:themeColor="text1"/>
          <w:sz w:val="24"/>
          <w:szCs w:val="24"/>
          <w:lang w:val="ru-RU"/>
        </w:rPr>
        <w:t>-</w:t>
      </w:r>
      <w:r w:rsidRPr="000A6D01">
        <w:rPr>
          <w:rFonts w:ascii="Times New Roman" w:hAnsi="Times New Roman" w:cs="Times New Roman"/>
          <w:color w:val="000000" w:themeColor="text1"/>
          <w:sz w:val="24"/>
          <w:szCs w:val="24"/>
          <w:lang w:val="en-GB"/>
        </w:rPr>
        <w:t>to</w:t>
      </w:r>
      <w:r w:rsidRPr="00BB1E28">
        <w:rPr>
          <w:rFonts w:ascii="Times New Roman" w:hAnsi="Times New Roman" w:cs="Times New Roman"/>
          <w:color w:val="000000" w:themeColor="text1"/>
          <w:sz w:val="24"/>
          <w:szCs w:val="24"/>
          <w:lang w:val="ru-RU"/>
        </w:rPr>
        <w:t>-</w:t>
      </w:r>
      <w:r w:rsidRPr="000A6D01">
        <w:rPr>
          <w:rFonts w:ascii="Times New Roman" w:hAnsi="Times New Roman" w:cs="Times New Roman"/>
          <w:color w:val="000000" w:themeColor="text1"/>
          <w:sz w:val="24"/>
          <w:szCs w:val="24"/>
          <w:lang w:val="en-GB"/>
        </w:rPr>
        <w:t>default</w:t>
      </w:r>
      <w:r w:rsidRPr="00D43281">
        <w:rPr>
          <w:rFonts w:ascii="Times New Roman" w:hAnsi="Times New Roman" w:cs="Times New Roman"/>
          <w:color w:val="000000" w:themeColor="text1"/>
          <w:sz w:val="24"/>
          <w:szCs w:val="24"/>
          <w:lang w:val="ru-RU"/>
        </w:rPr>
        <w:t>) и все прочие кредитные производные финансовые инструменты типа «n-й по дефолту» (</w:t>
      </w:r>
      <w:r w:rsidRPr="000A6D01">
        <w:rPr>
          <w:rFonts w:ascii="Times New Roman" w:hAnsi="Times New Roman" w:cs="Times New Roman"/>
          <w:color w:val="000000" w:themeColor="text1"/>
          <w:sz w:val="24"/>
          <w:szCs w:val="24"/>
          <w:lang w:val="en-GB"/>
        </w:rPr>
        <w:t>nth</w:t>
      </w:r>
      <w:r w:rsidRPr="00BB1E28">
        <w:rPr>
          <w:rFonts w:ascii="Times New Roman" w:hAnsi="Times New Roman" w:cs="Times New Roman"/>
          <w:color w:val="000000" w:themeColor="text1"/>
          <w:sz w:val="24"/>
          <w:szCs w:val="24"/>
          <w:lang w:val="ru-RU"/>
        </w:rPr>
        <w:t>-</w:t>
      </w:r>
      <w:r w:rsidRPr="000A6D01">
        <w:rPr>
          <w:rFonts w:ascii="Times New Roman" w:hAnsi="Times New Roman" w:cs="Times New Roman"/>
          <w:color w:val="000000" w:themeColor="text1"/>
          <w:sz w:val="24"/>
          <w:szCs w:val="24"/>
          <w:lang w:val="en-GB"/>
        </w:rPr>
        <w:t>to</w:t>
      </w:r>
      <w:r w:rsidRPr="00BB1E28">
        <w:rPr>
          <w:rFonts w:ascii="Times New Roman" w:hAnsi="Times New Roman" w:cs="Times New Roman"/>
          <w:color w:val="000000" w:themeColor="text1"/>
          <w:sz w:val="24"/>
          <w:szCs w:val="24"/>
          <w:lang w:val="ru-RU"/>
        </w:rPr>
        <w:t>-</w:t>
      </w:r>
      <w:r w:rsidRPr="000A6D01">
        <w:rPr>
          <w:rFonts w:ascii="Times New Roman" w:hAnsi="Times New Roman" w:cs="Times New Roman"/>
          <w:color w:val="000000" w:themeColor="text1"/>
          <w:sz w:val="24"/>
          <w:szCs w:val="24"/>
          <w:lang w:val="en-GB"/>
        </w:rPr>
        <w:t>default</w:t>
      </w:r>
      <w:r w:rsidRPr="00D43281">
        <w:rPr>
          <w:rFonts w:ascii="Times New Roman" w:hAnsi="Times New Roman" w:cs="Times New Roman"/>
          <w:color w:val="000000" w:themeColor="text1"/>
          <w:sz w:val="24"/>
          <w:szCs w:val="24"/>
          <w:lang w:val="ru-RU"/>
        </w:rPr>
        <w:t>) не признаются в качестве приемлемых форм нефинансовой защиты от кредитного риска</w:t>
      </w:r>
      <w:r w:rsidR="00516F10" w:rsidRPr="00D43281">
        <w:rPr>
          <w:rFonts w:ascii="Times New Roman" w:hAnsi="Times New Roman" w:cs="Times New Roman"/>
          <w:color w:val="000000" w:themeColor="text1"/>
          <w:sz w:val="24"/>
          <w:szCs w:val="24"/>
          <w:lang w:val="ru-RU"/>
        </w:rPr>
        <w:t>.</w:t>
      </w:r>
      <w:bookmarkEnd w:id="170"/>
    </w:p>
    <w:p w14:paraId="3B428959" w14:textId="7631900A" w:rsidR="00516F10" w:rsidRPr="00D43281" w:rsidRDefault="00F62619" w:rsidP="005251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71" w:name="_Ref215507988"/>
      <w:r w:rsidRPr="00D43281">
        <w:rPr>
          <w:rFonts w:ascii="Times New Roman" w:hAnsi="Times New Roman" w:cs="Times New Roman"/>
          <w:color w:val="000000" w:themeColor="text1"/>
          <w:sz w:val="24"/>
          <w:szCs w:val="24"/>
          <w:lang w:val="ru-RU"/>
        </w:rPr>
        <w:t>В случае если банки учитывают нефинансовую защиту кредита с помощью подхода, основанного на моделировании корректировки PD/LGD, гарантированной части базовой подверженности не присваивается весовой коэффициент риска, который был бы ниже порогового значения весового коэффициента риска для поставщика защиты. С этой целью порог весового коэффициента риска для поставщика защиты рассчитывается с использованием той же вероятности невозврата, того же убытка в случае невозврата и той же функции весового коэффициента риска, что и те, которые применяются в случае сопоставимой прямой позиции по отношению к поставщику защиты, как указано в положениях, касающихся расчета взвешенных по риску сумм подверженностей и сумм ожидаемых убытков в соответствии с методом замещения, когда гарантированная рисковая позиция рассматривается в соответствии с подходом IRB с использованием собственных оценок LGD, а сопоставимая прямая подверженность перед поставщиком защиты рассматривается в соответствии с подходом IRB, предусмотренным Регламентом № 112/2018</w:t>
      </w:r>
      <w:r w:rsidR="00516F10" w:rsidRPr="00D43281">
        <w:rPr>
          <w:rFonts w:ascii="Times New Roman" w:hAnsi="Times New Roman" w:cs="Times New Roman"/>
          <w:color w:val="000000" w:themeColor="text1"/>
          <w:sz w:val="24"/>
          <w:szCs w:val="24"/>
          <w:lang w:val="ru-RU"/>
        </w:rPr>
        <w:t>.</w:t>
      </w:r>
      <w:bookmarkEnd w:id="171"/>
    </w:p>
    <w:p w14:paraId="076BA03C" w14:textId="38DC1F2D" w:rsidR="00D55B17" w:rsidRPr="00D43281" w:rsidRDefault="00FD0A26" w:rsidP="0005507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72" w:name="_Ref215504514"/>
      <w:r w:rsidRPr="00D43281">
        <w:rPr>
          <w:rFonts w:ascii="Times New Roman" w:hAnsi="Times New Roman" w:cs="Times New Roman"/>
          <w:color w:val="000000" w:themeColor="text1"/>
          <w:sz w:val="24"/>
          <w:szCs w:val="24"/>
          <w:lang w:val="ru-RU"/>
        </w:rPr>
        <w:t>В случае личных гарантий по подверженностям ритейл требования, предусмотренные в пунктах 22</w:t>
      </w:r>
      <w:r w:rsidR="007A6699">
        <w:rPr>
          <w:rFonts w:ascii="Times New Roman" w:hAnsi="Times New Roman" w:cs="Times New Roman"/>
          <w:color w:val="000000" w:themeColor="text1"/>
          <w:sz w:val="24"/>
          <w:szCs w:val="24"/>
          <w:lang w:val="ro-RO"/>
        </w:rPr>
        <w:t>0</w:t>
      </w:r>
      <w:r w:rsidRPr="00D43281">
        <w:rPr>
          <w:rFonts w:ascii="Times New Roman" w:hAnsi="Times New Roman" w:cs="Times New Roman"/>
          <w:color w:val="000000" w:themeColor="text1"/>
          <w:sz w:val="24"/>
          <w:szCs w:val="24"/>
          <w:lang w:val="ru-RU"/>
        </w:rPr>
        <w:t>–22</w:t>
      </w:r>
      <w:r w:rsidR="007A6699">
        <w:rPr>
          <w:rFonts w:ascii="Times New Roman" w:hAnsi="Times New Roman" w:cs="Times New Roman"/>
          <w:color w:val="000000" w:themeColor="text1"/>
          <w:sz w:val="24"/>
          <w:szCs w:val="24"/>
          <w:lang w:val="ro-RO"/>
        </w:rPr>
        <w:t>2</w:t>
      </w:r>
      <w:r w:rsidRPr="00D43281">
        <w:rPr>
          <w:rFonts w:ascii="Times New Roman" w:hAnsi="Times New Roman" w:cs="Times New Roman"/>
          <w:color w:val="000000" w:themeColor="text1"/>
          <w:sz w:val="24"/>
          <w:szCs w:val="24"/>
          <w:lang w:val="ru-RU"/>
        </w:rPr>
        <w:t>, 22</w:t>
      </w:r>
      <w:r w:rsidR="007A6699">
        <w:rPr>
          <w:rFonts w:ascii="Times New Roman" w:hAnsi="Times New Roman" w:cs="Times New Roman"/>
          <w:color w:val="000000" w:themeColor="text1"/>
          <w:sz w:val="24"/>
          <w:szCs w:val="24"/>
          <w:lang w:val="ro-RO"/>
        </w:rPr>
        <w:t>4</w:t>
      </w:r>
      <w:r w:rsidRPr="00D43281">
        <w:rPr>
          <w:rFonts w:ascii="Times New Roman" w:hAnsi="Times New Roman" w:cs="Times New Roman"/>
          <w:color w:val="000000" w:themeColor="text1"/>
          <w:sz w:val="24"/>
          <w:szCs w:val="24"/>
          <w:lang w:val="ru-RU"/>
        </w:rPr>
        <w:t>–22</w:t>
      </w:r>
      <w:r w:rsidR="007A6699">
        <w:rPr>
          <w:rFonts w:ascii="Times New Roman" w:hAnsi="Times New Roman" w:cs="Times New Roman"/>
          <w:color w:val="000000" w:themeColor="text1"/>
          <w:sz w:val="24"/>
          <w:szCs w:val="24"/>
          <w:lang w:val="ro-RO"/>
        </w:rPr>
        <w:t>5</w:t>
      </w:r>
      <w:r w:rsidRPr="00D43281">
        <w:rPr>
          <w:rFonts w:ascii="Times New Roman" w:hAnsi="Times New Roman" w:cs="Times New Roman"/>
          <w:color w:val="000000" w:themeColor="text1"/>
          <w:sz w:val="24"/>
          <w:szCs w:val="24"/>
          <w:lang w:val="ru-RU"/>
        </w:rPr>
        <w:t xml:space="preserve"> и 22</w:t>
      </w:r>
      <w:r w:rsidR="007A6699">
        <w:rPr>
          <w:rFonts w:ascii="Times New Roman" w:hAnsi="Times New Roman" w:cs="Times New Roman"/>
          <w:color w:val="000000" w:themeColor="text1"/>
          <w:sz w:val="24"/>
          <w:szCs w:val="24"/>
          <w:lang w:val="ro-RO"/>
        </w:rPr>
        <w:t>6</w:t>
      </w:r>
      <w:r w:rsidRPr="00D43281">
        <w:rPr>
          <w:rFonts w:ascii="Times New Roman" w:hAnsi="Times New Roman" w:cs="Times New Roman"/>
          <w:color w:val="000000" w:themeColor="text1"/>
          <w:sz w:val="24"/>
          <w:szCs w:val="24"/>
          <w:lang w:val="ru-RU"/>
        </w:rPr>
        <w:t>–2</w:t>
      </w:r>
      <w:r w:rsidR="007A6699">
        <w:rPr>
          <w:rFonts w:ascii="Times New Roman" w:hAnsi="Times New Roman" w:cs="Times New Roman"/>
          <w:color w:val="000000" w:themeColor="text1"/>
          <w:sz w:val="24"/>
          <w:szCs w:val="24"/>
          <w:lang w:val="ro-RO"/>
        </w:rPr>
        <w:t>28</w:t>
      </w:r>
      <w:r w:rsidRPr="00D43281">
        <w:rPr>
          <w:rFonts w:ascii="Times New Roman" w:hAnsi="Times New Roman" w:cs="Times New Roman"/>
          <w:color w:val="000000" w:themeColor="text1"/>
          <w:sz w:val="24"/>
          <w:szCs w:val="24"/>
          <w:lang w:val="ru-RU"/>
        </w:rPr>
        <w:t>, применяются также к отнесению рисков к рейтинговым классам или группам риска и оценке вероятности невозврата</w:t>
      </w:r>
      <w:r w:rsidR="00516F10" w:rsidRPr="00D43281">
        <w:rPr>
          <w:rFonts w:ascii="Times New Roman" w:hAnsi="Times New Roman" w:cs="Times New Roman"/>
          <w:color w:val="000000" w:themeColor="text1"/>
          <w:sz w:val="24"/>
          <w:szCs w:val="24"/>
          <w:lang w:val="ru-RU"/>
        </w:rPr>
        <w:t>.</w:t>
      </w:r>
      <w:bookmarkEnd w:id="172"/>
    </w:p>
    <w:p w14:paraId="079EC2EB" w14:textId="63819820" w:rsidR="00EF62CE" w:rsidRPr="00D43281" w:rsidRDefault="00FD0A26" w:rsidP="00EF62CE">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Подчасть</w:t>
      </w:r>
      <w:r w:rsidR="00EF62CE" w:rsidRPr="00D43281">
        <w:rPr>
          <w:rFonts w:ascii="Times New Roman" w:hAnsi="Times New Roman" w:cs="Times New Roman"/>
          <w:b/>
          <w:bCs/>
          <w:i/>
          <w:iCs/>
          <w:color w:val="000000" w:themeColor="text1"/>
          <w:sz w:val="24"/>
          <w:szCs w:val="24"/>
          <w:lang w:val="ro-RO"/>
        </w:rPr>
        <w:t xml:space="preserve"> 6</w:t>
      </w:r>
    </w:p>
    <w:p w14:paraId="60751B22" w14:textId="6384025B" w:rsidR="00EF62CE" w:rsidRPr="00D43281" w:rsidRDefault="00790516" w:rsidP="00EF62CE">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color w:val="000000" w:themeColor="text1"/>
          <w:sz w:val="24"/>
          <w:szCs w:val="24"/>
          <w:lang w:val="ru-RU"/>
        </w:rPr>
      </w:pPr>
      <w:r w:rsidRPr="00D43281">
        <w:rPr>
          <w:rFonts w:ascii="Times New Roman" w:hAnsi="Times New Roman" w:cs="Times New Roman"/>
          <w:b/>
          <w:bCs/>
          <w:i/>
          <w:iCs/>
          <w:color w:val="000000" w:themeColor="text1"/>
          <w:sz w:val="24"/>
          <w:szCs w:val="24"/>
          <w:lang w:val="ru-RU"/>
        </w:rPr>
        <w:t>Требования к приобретенным требованиям</w:t>
      </w:r>
    </w:p>
    <w:p w14:paraId="53CE2741" w14:textId="5F674118" w:rsidR="00EF62CE" w:rsidRPr="00D43281" w:rsidRDefault="00790516" w:rsidP="00296C4A">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73" w:name="_Ref215506927"/>
      <w:r w:rsidRPr="00D43281">
        <w:rPr>
          <w:rFonts w:ascii="Times New Roman" w:hAnsi="Times New Roman" w:cs="Times New Roman"/>
          <w:color w:val="000000" w:themeColor="text1"/>
          <w:sz w:val="24"/>
          <w:szCs w:val="24"/>
          <w:lang w:val="ru-RU"/>
        </w:rPr>
        <w:t>При определении количественных показателей риска, которые должны быть привязаны к рейтинговым классам или группам риска в случае приобретенных требований, банки должны обеспечить соблюдение условий, предусмотренных в пунктах 23</w:t>
      </w:r>
      <w:r w:rsidR="009876D2">
        <w:rPr>
          <w:rFonts w:ascii="Times New Roman" w:hAnsi="Times New Roman" w:cs="Times New Roman"/>
          <w:color w:val="000000" w:themeColor="text1"/>
          <w:sz w:val="24"/>
          <w:szCs w:val="24"/>
          <w:lang w:val="ro-RO"/>
        </w:rPr>
        <w:t>2</w:t>
      </w:r>
      <w:r w:rsidRPr="00D43281">
        <w:rPr>
          <w:rFonts w:ascii="Times New Roman" w:hAnsi="Times New Roman" w:cs="Times New Roman"/>
          <w:color w:val="000000" w:themeColor="text1"/>
          <w:sz w:val="24"/>
          <w:szCs w:val="24"/>
          <w:lang w:val="ru-RU"/>
        </w:rPr>
        <w:t>–23</w:t>
      </w:r>
      <w:r w:rsidR="009876D2">
        <w:rPr>
          <w:rFonts w:ascii="Times New Roman" w:hAnsi="Times New Roman" w:cs="Times New Roman"/>
          <w:color w:val="000000" w:themeColor="text1"/>
          <w:sz w:val="24"/>
          <w:szCs w:val="24"/>
          <w:lang w:val="ro-RO"/>
        </w:rPr>
        <w:t>6</w:t>
      </w:r>
      <w:r w:rsidR="00EF62CE" w:rsidRPr="00D43281">
        <w:rPr>
          <w:rFonts w:ascii="Times New Roman" w:hAnsi="Times New Roman" w:cs="Times New Roman"/>
          <w:color w:val="000000" w:themeColor="text1"/>
          <w:sz w:val="24"/>
          <w:szCs w:val="24"/>
          <w:lang w:val="ru-RU"/>
        </w:rPr>
        <w:t>.</w:t>
      </w:r>
      <w:bookmarkEnd w:id="173"/>
    </w:p>
    <w:p w14:paraId="26C4D4D0" w14:textId="356E652E" w:rsidR="00EF62CE" w:rsidRPr="00D43281" w:rsidRDefault="00433099" w:rsidP="00296C4A">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74" w:name="_Ref215474092"/>
      <w:r w:rsidRPr="00D43281">
        <w:rPr>
          <w:rFonts w:ascii="Times New Roman" w:hAnsi="Times New Roman" w:cs="Times New Roman"/>
          <w:color w:val="000000" w:themeColor="text1"/>
          <w:sz w:val="24"/>
          <w:szCs w:val="24"/>
          <w:lang w:val="ru-RU"/>
        </w:rPr>
        <w:lastRenderedPageBreak/>
        <w:t>Структура сделки должна обеспечивать, чтобы при любых предсказуемых обстоятельствах банк обладал правом собственности и фактическим контролем над всеми денежными поступлениями, полученными от реализации задолженности. В случае если должник осуществляет платежи непосредственно продавцу или управляющей компании, банк должен регулярно проверять, осуществляются ли платежи в полном объеме и в соответствии с согласованными договорными условиями. Банки должны иметь процедуры, обеспечивающие защиту права собственности на задолженность и денежные поступления от процедур несостоятельности или судебных разбирательств, которые могут значительно задержать реализацию способности банка-кредитора ликвидировать или уступать задолженность либо сохранять контроль над денежными поступлениями</w:t>
      </w:r>
      <w:r w:rsidR="00EF62CE" w:rsidRPr="00D43281">
        <w:rPr>
          <w:rFonts w:ascii="Times New Roman" w:hAnsi="Times New Roman" w:cs="Times New Roman"/>
          <w:color w:val="000000" w:themeColor="text1"/>
          <w:sz w:val="24"/>
          <w:szCs w:val="24"/>
          <w:lang w:val="ru-RU"/>
        </w:rPr>
        <w:t>.</w:t>
      </w:r>
      <w:bookmarkEnd w:id="174"/>
    </w:p>
    <w:p w14:paraId="6824EE20" w14:textId="50B0C063" w:rsidR="00EF62CE" w:rsidRPr="00D43281" w:rsidRDefault="006D1BAB" w:rsidP="00296C4A">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 осуществляет мониторинг как качества приобретаемых требований, так и финансового положения продавца и управляющей компании. В связи с этим применяются следующие положения</w:t>
      </w:r>
      <w:r w:rsidR="00EF62CE" w:rsidRPr="00D43281">
        <w:rPr>
          <w:rFonts w:ascii="Times New Roman" w:hAnsi="Times New Roman" w:cs="Times New Roman"/>
          <w:color w:val="000000" w:themeColor="text1"/>
          <w:sz w:val="24"/>
          <w:szCs w:val="24"/>
          <w:lang w:val="ru-RU"/>
        </w:rPr>
        <w:t>:</w:t>
      </w:r>
    </w:p>
    <w:p w14:paraId="74BB7D78" w14:textId="36917449" w:rsidR="00D00EFE" w:rsidRPr="00D43281" w:rsidRDefault="006D1BAB"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 должен оценивать взаимосвязь между качеством приобретаемых требований и финансовым положением как продавца, так и управляющей компании, а также располагать внутренними политиками и процедурами, обеспечивающими надлежащую защиту от любых непредвиденных событий, включая присвоение внутреннего рейтинга риска каждому продавцу и каждой управляющей компании</w:t>
      </w:r>
      <w:r w:rsidR="00EF62CE" w:rsidRPr="00D43281">
        <w:rPr>
          <w:rFonts w:ascii="Times New Roman" w:hAnsi="Times New Roman" w:cs="Times New Roman"/>
          <w:color w:val="000000" w:themeColor="text1"/>
          <w:sz w:val="24"/>
          <w:szCs w:val="24"/>
          <w:lang w:val="ru-RU"/>
        </w:rPr>
        <w:t>;</w:t>
      </w:r>
    </w:p>
    <w:p w14:paraId="26C72165" w14:textId="254A66ED" w:rsidR="00D00EFE" w:rsidRPr="00D43281" w:rsidRDefault="00015D92"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 должен располагать четкими и эффективными политиками и процедурами для определения соответствия продавца и управляющей компании установленным требованиям. Банк или его уполномоченное лицо должны периодически проводить повторную проверку продавцов и управляющих компаний с целью проверки достоверности их отчетности, выявления мошенничества или операционных недостатков, а также контроля качества кредитной политики продавца и качества политик и процедур управляющей компании в отношении взыскания платежей. Результаты таких проверок должны быть оформлены</w:t>
      </w:r>
      <w:r w:rsidR="00EF62CE" w:rsidRPr="00D43281">
        <w:rPr>
          <w:rFonts w:ascii="Times New Roman" w:hAnsi="Times New Roman" w:cs="Times New Roman"/>
          <w:color w:val="000000" w:themeColor="text1"/>
          <w:sz w:val="24"/>
          <w:szCs w:val="24"/>
          <w:lang w:val="ru-MD"/>
        </w:rPr>
        <w:t>;</w:t>
      </w:r>
      <w:r w:rsidR="00EF62CE" w:rsidRPr="00D43281">
        <w:rPr>
          <w:rFonts w:ascii="Times New Roman" w:hAnsi="Times New Roman" w:cs="Times New Roman"/>
          <w:color w:val="000000" w:themeColor="text1"/>
          <w:sz w:val="24"/>
          <w:szCs w:val="24"/>
          <w:highlight w:val="lightGray"/>
          <w:lang w:val="ru-MD"/>
        </w:rPr>
        <w:t xml:space="preserve"> </w:t>
      </w:r>
    </w:p>
    <w:p w14:paraId="5F27EBCC" w14:textId="59A3420F" w:rsidR="00D00EFE" w:rsidRPr="00D43281" w:rsidRDefault="00015D92"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 должен оценивать характеристики портфелей приобретенных требований, включая избыточные авансы, историю продавца в отношении просрочек платежей, проблемные требования и резервы под проблемные требования, условия оплаты и возможные корреспондентские счета</w:t>
      </w:r>
      <w:r w:rsidR="00EF62CE" w:rsidRPr="00D43281">
        <w:rPr>
          <w:rFonts w:ascii="Times New Roman" w:hAnsi="Times New Roman" w:cs="Times New Roman"/>
          <w:color w:val="000000" w:themeColor="text1"/>
          <w:sz w:val="24"/>
          <w:szCs w:val="24"/>
          <w:lang w:val="ru-MD"/>
        </w:rPr>
        <w:t>;</w:t>
      </w:r>
    </w:p>
    <w:p w14:paraId="4999E1B8" w14:textId="5FCB833A" w:rsidR="00D00EFE" w:rsidRPr="00D43281" w:rsidRDefault="00015D92"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Банк должен располагать эффективными политиками и процедурами для агрегированного мониторинга концентрации риска в отношении одного заемщика как в рамках одного портфеля приобретенных кредитов, так и для всех портфелей приобретенных </w:t>
      </w:r>
      <w:r w:rsidR="006B719E" w:rsidRPr="00D43281">
        <w:rPr>
          <w:rFonts w:ascii="Times New Roman" w:hAnsi="Times New Roman" w:cs="Times New Roman"/>
          <w:color w:val="000000" w:themeColor="text1"/>
          <w:sz w:val="24"/>
          <w:szCs w:val="24"/>
          <w:lang w:val="ru-MD"/>
        </w:rPr>
        <w:t>требований</w:t>
      </w:r>
      <w:r w:rsidR="00EF62CE" w:rsidRPr="00D43281">
        <w:rPr>
          <w:rFonts w:ascii="Times New Roman" w:hAnsi="Times New Roman" w:cs="Times New Roman"/>
          <w:color w:val="000000" w:themeColor="text1"/>
          <w:sz w:val="24"/>
          <w:szCs w:val="24"/>
          <w:lang w:val="ru-MD"/>
        </w:rPr>
        <w:t>;</w:t>
      </w:r>
      <w:r w:rsidR="00EF62CE" w:rsidRPr="00D43281">
        <w:rPr>
          <w:rFonts w:ascii="Times New Roman" w:hAnsi="Times New Roman" w:cs="Times New Roman"/>
          <w:color w:val="000000" w:themeColor="text1"/>
          <w:sz w:val="24"/>
          <w:szCs w:val="24"/>
          <w:highlight w:val="lightGray"/>
          <w:lang w:val="ru-MD"/>
        </w:rPr>
        <w:t xml:space="preserve"> </w:t>
      </w:r>
    </w:p>
    <w:p w14:paraId="3C5F21E1" w14:textId="1565C885" w:rsidR="00EF62CE" w:rsidRPr="00D43281" w:rsidRDefault="003C2B4B"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 должен обеспечить своевременное получение от управляющей компании отчетов о сроках погашения и риске обесценения кредитов, которые являются достаточно подробными для обеспечения соблюдения критериев приемлемости банка и политик в отношении предоставления авансов, регулирующих приобретенные требования, а также для обеспечения эффективного средства мониторинга и подтверждения условий продажи, применяемых продавцом, и обесценения требований</w:t>
      </w:r>
      <w:r w:rsidR="00EF62CE" w:rsidRPr="00D43281">
        <w:rPr>
          <w:rFonts w:ascii="Times New Roman" w:hAnsi="Times New Roman" w:cs="Times New Roman"/>
          <w:color w:val="000000" w:themeColor="text1"/>
          <w:sz w:val="24"/>
          <w:szCs w:val="24"/>
          <w:lang w:val="ru-MD"/>
        </w:rPr>
        <w:t>.</w:t>
      </w:r>
    </w:p>
    <w:p w14:paraId="263CCE75" w14:textId="09824DA0" w:rsidR="00EF62CE" w:rsidRPr="00D43281" w:rsidRDefault="003C2B4B"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 должен располагать системами и процедурами для выявления на ранней стадии ухудшения финансового положения продавца и качества приобретенных требований, а также для проактивного решения возникающих проблем. В частности, банк должен располагать четкими и эффективными политиками, процедурами и информационными системами для мониторинга нарушений договорных условий, а также четкими и эффективными политиками и процедурами для возбуждения судебных исков и управления проблемными приобретенными требованиями</w:t>
      </w:r>
      <w:r w:rsidR="00EF62CE" w:rsidRPr="00D43281">
        <w:rPr>
          <w:rFonts w:ascii="Times New Roman" w:hAnsi="Times New Roman" w:cs="Times New Roman"/>
          <w:color w:val="000000" w:themeColor="text1"/>
          <w:sz w:val="24"/>
          <w:szCs w:val="24"/>
          <w:lang w:val="ru-MD"/>
        </w:rPr>
        <w:t>.</w:t>
      </w:r>
    </w:p>
    <w:p w14:paraId="05C9192D" w14:textId="66E89D9B" w:rsidR="00EF62CE" w:rsidRPr="00D43281" w:rsidRDefault="009A265C"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Банк должен располагать четкими и эффективными политиками и процедурами, регулирующими контроль за приобретенными требованиями, кредитами и денежными средствами. В частности, зафиксированные в документах внутренние политики должны определять все существенные элементы программы приобретения задолженности, включая ставки авансовых платежей, допустимые вещные обеспечения, необходимую </w:t>
      </w:r>
      <w:r w:rsidRPr="00D43281">
        <w:rPr>
          <w:rFonts w:ascii="Times New Roman" w:hAnsi="Times New Roman" w:cs="Times New Roman"/>
          <w:color w:val="000000" w:themeColor="text1"/>
          <w:sz w:val="24"/>
          <w:szCs w:val="24"/>
          <w:lang w:val="ru-RU"/>
        </w:rPr>
        <w:lastRenderedPageBreak/>
        <w:t>документацию, лимиты концентрации и порядок обработки поступлений денежных средств. Эти элементы должны надлежащим образом учитывать все соответствующие и значимые факторы, включая финансовое положение продавца и управляющей компании, концентрацию рисков и динамику качества приобретенных требований и клиентского портфеля продавца, а внутренние системы должны обеспечивать, чтобы средства авансировались исключительно на основе вещных гарантий и указанной подтверждающей документации</w:t>
      </w:r>
      <w:r w:rsidR="00EF62CE" w:rsidRPr="00D43281">
        <w:rPr>
          <w:rFonts w:ascii="Times New Roman" w:hAnsi="Times New Roman" w:cs="Times New Roman"/>
          <w:color w:val="000000" w:themeColor="text1"/>
          <w:sz w:val="24"/>
          <w:szCs w:val="24"/>
          <w:lang w:val="ru-RU"/>
        </w:rPr>
        <w:t>.</w:t>
      </w:r>
    </w:p>
    <w:p w14:paraId="1313421E" w14:textId="27C980DD" w:rsidR="00BA57D7" w:rsidRPr="00D43281" w:rsidRDefault="009A265C"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bookmarkStart w:id="175" w:name="_Ref215474208"/>
      <w:r w:rsidRPr="00D43281">
        <w:rPr>
          <w:rFonts w:ascii="Times New Roman" w:hAnsi="Times New Roman" w:cs="Times New Roman"/>
          <w:color w:val="000000" w:themeColor="text1"/>
          <w:sz w:val="24"/>
          <w:szCs w:val="24"/>
          <w:lang w:val="ru-RU"/>
        </w:rPr>
        <w:t>Банк должен располагать эффективной внутренней процедурой оценки соблюдения всех внутренних политик и процедур. Этот процесс должен включать периодические аудиты всех критических этапов программы приобретения задолженности банка, проверку разделения обязанностей между оценкой продавца и управляющей компании и оценкой должника, а также между оценкой продавца и управляющей компании и аудитом на месте у продавца и управляющей компании, а также оценку операций по регистрации и мониторингу сделок (бэк-офисных операций) с особым акцентом на квалификацию, опыт, численность персонала и имеющуюся ИТ-инфраструктуру</w:t>
      </w:r>
      <w:r w:rsidR="00EF62CE" w:rsidRPr="00D43281">
        <w:rPr>
          <w:rFonts w:ascii="Times New Roman" w:hAnsi="Times New Roman" w:cs="Times New Roman"/>
          <w:color w:val="000000" w:themeColor="text1"/>
          <w:sz w:val="24"/>
          <w:szCs w:val="24"/>
          <w:lang w:val="ru-RU"/>
        </w:rPr>
        <w:t>.</w:t>
      </w:r>
      <w:bookmarkEnd w:id="175"/>
    </w:p>
    <w:p w14:paraId="4308DCD7" w14:textId="21BFA0FE" w:rsidR="006875D7" w:rsidRPr="00D43281" w:rsidRDefault="0082479C" w:rsidP="005F5E17">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i/>
          <w:iCs/>
          <w:color w:val="000000" w:themeColor="text1"/>
          <w:sz w:val="24"/>
          <w:szCs w:val="24"/>
          <w:lang w:val="ro-RO"/>
        </w:rPr>
      </w:pPr>
      <w:r w:rsidRPr="00D43281">
        <w:rPr>
          <w:rFonts w:ascii="Times New Roman" w:hAnsi="Times New Roman" w:cs="Times New Roman"/>
          <w:b/>
          <w:bCs/>
          <w:i/>
          <w:iCs/>
          <w:color w:val="000000" w:themeColor="text1"/>
          <w:sz w:val="24"/>
          <w:szCs w:val="24"/>
          <w:lang w:val="ru-RU"/>
        </w:rPr>
        <w:t>Подчасть</w:t>
      </w:r>
      <w:r w:rsidR="006875D7" w:rsidRPr="00D43281">
        <w:rPr>
          <w:rFonts w:ascii="Times New Roman" w:hAnsi="Times New Roman" w:cs="Times New Roman"/>
          <w:b/>
          <w:bCs/>
          <w:i/>
          <w:iCs/>
          <w:color w:val="000000" w:themeColor="text1"/>
          <w:sz w:val="24"/>
          <w:szCs w:val="24"/>
          <w:lang w:val="ro-RO"/>
        </w:rPr>
        <w:t xml:space="preserve"> 7</w:t>
      </w:r>
    </w:p>
    <w:p w14:paraId="598F64C5" w14:textId="77777777" w:rsidR="00E271DB" w:rsidRPr="00D43281" w:rsidRDefault="00E271DB" w:rsidP="00E271DB">
      <w:pPr>
        <w:pStyle w:val="ListParagraph"/>
        <w:shd w:val="clear" w:color="auto" w:fill="FFFFFF"/>
        <w:tabs>
          <w:tab w:val="left" w:pos="0"/>
          <w:tab w:val="left" w:pos="567"/>
        </w:tabs>
        <w:spacing w:before="60" w:after="0" w:line="240" w:lineRule="auto"/>
        <w:jc w:val="center"/>
        <w:rPr>
          <w:rFonts w:ascii="Times New Roman" w:hAnsi="Times New Roman" w:cs="Times New Roman"/>
          <w:b/>
          <w:bCs/>
          <w:i/>
          <w:iCs/>
          <w:color w:val="000000" w:themeColor="text1"/>
          <w:sz w:val="24"/>
          <w:szCs w:val="24"/>
          <w:lang w:val="ru-RU"/>
        </w:rPr>
      </w:pPr>
      <w:r w:rsidRPr="00D43281">
        <w:rPr>
          <w:rFonts w:ascii="Times New Roman" w:hAnsi="Times New Roman" w:cs="Times New Roman"/>
          <w:b/>
          <w:bCs/>
          <w:i/>
          <w:iCs/>
          <w:color w:val="000000" w:themeColor="text1"/>
          <w:sz w:val="24"/>
          <w:szCs w:val="24"/>
          <w:lang w:val="ru-RU"/>
        </w:rPr>
        <w:t xml:space="preserve">Проверка достоверности внутренних оценок, </w:t>
      </w:r>
    </w:p>
    <w:p w14:paraId="706787B3" w14:textId="165134C0" w:rsidR="006875D7" w:rsidRPr="00D43281" w:rsidRDefault="00E271DB" w:rsidP="000A6D01">
      <w:pPr>
        <w:pStyle w:val="ListParagraph"/>
        <w:shd w:val="clear" w:color="auto" w:fill="FFFFFF"/>
        <w:tabs>
          <w:tab w:val="left" w:pos="0"/>
          <w:tab w:val="left" w:pos="567"/>
        </w:tabs>
        <w:spacing w:after="120" w:line="240" w:lineRule="auto"/>
        <w:ind w:left="0"/>
        <w:contextualSpacing w:val="0"/>
        <w:jc w:val="center"/>
        <w:rPr>
          <w:rFonts w:ascii="Times New Roman" w:hAnsi="Times New Roman" w:cs="Times New Roman"/>
          <w:color w:val="000000" w:themeColor="text1"/>
          <w:sz w:val="24"/>
          <w:szCs w:val="24"/>
          <w:lang w:val="ru-RU"/>
        </w:rPr>
      </w:pPr>
      <w:r w:rsidRPr="00D43281">
        <w:rPr>
          <w:rFonts w:ascii="Times New Roman" w:hAnsi="Times New Roman" w:cs="Times New Roman"/>
          <w:b/>
          <w:bCs/>
          <w:i/>
          <w:iCs/>
          <w:color w:val="000000" w:themeColor="text1"/>
          <w:sz w:val="24"/>
          <w:szCs w:val="24"/>
          <w:lang w:val="ru-RU"/>
        </w:rPr>
        <w:t>система управления, контроль кредитного риска и внутренний аудит</w:t>
      </w:r>
    </w:p>
    <w:p w14:paraId="11ADA8A5" w14:textId="456F64E9" w:rsidR="005F5E17" w:rsidRPr="00D43281" w:rsidRDefault="00407756"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Банки проверяют свои внутренние оценки с соблюдением следующих требований</w:t>
      </w:r>
      <w:r w:rsidR="005F5E17" w:rsidRPr="00D43281">
        <w:rPr>
          <w:rFonts w:ascii="Times New Roman" w:hAnsi="Times New Roman" w:cs="Times New Roman"/>
          <w:color w:val="000000" w:themeColor="text1"/>
          <w:sz w:val="24"/>
          <w:szCs w:val="24"/>
          <w:lang w:val="ru-RU"/>
        </w:rPr>
        <w:t>:</w:t>
      </w:r>
    </w:p>
    <w:p w14:paraId="5375DA85" w14:textId="0FC83A45" w:rsidR="00D00EFE" w:rsidRPr="00D43281" w:rsidRDefault="00144C17"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Банки должны располагать надежными системами для проверки точности и согласованности рейтинговых систем и процессов, а также оценки всех соответствующих параметров риска. Процесс внутренней проверки должен позволять банку оценивать эффективность внутренних рейтинговых систем и систем оценки риска последовательным и значимым образом</w:t>
      </w:r>
      <w:r w:rsidR="005F5E17" w:rsidRPr="00D43281">
        <w:rPr>
          <w:rFonts w:ascii="Times New Roman" w:hAnsi="Times New Roman" w:cs="Times New Roman"/>
          <w:color w:val="000000" w:themeColor="text1"/>
          <w:sz w:val="24"/>
          <w:szCs w:val="24"/>
          <w:lang w:val="ru-RU"/>
        </w:rPr>
        <w:t>;</w:t>
      </w:r>
    </w:p>
    <w:p w14:paraId="27235256" w14:textId="5AD8F32A" w:rsidR="00D00EFE" w:rsidRPr="00D43281" w:rsidRDefault="00A9625C"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Банки должны регулярно сравнивать фактические показатели </w:t>
      </w:r>
      <w:proofErr w:type="spellStart"/>
      <w:r w:rsidRPr="00D43281">
        <w:rPr>
          <w:rFonts w:ascii="Times New Roman" w:hAnsi="Times New Roman" w:cs="Times New Roman"/>
          <w:color w:val="000000" w:themeColor="text1"/>
          <w:sz w:val="24"/>
          <w:szCs w:val="24"/>
          <w:lang w:val="ru-RU"/>
        </w:rPr>
        <w:t>девозврата</w:t>
      </w:r>
      <w:proofErr w:type="spellEnd"/>
      <w:r w:rsidRPr="00D43281">
        <w:rPr>
          <w:rFonts w:ascii="Times New Roman" w:hAnsi="Times New Roman" w:cs="Times New Roman"/>
          <w:color w:val="000000" w:themeColor="text1"/>
          <w:sz w:val="24"/>
          <w:szCs w:val="24"/>
          <w:lang w:val="ru-RU"/>
        </w:rPr>
        <w:t xml:space="preserve"> с оценками вероятности невозврата для каждого рейтингового класса, и в случае, если фактические показатели невозврата выходят за пределы прогнозируемого диапазона для данного рейтингового класса, банки должны специально проанализировать причины такого отклонения. Банки, использующие собственные оценки убытков в случае невозврата и коэффициентов конверсии, должны также проводить аналогичный анализ для этих оценок. Для соответствующих сравнений должны использоваться исторические данные, охватывающие как можно более длительный период времени. Банки должны документировать методы и данные, использованные для этих сравнений. Анализ и документация должны обновляться не реже одного раза в год</w:t>
      </w:r>
      <w:r w:rsidR="005F5E17" w:rsidRPr="00D43281">
        <w:rPr>
          <w:rFonts w:ascii="Times New Roman" w:hAnsi="Times New Roman" w:cs="Times New Roman"/>
          <w:color w:val="000000" w:themeColor="text1"/>
          <w:sz w:val="24"/>
          <w:szCs w:val="24"/>
          <w:lang w:val="ru-RU"/>
        </w:rPr>
        <w:t>;</w:t>
      </w:r>
    </w:p>
    <w:p w14:paraId="25096CEE" w14:textId="0F0A88EA" w:rsidR="00D00EFE" w:rsidRPr="00D43281" w:rsidRDefault="00A9625C"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Банки должны также использовать другие инструменты количественной проверки, а также проводить сравнения с соответствующими внешними источниками данных. Анализ должен основываться на данных, адаптированных к портфелю, которые регулярно обновляются и охватывают соответствующий период наблюдения. Внутренние оценки, проводимые банками в отношении эффективности собственных рейтинговых систем, должны основываться на как можно более длительном периоде времени</w:t>
      </w:r>
      <w:r w:rsidR="005F5E17" w:rsidRPr="00D43281">
        <w:rPr>
          <w:rFonts w:ascii="Times New Roman" w:hAnsi="Times New Roman" w:cs="Times New Roman"/>
          <w:color w:val="000000" w:themeColor="text1"/>
          <w:sz w:val="24"/>
          <w:szCs w:val="24"/>
          <w:lang w:val="ru-RU"/>
        </w:rPr>
        <w:t>;</w:t>
      </w:r>
    </w:p>
    <w:p w14:paraId="054669E9" w14:textId="0BE42864" w:rsidR="00D00EFE" w:rsidRPr="00D43281" w:rsidRDefault="00F6444C"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Методы и данные, используемые для количественной валидации, должны быть последовательными во времени. Изменения (касающиеся как источников данных, так и охватываемых периодов) в методах и данных, используемых для оценки и валидации, должны быть формализованы</w:t>
      </w:r>
      <w:r w:rsidR="005F5E17" w:rsidRPr="00D43281">
        <w:rPr>
          <w:rFonts w:ascii="Times New Roman" w:hAnsi="Times New Roman" w:cs="Times New Roman"/>
          <w:color w:val="000000" w:themeColor="text1"/>
          <w:sz w:val="24"/>
          <w:szCs w:val="24"/>
          <w:lang w:val="ru-RU"/>
        </w:rPr>
        <w:t>;</w:t>
      </w:r>
    </w:p>
    <w:p w14:paraId="63014A6A" w14:textId="222AA8A9" w:rsidR="006875D7" w:rsidRPr="00D43281" w:rsidRDefault="0087302E" w:rsidP="00D00EFE">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Банки должны иметь строгие внутренние стандарты на случай, когда отклонения фактических значений вероятности невозврата, убытков в случае невозврата, коэффициентов конверсии и совокупных убытков от оценок при использовании ожидаемого убытка становятся достаточно значительными, чтобы поставить под сомнение достоверность оценок. Эти стандарты должны учитывать экономические циклы и факторы, определяющие систематическое отклонение, аналогичное уровню невозврата. В случае, </w:t>
      </w:r>
      <w:r w:rsidRPr="00D43281">
        <w:rPr>
          <w:rFonts w:ascii="Times New Roman" w:hAnsi="Times New Roman" w:cs="Times New Roman"/>
          <w:color w:val="000000" w:themeColor="text1"/>
          <w:sz w:val="24"/>
          <w:szCs w:val="24"/>
          <w:lang w:val="ru-RU"/>
        </w:rPr>
        <w:lastRenderedPageBreak/>
        <w:t>если фактические значения продолжают превышать ожидаемые, банки должны пересмотреть оценки в сторону повышения, чтобы отразить наблюдаемый уровень невозврата и убытки</w:t>
      </w:r>
      <w:r w:rsidR="005F5E17" w:rsidRPr="00D43281">
        <w:rPr>
          <w:rFonts w:ascii="Times New Roman" w:hAnsi="Times New Roman" w:cs="Times New Roman"/>
          <w:color w:val="000000" w:themeColor="text1"/>
          <w:sz w:val="24"/>
          <w:szCs w:val="24"/>
          <w:lang w:val="ru-RU"/>
        </w:rPr>
        <w:t>.</w:t>
      </w:r>
    </w:p>
    <w:p w14:paraId="21AAA8EC" w14:textId="2F3A6862" w:rsidR="005F5E17" w:rsidRPr="00D43281" w:rsidRDefault="00222B92"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Все существенные аспекты процессов рейтингования и оценки утверждаются руководящим органом банка или назначенным для этой цели комитетом. Эти стороны должны продемонстрировать общее понимание рейтинговых систем банка и детальное понимание соответствующих отчетов руководства</w:t>
      </w:r>
      <w:r w:rsidR="005F5E17" w:rsidRPr="00D43281">
        <w:rPr>
          <w:rFonts w:ascii="Times New Roman" w:hAnsi="Times New Roman" w:cs="Times New Roman"/>
          <w:color w:val="000000" w:themeColor="text1"/>
          <w:sz w:val="24"/>
          <w:szCs w:val="24"/>
          <w:lang w:val="ru-RU"/>
        </w:rPr>
        <w:t>.</w:t>
      </w:r>
    </w:p>
    <w:p w14:paraId="2B1F37A2" w14:textId="5617FE86" w:rsidR="005F5E17" w:rsidRPr="00D43281" w:rsidRDefault="009876D2"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9876D2">
        <w:rPr>
          <w:rFonts w:ascii="Times New Roman" w:hAnsi="Times New Roman" w:cs="Times New Roman"/>
          <w:color w:val="000000" w:themeColor="text1"/>
          <w:sz w:val="24"/>
          <w:szCs w:val="24"/>
          <w:lang w:val="ru-RU"/>
        </w:rPr>
        <w:t>Высшее руководство должно</w:t>
      </w:r>
      <w:r w:rsidR="00222B92" w:rsidRPr="00D43281">
        <w:rPr>
          <w:rFonts w:ascii="Times New Roman" w:hAnsi="Times New Roman" w:cs="Times New Roman"/>
          <w:color w:val="000000" w:themeColor="text1"/>
          <w:sz w:val="24"/>
          <w:szCs w:val="24"/>
          <w:lang w:val="ru-RU"/>
        </w:rPr>
        <w:t xml:space="preserve"> выполнять следующие требования</w:t>
      </w:r>
      <w:r w:rsidR="005F5E17" w:rsidRPr="00D43281">
        <w:rPr>
          <w:rFonts w:ascii="Times New Roman" w:hAnsi="Times New Roman" w:cs="Times New Roman"/>
          <w:color w:val="000000" w:themeColor="text1"/>
          <w:sz w:val="24"/>
          <w:szCs w:val="24"/>
          <w:lang w:val="ru-RU"/>
        </w:rPr>
        <w:t>:</w:t>
      </w:r>
    </w:p>
    <w:p w14:paraId="67D225E1" w14:textId="599510AB" w:rsidR="005F5E17" w:rsidRPr="00D43281" w:rsidRDefault="00222B9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Информировать руководящий орган или назначенный для этой цели комитет о значительных изменениях в установленных политиках или о значительных отклонениях от них, которые окажут существенное влияние на функционирование рейтинговых систем банка</w:t>
      </w:r>
      <w:r w:rsidR="005F5E17" w:rsidRPr="00D43281">
        <w:rPr>
          <w:rFonts w:ascii="Times New Roman" w:hAnsi="Times New Roman" w:cs="Times New Roman"/>
          <w:color w:val="000000" w:themeColor="text1"/>
          <w:sz w:val="24"/>
          <w:szCs w:val="24"/>
          <w:lang w:val="ru-RU"/>
        </w:rPr>
        <w:t>;</w:t>
      </w:r>
    </w:p>
    <w:p w14:paraId="4A8C1003" w14:textId="5DFFBAF3" w:rsidR="005F5E17" w:rsidRPr="00D43281" w:rsidRDefault="00222B92"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Демонстрировать глубокое понимание концепции и функционирования рейтинговых систем</w:t>
      </w:r>
      <w:r w:rsidR="005F5E17" w:rsidRPr="00D43281">
        <w:rPr>
          <w:rFonts w:ascii="Times New Roman" w:hAnsi="Times New Roman" w:cs="Times New Roman"/>
          <w:color w:val="000000" w:themeColor="text1"/>
          <w:sz w:val="24"/>
          <w:szCs w:val="24"/>
          <w:lang w:val="ru-RU"/>
        </w:rPr>
        <w:t>;</w:t>
      </w:r>
    </w:p>
    <w:p w14:paraId="3AF9A174" w14:textId="46AD4F94" w:rsidR="005F5E17" w:rsidRPr="00D43281" w:rsidRDefault="00D908B7"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Постоянно обеспечивать надлежащее функционирование рейтинговых систем</w:t>
      </w:r>
      <w:r w:rsidR="005F5E17" w:rsidRPr="00D43281">
        <w:rPr>
          <w:rFonts w:ascii="Times New Roman" w:hAnsi="Times New Roman" w:cs="Times New Roman"/>
          <w:color w:val="000000" w:themeColor="text1"/>
          <w:sz w:val="24"/>
          <w:szCs w:val="24"/>
          <w:lang w:val="ru-RU"/>
        </w:rPr>
        <w:t>.</w:t>
      </w:r>
    </w:p>
    <w:p w14:paraId="2B5EE043" w14:textId="38C6165F" w:rsidR="005F5E17" w:rsidRPr="00D43281" w:rsidRDefault="008E0424"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8E0424">
        <w:rPr>
          <w:rFonts w:ascii="Times New Roman" w:hAnsi="Times New Roman" w:cs="Times New Roman"/>
          <w:color w:val="000000" w:themeColor="text1"/>
          <w:sz w:val="24"/>
          <w:szCs w:val="24"/>
          <w:lang w:val="ru-RU"/>
        </w:rPr>
        <w:t xml:space="preserve">Высшее руководство должно </w:t>
      </w:r>
      <w:r w:rsidR="00A3613A" w:rsidRPr="00D43281">
        <w:rPr>
          <w:rFonts w:ascii="Times New Roman" w:hAnsi="Times New Roman" w:cs="Times New Roman"/>
          <w:color w:val="000000" w:themeColor="text1"/>
          <w:sz w:val="24"/>
          <w:szCs w:val="24"/>
          <w:lang w:val="ru-RU"/>
        </w:rPr>
        <w:t>регулярно получать от подразделений по контролю кредитного риска информацию о результатах работы рейтингового процесса, о вопросах, требующих улучшения, а также о ходе работ по устранению ранее выявленных недостатков</w:t>
      </w:r>
      <w:r w:rsidR="005F5E17" w:rsidRPr="00D43281">
        <w:rPr>
          <w:rFonts w:ascii="Times New Roman" w:hAnsi="Times New Roman" w:cs="Times New Roman"/>
          <w:color w:val="000000" w:themeColor="text1"/>
          <w:sz w:val="24"/>
          <w:szCs w:val="24"/>
          <w:lang w:val="ru-RU"/>
        </w:rPr>
        <w:t>.</w:t>
      </w:r>
    </w:p>
    <w:p w14:paraId="07E4D9B4" w14:textId="01D2CA58" w:rsidR="00FA6E3C" w:rsidRPr="00D43281" w:rsidRDefault="0042726E"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Анализ профиля кредитного риска банка, основанный на внутренних рейтинговых моделях, должен составлять существенную часть отчетов руководству, представляемых этим сторонам. Отчетность должна включать, как минимум, профиль риска по рейтинговым классам, миграцию заемщиков между рейтинговыми классами, оценку соответствующих параметров риска для каждого рейтингового класса, а также сравнение фактических коэффициентов невозврата и, в той мере, в какой используются собственные оценки, фактических убытков в случае невозврата и фактических коэффициентов конверсии с прогнозами и результатами стресс-тестирования. Частота представления отчетности зависит от важности и типа информации, а также от уровня получателя</w:t>
      </w:r>
      <w:r w:rsidR="005F5E17" w:rsidRPr="00D43281">
        <w:rPr>
          <w:rFonts w:ascii="Times New Roman" w:hAnsi="Times New Roman" w:cs="Times New Roman"/>
          <w:color w:val="000000" w:themeColor="text1"/>
          <w:sz w:val="24"/>
          <w:szCs w:val="24"/>
          <w:lang w:val="ru-RU"/>
        </w:rPr>
        <w:t>.</w:t>
      </w:r>
    </w:p>
    <w:p w14:paraId="4203A00C" w14:textId="0EA942D3" w:rsidR="00B04F54" w:rsidRPr="00D43281" w:rsidRDefault="003F06AE"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Подразделение по контролю кредитного риска должно быть независимым от персонала и руководящих органов, ответственных за открытие или продление подверженностей, и подчиняться непосредственно высшему руководству. Данный отдел отвечает за разработку или выбор, внедрение, надзор и функционирование рейтинговых систем. Данный отдел регулярно готовит и анализирует отчеты о результатах рейтинговых систем</w:t>
      </w:r>
      <w:r w:rsidR="00B04F54" w:rsidRPr="00D43281">
        <w:rPr>
          <w:rFonts w:ascii="Times New Roman" w:hAnsi="Times New Roman" w:cs="Times New Roman"/>
          <w:color w:val="000000" w:themeColor="text1"/>
          <w:sz w:val="24"/>
          <w:szCs w:val="24"/>
          <w:lang w:val="ru-RU"/>
        </w:rPr>
        <w:t>.</w:t>
      </w:r>
    </w:p>
    <w:p w14:paraId="201FBFD6" w14:textId="26F6C33F" w:rsidR="00B04F54" w:rsidRPr="00D43281" w:rsidRDefault="00770953" w:rsidP="00FC02F8">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 обязанности подразделения (подразделений) по контролю кредитного риска входят</w:t>
      </w:r>
      <w:r w:rsidR="00B04F54" w:rsidRPr="00D43281">
        <w:rPr>
          <w:rFonts w:ascii="Times New Roman" w:hAnsi="Times New Roman" w:cs="Times New Roman"/>
          <w:color w:val="000000" w:themeColor="text1"/>
          <w:sz w:val="24"/>
          <w:szCs w:val="24"/>
          <w:lang w:val="ru-RU"/>
        </w:rPr>
        <w:t>:</w:t>
      </w:r>
    </w:p>
    <w:p w14:paraId="45644DB7" w14:textId="6F31BB96" w:rsidR="0043736E" w:rsidRPr="00D43281" w:rsidRDefault="0077095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Тестирование и мониторинг рейтинговых классов и групп риска</w:t>
      </w:r>
      <w:r w:rsidR="00B04F54" w:rsidRPr="00D43281">
        <w:rPr>
          <w:rFonts w:ascii="Times New Roman" w:hAnsi="Times New Roman" w:cs="Times New Roman"/>
          <w:color w:val="000000" w:themeColor="text1"/>
          <w:sz w:val="24"/>
          <w:szCs w:val="24"/>
          <w:lang w:val="ru-RU"/>
        </w:rPr>
        <w:t>;</w:t>
      </w:r>
      <w:r w:rsidR="00B04F54" w:rsidRPr="00D43281">
        <w:rPr>
          <w:rFonts w:ascii="Times New Roman" w:hAnsi="Times New Roman" w:cs="Times New Roman"/>
          <w:color w:val="000000" w:themeColor="text1"/>
          <w:sz w:val="24"/>
          <w:szCs w:val="24"/>
          <w:highlight w:val="lightGray"/>
          <w:lang w:val="ru-RU"/>
        </w:rPr>
        <w:t xml:space="preserve"> </w:t>
      </w:r>
    </w:p>
    <w:p w14:paraId="662322BB" w14:textId="425F5ACA" w:rsidR="0043736E" w:rsidRPr="00D43281" w:rsidRDefault="0077095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Подготовка и анализ сводных отчетов о рейтинговых системах банка</w:t>
      </w:r>
      <w:r w:rsidR="00B04F54" w:rsidRPr="00D43281">
        <w:rPr>
          <w:rFonts w:ascii="Times New Roman" w:hAnsi="Times New Roman" w:cs="Times New Roman"/>
          <w:color w:val="000000" w:themeColor="text1"/>
          <w:sz w:val="24"/>
          <w:szCs w:val="24"/>
          <w:lang w:val="ru-RU"/>
        </w:rPr>
        <w:t>;</w:t>
      </w:r>
      <w:r w:rsidR="00B04F54" w:rsidRPr="00D43281">
        <w:rPr>
          <w:rFonts w:ascii="Times New Roman" w:hAnsi="Times New Roman" w:cs="Times New Roman"/>
          <w:color w:val="000000" w:themeColor="text1"/>
          <w:sz w:val="24"/>
          <w:szCs w:val="24"/>
          <w:highlight w:val="lightGray"/>
          <w:lang w:val="ru-RU"/>
        </w:rPr>
        <w:t xml:space="preserve"> </w:t>
      </w:r>
    </w:p>
    <w:p w14:paraId="712BBCB1" w14:textId="0E755C9E" w:rsidR="0043736E" w:rsidRPr="00D43281" w:rsidRDefault="00770953"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Внедрение процедур для проверки последовательного применения определений классов риска и групп риска в различных департаментах и географических регионах</w:t>
      </w:r>
      <w:r w:rsidR="00B04F54" w:rsidRPr="00D43281">
        <w:rPr>
          <w:rFonts w:ascii="Times New Roman" w:hAnsi="Times New Roman" w:cs="Times New Roman"/>
          <w:color w:val="000000" w:themeColor="text1"/>
          <w:sz w:val="24"/>
          <w:szCs w:val="24"/>
          <w:lang w:val="ru-RU"/>
        </w:rPr>
        <w:t>;</w:t>
      </w:r>
    </w:p>
    <w:p w14:paraId="31A55470" w14:textId="476EDA36" w:rsidR="0043736E" w:rsidRPr="00D43281" w:rsidRDefault="00D66A26"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Пересмотр и фиксирование любых изменений, внесенных в процесс рейтингования, включая причины таких изменений</w:t>
      </w:r>
      <w:r w:rsidR="00B04F54" w:rsidRPr="00D43281">
        <w:rPr>
          <w:rFonts w:ascii="Times New Roman" w:hAnsi="Times New Roman" w:cs="Times New Roman"/>
          <w:color w:val="000000" w:themeColor="text1"/>
          <w:sz w:val="24"/>
          <w:szCs w:val="24"/>
          <w:lang w:val="ru-RU"/>
        </w:rPr>
        <w:t>;</w:t>
      </w:r>
    </w:p>
    <w:p w14:paraId="0E25381B" w14:textId="02B62808" w:rsidR="0043736E" w:rsidRPr="00D43281" w:rsidRDefault="00D66A26"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Пересмотр критериев рейтингования с целью определения, сохраняют ли они свою способность прогнозировать риски. Изменения, внесенные в процесс рейтингования, рейтинговые критерии или отдельные рейтинговые параметры, должны фиксироваться и сохраняться</w:t>
      </w:r>
      <w:r w:rsidR="00B04F54" w:rsidRPr="00D43281">
        <w:rPr>
          <w:rFonts w:ascii="Times New Roman" w:hAnsi="Times New Roman" w:cs="Times New Roman"/>
          <w:color w:val="000000" w:themeColor="text1"/>
          <w:sz w:val="24"/>
          <w:szCs w:val="24"/>
          <w:lang w:val="ru-RU"/>
        </w:rPr>
        <w:t>;</w:t>
      </w:r>
    </w:p>
    <w:p w14:paraId="48248A46" w14:textId="31470429" w:rsidR="0043736E" w:rsidRPr="00D43281" w:rsidRDefault="00D66A26"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Активное участие в разработке или выборе, внедрении и валидации моделей, используемых в процессе рейтингования</w:t>
      </w:r>
      <w:r w:rsidR="00B04F54" w:rsidRPr="00D43281">
        <w:rPr>
          <w:rFonts w:ascii="Times New Roman" w:hAnsi="Times New Roman" w:cs="Times New Roman"/>
          <w:color w:val="000000" w:themeColor="text1"/>
          <w:sz w:val="24"/>
          <w:szCs w:val="24"/>
          <w:lang w:val="ru-RU"/>
        </w:rPr>
        <w:t>;</w:t>
      </w:r>
    </w:p>
    <w:p w14:paraId="2CB03DB1" w14:textId="6A538FFD" w:rsidR="0043736E" w:rsidRPr="00D43281" w:rsidRDefault="00D66A26"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Мониторинг и надзор за моделями, используемыми в процессе рейтингования</w:t>
      </w:r>
      <w:r w:rsidR="00B04F54" w:rsidRPr="00D43281">
        <w:rPr>
          <w:rFonts w:ascii="Times New Roman" w:hAnsi="Times New Roman" w:cs="Times New Roman"/>
          <w:color w:val="000000" w:themeColor="text1"/>
          <w:sz w:val="24"/>
          <w:szCs w:val="24"/>
          <w:lang w:val="ru-RU"/>
        </w:rPr>
        <w:t>;</w:t>
      </w:r>
    </w:p>
    <w:p w14:paraId="53A4A3A9" w14:textId="7237584C" w:rsidR="00B04F54" w:rsidRPr="00D43281" w:rsidRDefault="0067771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RU"/>
        </w:rPr>
        <w:lastRenderedPageBreak/>
        <w:t xml:space="preserve">Постоянный пересмотр и изменение моделей, используемых в процессе рейтинговой </w:t>
      </w:r>
      <w:r w:rsidRPr="00D43281">
        <w:rPr>
          <w:rFonts w:ascii="Times New Roman" w:hAnsi="Times New Roman" w:cs="Times New Roman"/>
          <w:color w:val="000000" w:themeColor="text1"/>
          <w:sz w:val="24"/>
          <w:szCs w:val="24"/>
          <w:lang w:val="ru-MD"/>
        </w:rPr>
        <w:t>оценки</w:t>
      </w:r>
      <w:r w:rsidR="00B04F54" w:rsidRPr="00D43281">
        <w:rPr>
          <w:rFonts w:ascii="Times New Roman" w:hAnsi="Times New Roman" w:cs="Times New Roman"/>
          <w:color w:val="000000" w:themeColor="text1"/>
          <w:sz w:val="24"/>
          <w:szCs w:val="24"/>
          <w:lang w:val="ru-MD"/>
        </w:rPr>
        <w:t>.</w:t>
      </w:r>
    </w:p>
    <w:p w14:paraId="7A622AC4" w14:textId="3D71A22A" w:rsidR="00B04F54" w:rsidRPr="00D43281" w:rsidRDefault="00415CD1" w:rsidP="00E90A53">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bookmarkStart w:id="176" w:name="_Ref215474451"/>
      <w:r w:rsidRPr="00D43281">
        <w:rPr>
          <w:rFonts w:ascii="Times New Roman" w:hAnsi="Times New Roman" w:cs="Times New Roman"/>
          <w:color w:val="000000" w:themeColor="text1"/>
          <w:sz w:val="24"/>
          <w:szCs w:val="24"/>
          <w:lang w:val="ru-MD"/>
        </w:rPr>
        <w:t>Банки, использующие централизованные данные, полученные от нескольких банков в соответствии с пунктом 197, могут передавать на аутсорсинг следующие виды деятельности</w:t>
      </w:r>
      <w:r w:rsidR="00B04F54" w:rsidRPr="00D43281">
        <w:rPr>
          <w:rFonts w:ascii="Times New Roman" w:hAnsi="Times New Roman" w:cs="Times New Roman"/>
          <w:color w:val="000000" w:themeColor="text1"/>
          <w:sz w:val="24"/>
          <w:szCs w:val="24"/>
          <w:lang w:val="ru-MD"/>
        </w:rPr>
        <w:t>:</w:t>
      </w:r>
      <w:bookmarkEnd w:id="176"/>
    </w:p>
    <w:p w14:paraId="26A7C773" w14:textId="30F5A78D" w:rsidR="00B04F54" w:rsidRPr="00D43281" w:rsidRDefault="00415CD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Подготовку информации, необходимой для тестирования и мониторинга рейтинговых классов и групп риска</w:t>
      </w:r>
      <w:r w:rsidR="00B04F54" w:rsidRPr="00D43281">
        <w:rPr>
          <w:rFonts w:ascii="Times New Roman" w:hAnsi="Times New Roman" w:cs="Times New Roman"/>
          <w:color w:val="000000" w:themeColor="text1"/>
          <w:sz w:val="24"/>
          <w:szCs w:val="24"/>
          <w:lang w:val="ru-MD"/>
        </w:rPr>
        <w:t>;</w:t>
      </w:r>
    </w:p>
    <w:p w14:paraId="611681E4" w14:textId="255B0E79" w:rsidR="0043736E" w:rsidRPr="00D43281" w:rsidRDefault="00415CD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Подготовку сводных отчетов о рейтинговых системах банка</w:t>
      </w:r>
      <w:r w:rsidR="00B04F54" w:rsidRPr="00D43281">
        <w:rPr>
          <w:rFonts w:ascii="Times New Roman" w:hAnsi="Times New Roman" w:cs="Times New Roman"/>
          <w:color w:val="000000" w:themeColor="text1"/>
          <w:sz w:val="24"/>
          <w:szCs w:val="24"/>
          <w:lang w:val="ru-MD"/>
        </w:rPr>
        <w:t>;</w:t>
      </w:r>
    </w:p>
    <w:p w14:paraId="7D178060" w14:textId="1C1661D9" w:rsidR="0043736E" w:rsidRPr="00D43281" w:rsidRDefault="00415CD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Подготовка информации, необходимой для пересмотра рейтинговых критериев с целью оценки их способности прогнозировать риск</w:t>
      </w:r>
      <w:r w:rsidR="00B04F54" w:rsidRPr="00D43281">
        <w:rPr>
          <w:rFonts w:ascii="Times New Roman" w:hAnsi="Times New Roman" w:cs="Times New Roman"/>
          <w:color w:val="000000" w:themeColor="text1"/>
          <w:sz w:val="24"/>
          <w:szCs w:val="24"/>
          <w:lang w:val="ru-MD"/>
        </w:rPr>
        <w:t>;</w:t>
      </w:r>
    </w:p>
    <w:p w14:paraId="1A1DE9D8" w14:textId="21B484E5" w:rsidR="0043736E" w:rsidRPr="00D43281" w:rsidRDefault="00415CD1"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Регистрация изменений, внесенных в рейтинговый процесс, рейтинговые критерии или отдельные рейтинговые параметры</w:t>
      </w:r>
      <w:r w:rsidR="00B04F54" w:rsidRPr="00D43281">
        <w:rPr>
          <w:rFonts w:ascii="Times New Roman" w:hAnsi="Times New Roman" w:cs="Times New Roman"/>
          <w:color w:val="000000" w:themeColor="text1"/>
          <w:sz w:val="24"/>
          <w:szCs w:val="24"/>
          <w:lang w:val="ru-MD"/>
        </w:rPr>
        <w:t>;</w:t>
      </w:r>
    </w:p>
    <w:p w14:paraId="498C1661" w14:textId="1F585DE2" w:rsidR="00B04F54" w:rsidRPr="00D43281" w:rsidRDefault="00926970" w:rsidP="00E90A53">
      <w:pPr>
        <w:pStyle w:val="ListParagraph"/>
        <w:numPr>
          <w:ilvl w:val="1"/>
          <w:numId w:val="2"/>
        </w:numPr>
        <w:shd w:val="clear" w:color="auto" w:fill="FFFFFF"/>
        <w:tabs>
          <w:tab w:val="left" w:pos="0"/>
          <w:tab w:val="left" w:pos="567"/>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Подготовка информации, необходимой для постоянного пересмотра и изменения моделей, используемых в процессе рейтингования</w:t>
      </w:r>
      <w:r w:rsidR="00B04F54" w:rsidRPr="00D43281">
        <w:rPr>
          <w:rFonts w:ascii="Times New Roman" w:hAnsi="Times New Roman" w:cs="Times New Roman"/>
          <w:color w:val="000000" w:themeColor="text1"/>
          <w:sz w:val="24"/>
          <w:szCs w:val="24"/>
          <w:lang w:val="ru-MD"/>
        </w:rPr>
        <w:t>.</w:t>
      </w:r>
    </w:p>
    <w:p w14:paraId="013129D0" w14:textId="0F4CF465" w:rsidR="00B04F54" w:rsidRPr="00D43281" w:rsidRDefault="00926970"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Банки, применяющие пункт 24</w:t>
      </w:r>
      <w:r w:rsidR="0030401C">
        <w:rPr>
          <w:rFonts w:ascii="Times New Roman" w:hAnsi="Times New Roman" w:cs="Times New Roman"/>
          <w:color w:val="000000" w:themeColor="text1"/>
          <w:sz w:val="24"/>
          <w:szCs w:val="24"/>
          <w:lang w:val="ro-RO"/>
        </w:rPr>
        <w:t>4</w:t>
      </w:r>
      <w:r w:rsidRPr="00D43281">
        <w:rPr>
          <w:rFonts w:ascii="Times New Roman" w:hAnsi="Times New Roman" w:cs="Times New Roman"/>
          <w:color w:val="000000" w:themeColor="text1"/>
          <w:sz w:val="24"/>
          <w:szCs w:val="24"/>
          <w:lang w:val="ru-MD"/>
        </w:rPr>
        <w:t>, обеспечивают, чтобы Национальный банк Молдовы имел доступ ко всей соответствующей информации, полученной от третьих лиц, которая необходима для проверки соблюдения требований, и чтобы он мог проводить проверки на месте в той же мере, в какой он может проводить проверки в банке</w:t>
      </w:r>
      <w:r w:rsidR="00B04F54" w:rsidRPr="00D43281">
        <w:rPr>
          <w:rFonts w:ascii="Times New Roman" w:hAnsi="Times New Roman" w:cs="Times New Roman"/>
          <w:color w:val="000000" w:themeColor="text1"/>
          <w:sz w:val="24"/>
          <w:szCs w:val="24"/>
          <w:lang w:val="ru-MD"/>
        </w:rPr>
        <w:t>.</w:t>
      </w:r>
    </w:p>
    <w:p w14:paraId="6259CD66" w14:textId="63CBDFDF" w:rsidR="00A3384B" w:rsidRPr="00D43281" w:rsidRDefault="00E2127C" w:rsidP="00D00EFE">
      <w:pPr>
        <w:pStyle w:val="ListParagraph"/>
        <w:numPr>
          <w:ilvl w:val="0"/>
          <w:numId w:val="2"/>
        </w:numPr>
        <w:shd w:val="clear" w:color="auto" w:fill="FFFFFF"/>
        <w:tabs>
          <w:tab w:val="left" w:pos="0"/>
          <w:tab w:val="left" w:pos="567"/>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Внутренняя аудиторская служба или иная сопоставимая независимая аудиторская единица не реже одного раза в год проводит проверку рейтинговых систем банка и их функционирования, включая функцию кредитования и оценку вероятности дефолта, убытков в случае дефолта, ожидаемых убытков и коэффициентов конверсии. Среди проверяемых областей — соблюдение всех требований</w:t>
      </w:r>
      <w:r w:rsidR="00AD1846" w:rsidRPr="00D43281">
        <w:rPr>
          <w:rFonts w:ascii="Times New Roman" w:hAnsi="Times New Roman" w:cs="Times New Roman"/>
          <w:color w:val="000000" w:themeColor="text1"/>
          <w:sz w:val="24"/>
          <w:szCs w:val="24"/>
          <w:lang w:val="ru-MD"/>
        </w:rPr>
        <w:t>.</w:t>
      </w:r>
    </w:p>
    <w:p w14:paraId="370569CC" w14:textId="1B3B1562" w:rsidR="00807290" w:rsidRPr="00D43281" w:rsidRDefault="00807290">
      <w:pPr>
        <w:rPr>
          <w:rFonts w:ascii="Times New Roman" w:hAnsi="Times New Roman" w:cs="Times New Roman"/>
          <w:b/>
          <w:bCs/>
          <w:color w:val="000000" w:themeColor="text1"/>
          <w:sz w:val="24"/>
          <w:szCs w:val="24"/>
          <w:lang w:val="ro-RO"/>
        </w:rPr>
      </w:pPr>
      <w:r w:rsidRPr="00D43281">
        <w:rPr>
          <w:rFonts w:ascii="Times New Roman" w:hAnsi="Times New Roman" w:cs="Times New Roman"/>
          <w:b/>
          <w:bCs/>
          <w:color w:val="000000" w:themeColor="text1"/>
          <w:sz w:val="24"/>
          <w:szCs w:val="24"/>
          <w:lang w:val="ro-RO"/>
        </w:rPr>
        <w:br w:type="page"/>
      </w:r>
    </w:p>
    <w:p w14:paraId="18CC4311" w14:textId="7FF58EAA" w:rsidR="00821ED3" w:rsidRPr="006C6EA9" w:rsidRDefault="00614EBB" w:rsidP="00807290">
      <w:pPr>
        <w:pStyle w:val="ListParagraph"/>
        <w:shd w:val="clear" w:color="auto" w:fill="FFFFFF"/>
        <w:tabs>
          <w:tab w:val="left" w:pos="0"/>
          <w:tab w:val="left" w:pos="567"/>
        </w:tabs>
        <w:spacing w:before="60" w:after="0" w:line="240" w:lineRule="auto"/>
        <w:ind w:left="360"/>
        <w:jc w:val="right"/>
        <w:rPr>
          <w:rFonts w:ascii="Times New Roman" w:hAnsi="Times New Roman" w:cs="Times New Roman"/>
          <w:b/>
          <w:bCs/>
          <w:color w:val="000000" w:themeColor="text1"/>
          <w:sz w:val="24"/>
          <w:szCs w:val="24"/>
          <w:lang w:val="ro-RO"/>
        </w:rPr>
      </w:pPr>
      <w:r w:rsidRPr="00D43281">
        <w:rPr>
          <w:rFonts w:ascii="Times New Roman" w:hAnsi="Times New Roman" w:cs="Times New Roman"/>
          <w:b/>
          <w:bCs/>
          <w:color w:val="000000" w:themeColor="text1"/>
          <w:sz w:val="24"/>
          <w:szCs w:val="24"/>
          <w:lang w:val="ru-RU"/>
        </w:rPr>
        <w:lastRenderedPageBreak/>
        <w:t>Приложение</w:t>
      </w:r>
    </w:p>
    <w:p w14:paraId="332D6904" w14:textId="33668B2A" w:rsidR="00821ED3" w:rsidRPr="006C6EA9" w:rsidRDefault="00821ED3" w:rsidP="000123DC">
      <w:pPr>
        <w:pStyle w:val="ListParagraph"/>
        <w:shd w:val="clear" w:color="auto" w:fill="FFFFFF"/>
        <w:tabs>
          <w:tab w:val="left" w:pos="0"/>
          <w:tab w:val="left" w:pos="567"/>
        </w:tabs>
        <w:spacing w:before="60" w:after="0" w:line="240" w:lineRule="auto"/>
        <w:ind w:left="360"/>
        <w:jc w:val="right"/>
        <w:rPr>
          <w:rFonts w:ascii="Times New Roman" w:eastAsia="Times New Roman" w:hAnsi="Times New Roman" w:cs="Times New Roman"/>
          <w:b/>
          <w:bCs/>
          <w:sz w:val="24"/>
          <w:szCs w:val="24"/>
          <w:lang w:val="ro-RO" w:eastAsia="ro-MD"/>
        </w:rPr>
      </w:pPr>
      <w:r w:rsidRPr="00D43281">
        <w:rPr>
          <w:rFonts w:ascii="Times New Roman" w:hAnsi="Times New Roman" w:cs="Times New Roman"/>
          <w:b/>
          <w:bCs/>
          <w:color w:val="000000" w:themeColor="text1"/>
          <w:sz w:val="24"/>
          <w:szCs w:val="24"/>
          <w:lang w:val="ru-RU"/>
        </w:rPr>
        <w:t xml:space="preserve">к </w:t>
      </w:r>
      <w:bookmarkStart w:id="177" w:name="_Hlk233020681"/>
      <w:r w:rsidRPr="00D43281">
        <w:rPr>
          <w:rFonts w:ascii="Times New Roman" w:hAnsi="Times New Roman" w:cs="Times New Roman"/>
          <w:b/>
          <w:bCs/>
          <w:color w:val="000000" w:themeColor="text1"/>
          <w:sz w:val="24"/>
          <w:szCs w:val="24"/>
          <w:lang w:val="ru-RU"/>
        </w:rPr>
        <w:t xml:space="preserve">Регламенту </w:t>
      </w:r>
      <w:r w:rsidRPr="00D43281">
        <w:rPr>
          <w:rFonts w:ascii="Times New Roman" w:eastAsia="Times New Roman" w:hAnsi="Times New Roman" w:cs="Times New Roman"/>
          <w:b/>
          <w:bCs/>
          <w:sz w:val="24"/>
          <w:szCs w:val="24"/>
          <w:lang w:val="ru-RU" w:eastAsia="ro-MD"/>
        </w:rPr>
        <w:t>о подходе к кредитному риску в соответствии с подходом,</w:t>
      </w:r>
    </w:p>
    <w:p w14:paraId="2775F7F1" w14:textId="0A6F09BF" w:rsidR="00821ED3" w:rsidRPr="006C6EA9" w:rsidRDefault="00821ED3" w:rsidP="00821ED3">
      <w:pPr>
        <w:pStyle w:val="ListParagraph"/>
        <w:shd w:val="clear" w:color="auto" w:fill="FFFFFF"/>
        <w:tabs>
          <w:tab w:val="left" w:pos="0"/>
          <w:tab w:val="left" w:pos="567"/>
        </w:tabs>
        <w:spacing w:before="60" w:after="0" w:line="240" w:lineRule="auto"/>
        <w:ind w:left="360"/>
        <w:jc w:val="right"/>
        <w:rPr>
          <w:rFonts w:ascii="Times New Roman" w:eastAsia="Times New Roman" w:hAnsi="Times New Roman" w:cs="Times New Roman"/>
          <w:b/>
          <w:bCs/>
          <w:sz w:val="24"/>
          <w:szCs w:val="24"/>
          <w:lang w:val="ro-RO" w:eastAsia="ro-MD"/>
        </w:rPr>
      </w:pPr>
      <w:r w:rsidRPr="00D43281">
        <w:rPr>
          <w:rFonts w:ascii="Times New Roman" w:eastAsia="Times New Roman" w:hAnsi="Times New Roman" w:cs="Times New Roman"/>
          <w:b/>
          <w:bCs/>
          <w:sz w:val="24"/>
          <w:szCs w:val="24"/>
          <w:lang w:val="ru-RU" w:eastAsia="ro-MD"/>
        </w:rPr>
        <w:t>основанным на внутренних рейтинговых моделях</w:t>
      </w:r>
    </w:p>
    <w:bookmarkEnd w:id="177"/>
    <w:p w14:paraId="696ACF8E" w14:textId="77777777" w:rsidR="00BC4507" w:rsidRPr="00D43281" w:rsidRDefault="00BC4507" w:rsidP="00BC4507">
      <w:pPr>
        <w:pStyle w:val="ListParagraph"/>
        <w:shd w:val="clear" w:color="auto" w:fill="FFFFFF"/>
        <w:tabs>
          <w:tab w:val="left" w:pos="0"/>
          <w:tab w:val="left" w:pos="567"/>
        </w:tabs>
        <w:spacing w:before="60" w:after="0" w:line="240" w:lineRule="auto"/>
        <w:ind w:left="360"/>
        <w:jc w:val="both"/>
        <w:rPr>
          <w:rFonts w:ascii="Times New Roman" w:hAnsi="Times New Roman" w:cs="Times New Roman"/>
          <w:b/>
          <w:bCs/>
          <w:color w:val="000000" w:themeColor="text1"/>
          <w:sz w:val="24"/>
          <w:szCs w:val="24"/>
          <w:lang w:val="ru-RU"/>
        </w:rPr>
      </w:pPr>
    </w:p>
    <w:p w14:paraId="67E7F9EB" w14:textId="7741795A" w:rsidR="005B38F6" w:rsidRPr="00D43281" w:rsidRDefault="005B38F6" w:rsidP="001B7331">
      <w:pPr>
        <w:pStyle w:val="ListParagraph"/>
        <w:shd w:val="clear" w:color="auto" w:fill="FFFFFF"/>
        <w:tabs>
          <w:tab w:val="left" w:pos="0"/>
          <w:tab w:val="left" w:pos="567"/>
        </w:tabs>
        <w:spacing w:before="60" w:after="0" w:line="240" w:lineRule="auto"/>
        <w:ind w:left="360"/>
        <w:jc w:val="center"/>
        <w:rPr>
          <w:rFonts w:ascii="Times New Roman" w:hAnsi="Times New Roman" w:cs="Times New Roman"/>
          <w:b/>
          <w:bCs/>
          <w:color w:val="000000" w:themeColor="text1"/>
          <w:sz w:val="24"/>
          <w:szCs w:val="24"/>
          <w:lang w:val="ru-RU"/>
        </w:rPr>
      </w:pPr>
      <w:r w:rsidRPr="00D43281">
        <w:rPr>
          <w:rFonts w:ascii="Times New Roman" w:hAnsi="Times New Roman" w:cs="Times New Roman"/>
          <w:b/>
          <w:bCs/>
          <w:color w:val="000000" w:themeColor="text1"/>
          <w:sz w:val="24"/>
          <w:szCs w:val="24"/>
          <w:lang w:val="ru-RU"/>
        </w:rPr>
        <w:t xml:space="preserve">Уточнение порядка учета факторов, влияющих на присвоение весовых коэффициентов </w:t>
      </w:r>
      <w:r w:rsidR="00CA5FD5" w:rsidRPr="00D43281">
        <w:rPr>
          <w:rFonts w:ascii="Times New Roman" w:hAnsi="Times New Roman" w:cs="Times New Roman"/>
          <w:b/>
          <w:bCs/>
          <w:color w:val="000000" w:themeColor="text1"/>
          <w:sz w:val="24"/>
          <w:szCs w:val="24"/>
          <w:lang w:val="ru-RU"/>
        </w:rPr>
        <w:t>риска,</w:t>
      </w:r>
      <w:r w:rsidRPr="00D43281">
        <w:rPr>
          <w:rFonts w:ascii="Times New Roman" w:hAnsi="Times New Roman" w:cs="Times New Roman"/>
          <w:b/>
          <w:bCs/>
          <w:color w:val="000000" w:themeColor="text1"/>
          <w:sz w:val="24"/>
          <w:szCs w:val="24"/>
          <w:lang w:val="ru-RU"/>
        </w:rPr>
        <w:t xml:space="preserve"> как это изложено в пункте 76</w:t>
      </w:r>
    </w:p>
    <w:p w14:paraId="0A6D2F26" w14:textId="066E13AF" w:rsidR="00807290" w:rsidRPr="00D43281" w:rsidRDefault="005B38F6" w:rsidP="001B7331">
      <w:pPr>
        <w:pStyle w:val="ListParagraph"/>
        <w:shd w:val="clear" w:color="auto" w:fill="FFFFFF"/>
        <w:tabs>
          <w:tab w:val="left" w:pos="0"/>
          <w:tab w:val="left" w:pos="567"/>
        </w:tabs>
        <w:spacing w:before="60" w:after="0" w:line="240" w:lineRule="auto"/>
        <w:ind w:left="360"/>
        <w:jc w:val="center"/>
        <w:rPr>
          <w:rFonts w:ascii="Times New Roman" w:hAnsi="Times New Roman" w:cs="Times New Roman"/>
          <w:b/>
          <w:bCs/>
          <w:color w:val="000000" w:themeColor="text1"/>
          <w:sz w:val="24"/>
          <w:szCs w:val="24"/>
          <w:lang w:val="ru-RU"/>
        </w:rPr>
      </w:pPr>
      <w:r w:rsidRPr="00D43281">
        <w:rPr>
          <w:rFonts w:ascii="Times New Roman" w:hAnsi="Times New Roman" w:cs="Times New Roman"/>
          <w:b/>
          <w:bCs/>
          <w:color w:val="000000" w:themeColor="text1"/>
          <w:sz w:val="24"/>
          <w:szCs w:val="24"/>
          <w:lang w:val="ru-RU"/>
        </w:rPr>
        <w:t>Часть</w:t>
      </w:r>
      <w:r w:rsidR="00807290" w:rsidRPr="00D43281">
        <w:rPr>
          <w:rFonts w:ascii="Times New Roman" w:hAnsi="Times New Roman" w:cs="Times New Roman"/>
          <w:b/>
          <w:bCs/>
          <w:color w:val="000000" w:themeColor="text1"/>
          <w:sz w:val="24"/>
          <w:szCs w:val="24"/>
          <w:lang w:val="ru-RU"/>
        </w:rPr>
        <w:t xml:space="preserve"> 1</w:t>
      </w:r>
    </w:p>
    <w:p w14:paraId="75169781" w14:textId="41015963" w:rsidR="00807290" w:rsidRPr="00D43281" w:rsidRDefault="00AC2A1F" w:rsidP="009046B6">
      <w:pPr>
        <w:pStyle w:val="ListParagraph"/>
        <w:shd w:val="clear" w:color="auto" w:fill="FFFFFF"/>
        <w:tabs>
          <w:tab w:val="left" w:pos="0"/>
        </w:tabs>
        <w:spacing w:after="80" w:line="240" w:lineRule="auto"/>
        <w:ind w:left="0"/>
        <w:contextualSpacing w:val="0"/>
        <w:jc w:val="center"/>
        <w:rPr>
          <w:rFonts w:ascii="Times New Roman" w:hAnsi="Times New Roman" w:cs="Times New Roman"/>
          <w:b/>
          <w:bCs/>
          <w:color w:val="000000" w:themeColor="text1"/>
          <w:sz w:val="24"/>
          <w:szCs w:val="24"/>
          <w:lang w:val="ru-RU"/>
        </w:rPr>
      </w:pPr>
      <w:r w:rsidRPr="00D43281">
        <w:rPr>
          <w:rFonts w:ascii="Times New Roman" w:hAnsi="Times New Roman" w:cs="Times New Roman"/>
          <w:b/>
          <w:bCs/>
          <w:color w:val="000000" w:themeColor="text1"/>
          <w:sz w:val="24"/>
          <w:szCs w:val="24"/>
          <w:lang w:val="ru-RU"/>
        </w:rPr>
        <w:t>Статус неплатежеспособности должника</w:t>
      </w:r>
    </w:p>
    <w:p w14:paraId="3F6E991D" w14:textId="2EDEC634" w:rsidR="00EC21A0" w:rsidRPr="00D43281" w:rsidRDefault="00AC2A1F" w:rsidP="00221F42">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RU"/>
        </w:rPr>
        <w:t>Если должник находится в состоянии неисполнения обязательств в соответствии с Регламентом № 111/2018, банк присваивает соответствующе</w:t>
      </w:r>
      <w:r w:rsidR="00970047" w:rsidRPr="00D43281">
        <w:rPr>
          <w:rFonts w:ascii="Times New Roman" w:hAnsi="Times New Roman" w:cs="Times New Roman"/>
          <w:color w:val="000000" w:themeColor="text1"/>
          <w:sz w:val="24"/>
          <w:szCs w:val="24"/>
          <w:lang w:val="ru-RU"/>
        </w:rPr>
        <w:t>й подверженност</w:t>
      </w:r>
      <w:r w:rsidR="00CA5FD5" w:rsidRPr="00D43281">
        <w:rPr>
          <w:rFonts w:ascii="Times New Roman" w:hAnsi="Times New Roman" w:cs="Times New Roman"/>
          <w:color w:val="000000" w:themeColor="text1"/>
          <w:sz w:val="24"/>
          <w:szCs w:val="24"/>
          <w:lang w:val="ru-RU"/>
        </w:rPr>
        <w:t>и</w:t>
      </w:r>
      <w:r w:rsidR="00970047" w:rsidRPr="00D43281">
        <w:rPr>
          <w:rFonts w:ascii="Times New Roman" w:hAnsi="Times New Roman" w:cs="Times New Roman"/>
          <w:color w:val="000000" w:themeColor="text1"/>
          <w:sz w:val="24"/>
          <w:szCs w:val="24"/>
          <w:lang w:val="ru-RU"/>
        </w:rPr>
        <w:t xml:space="preserve"> из специализированного финансирования </w:t>
      </w:r>
      <w:r w:rsidRPr="00D43281">
        <w:rPr>
          <w:rFonts w:ascii="Times New Roman" w:hAnsi="Times New Roman" w:cs="Times New Roman"/>
          <w:color w:val="000000" w:themeColor="text1"/>
          <w:sz w:val="24"/>
          <w:szCs w:val="24"/>
          <w:lang w:val="ru-RU"/>
        </w:rPr>
        <w:t>весовой коэффициент риска категории 5, как указано в таблиц</w:t>
      </w:r>
      <w:r w:rsidR="00C4652A" w:rsidRPr="00D43281">
        <w:rPr>
          <w:rFonts w:ascii="Times New Roman" w:hAnsi="Times New Roman" w:cs="Times New Roman"/>
          <w:color w:val="000000" w:themeColor="text1"/>
          <w:sz w:val="24"/>
          <w:szCs w:val="24"/>
          <w:lang w:val="ru-RU"/>
        </w:rPr>
        <w:t>е</w:t>
      </w:r>
      <w:r w:rsidRPr="00D43281">
        <w:rPr>
          <w:rFonts w:ascii="Times New Roman" w:hAnsi="Times New Roman" w:cs="Times New Roman"/>
          <w:color w:val="000000" w:themeColor="text1"/>
          <w:sz w:val="24"/>
          <w:szCs w:val="24"/>
          <w:lang w:val="ru-RU"/>
        </w:rPr>
        <w:t xml:space="preserve"> № 1</w:t>
      </w:r>
      <w:r w:rsidR="00C4652A" w:rsidRPr="00D43281">
        <w:rPr>
          <w:rFonts w:ascii="Times New Roman" w:hAnsi="Times New Roman" w:cs="Times New Roman"/>
          <w:color w:val="000000" w:themeColor="text1"/>
          <w:sz w:val="24"/>
          <w:szCs w:val="24"/>
          <w:lang w:val="ru-RU"/>
        </w:rPr>
        <w:t xml:space="preserve"> пункта 75</w:t>
      </w:r>
      <w:r w:rsidR="00807290" w:rsidRPr="00D43281">
        <w:rPr>
          <w:rFonts w:ascii="Times New Roman" w:hAnsi="Times New Roman" w:cs="Times New Roman"/>
          <w:color w:val="000000" w:themeColor="text1"/>
          <w:sz w:val="24"/>
          <w:szCs w:val="24"/>
          <w:lang w:val="ro-RO"/>
        </w:rPr>
        <w:t>.</w:t>
      </w:r>
    </w:p>
    <w:p w14:paraId="6753A32A" w14:textId="36EF3270" w:rsidR="00A32AA9" w:rsidRPr="00D43281" w:rsidRDefault="00C4652A" w:rsidP="00EC21A0">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color w:val="000000" w:themeColor="text1"/>
          <w:sz w:val="24"/>
          <w:szCs w:val="24"/>
          <w:lang w:val="ro-RO"/>
        </w:rPr>
      </w:pPr>
      <w:r w:rsidRPr="00D43281">
        <w:rPr>
          <w:rFonts w:ascii="Times New Roman" w:hAnsi="Times New Roman" w:cs="Times New Roman"/>
          <w:b/>
          <w:bCs/>
          <w:color w:val="000000" w:themeColor="text1"/>
          <w:sz w:val="24"/>
          <w:szCs w:val="24"/>
          <w:lang w:val="ru-RU"/>
        </w:rPr>
        <w:t>Часть</w:t>
      </w:r>
      <w:r w:rsidR="00A32AA9" w:rsidRPr="00D43281">
        <w:rPr>
          <w:rFonts w:ascii="Times New Roman" w:hAnsi="Times New Roman" w:cs="Times New Roman"/>
          <w:b/>
          <w:bCs/>
          <w:color w:val="000000" w:themeColor="text1"/>
          <w:sz w:val="24"/>
          <w:szCs w:val="24"/>
          <w:lang w:val="ro-RO"/>
        </w:rPr>
        <w:t xml:space="preserve"> 2</w:t>
      </w:r>
    </w:p>
    <w:p w14:paraId="3C53CA1B" w14:textId="7B96F1EA" w:rsidR="00C37E52" w:rsidRPr="00D43281" w:rsidRDefault="00C4652A" w:rsidP="009046B6">
      <w:pPr>
        <w:pStyle w:val="ListParagraph"/>
        <w:shd w:val="clear" w:color="auto" w:fill="FFFFFF"/>
        <w:tabs>
          <w:tab w:val="left" w:pos="0"/>
        </w:tabs>
        <w:spacing w:after="80" w:line="240" w:lineRule="auto"/>
        <w:ind w:left="0"/>
        <w:contextualSpacing w:val="0"/>
        <w:jc w:val="center"/>
        <w:rPr>
          <w:rFonts w:ascii="Times New Roman" w:hAnsi="Times New Roman" w:cs="Times New Roman"/>
          <w:color w:val="000000" w:themeColor="text1"/>
          <w:sz w:val="24"/>
          <w:szCs w:val="24"/>
          <w:lang w:val="ro-RO"/>
        </w:rPr>
      </w:pPr>
      <w:r w:rsidRPr="00D43281">
        <w:rPr>
          <w:rFonts w:ascii="Times New Roman" w:hAnsi="Times New Roman" w:cs="Times New Roman"/>
          <w:b/>
          <w:bCs/>
          <w:color w:val="000000" w:themeColor="text1"/>
          <w:sz w:val="24"/>
          <w:szCs w:val="24"/>
          <w:lang w:val="ru-RU"/>
        </w:rPr>
        <w:t>Критерии оценки, применимые к различным классам подверженност</w:t>
      </w:r>
      <w:r w:rsidR="00CA5FD5" w:rsidRPr="00D43281">
        <w:rPr>
          <w:rFonts w:ascii="Times New Roman" w:hAnsi="Times New Roman" w:cs="Times New Roman"/>
          <w:b/>
          <w:bCs/>
          <w:color w:val="000000" w:themeColor="text1"/>
          <w:sz w:val="24"/>
          <w:szCs w:val="24"/>
          <w:lang w:val="ru-RU"/>
        </w:rPr>
        <w:t>ей</w:t>
      </w:r>
      <w:r w:rsidRPr="00D43281">
        <w:rPr>
          <w:rFonts w:ascii="Times New Roman" w:hAnsi="Times New Roman" w:cs="Times New Roman"/>
          <w:b/>
          <w:bCs/>
          <w:color w:val="000000" w:themeColor="text1"/>
          <w:sz w:val="24"/>
          <w:szCs w:val="24"/>
          <w:lang w:val="ru-RU"/>
        </w:rPr>
        <w:t xml:space="preserve"> из специализированного финансирования</w:t>
      </w:r>
      <w:r w:rsidRPr="00D43281">
        <w:rPr>
          <w:rFonts w:ascii="Times New Roman" w:hAnsi="Times New Roman" w:cs="Times New Roman"/>
          <w:b/>
          <w:bCs/>
          <w:color w:val="000000" w:themeColor="text1"/>
          <w:sz w:val="24"/>
          <w:szCs w:val="24"/>
          <w:lang w:val="ro-RO"/>
        </w:rPr>
        <w:t xml:space="preserve"> </w:t>
      </w:r>
    </w:p>
    <w:p w14:paraId="647635DF" w14:textId="78F8751E" w:rsidR="00622816" w:rsidRPr="00D43281" w:rsidRDefault="00622816" w:rsidP="00622816">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Если целью подверженности из специализированного финансирования является финансирование развития или приобретения крупных, сложных и дорогостоящих объектов, в частности электростанций, химических заводов, шахт, транспортной инфраструктуры, экологической инфраструктуры и телекоммуникаций, а доходы, которые должны быть получены от активов, представляют собой денежные средства по контрактам на продукцию, производимую объектом, полученные от нескольких сторон, не находящихся под управленческим контролем спонсора («подверженности из специализированного финансирования»), банки применяют критерии оценки, предусмотренные в таблице № 1 настоящего приложения для данного класса </w:t>
      </w:r>
      <w:r w:rsidR="005F4549" w:rsidRPr="00D43281">
        <w:rPr>
          <w:rFonts w:ascii="Times New Roman" w:hAnsi="Times New Roman" w:cs="Times New Roman"/>
          <w:color w:val="000000" w:themeColor="text1"/>
          <w:sz w:val="24"/>
          <w:szCs w:val="24"/>
          <w:lang w:val="ru-RU"/>
        </w:rPr>
        <w:t>подверженностей</w:t>
      </w:r>
      <w:r w:rsidRPr="00D43281">
        <w:rPr>
          <w:rFonts w:ascii="Times New Roman" w:hAnsi="Times New Roman" w:cs="Times New Roman"/>
          <w:color w:val="000000" w:themeColor="text1"/>
          <w:sz w:val="24"/>
          <w:szCs w:val="24"/>
          <w:lang w:val="ru-RU"/>
        </w:rPr>
        <w:t>, при присвоении весовых коэффициентов риска</w:t>
      </w:r>
      <w:r w:rsidR="005F4549" w:rsidRPr="00D43281">
        <w:rPr>
          <w:rFonts w:ascii="Times New Roman" w:hAnsi="Times New Roman" w:cs="Times New Roman"/>
          <w:color w:val="000000" w:themeColor="text1"/>
          <w:sz w:val="24"/>
          <w:szCs w:val="24"/>
          <w:lang w:val="ru-RU"/>
        </w:rPr>
        <w:t>.</w:t>
      </w:r>
    </w:p>
    <w:p w14:paraId="6A5776C3" w14:textId="3A7C5B19" w:rsidR="003D2FA8" w:rsidRPr="00D43281" w:rsidRDefault="003D2FA8" w:rsidP="003D2FA8">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Если целью подверженности из специализированного финансирования является финансирование развития или приобретения объектов недвижимости, включая, в частности, офисные здания, сдаваемые в аренду, торговые помещения, многоквартирные жилые дома, промышленные или складские помещения, гостиницы и земельные участки, а доходы, которые должны быть получены от недвижимости, представляют собой лизинговые платежи, арендную плату или доходы от продажи недвижимости, получаемые от одной или нескольких третьих сторон («подверженности, связанные с недвижимостью»), банки применяют критерии оценки, предусмотренные в таблице № 2 настоящего приложения для данного класса подверженностей, при присвоении весовых коэффициентов риска</w:t>
      </w:r>
      <w:r w:rsidR="009A5055" w:rsidRPr="00D43281">
        <w:rPr>
          <w:rFonts w:ascii="Times New Roman" w:hAnsi="Times New Roman" w:cs="Times New Roman"/>
          <w:color w:val="000000" w:themeColor="text1"/>
          <w:sz w:val="24"/>
          <w:szCs w:val="24"/>
          <w:lang w:val="ru-MD"/>
        </w:rPr>
        <w:t>.</w:t>
      </w:r>
    </w:p>
    <w:p w14:paraId="7E1208A7" w14:textId="7D802811" w:rsidR="009A5055" w:rsidRPr="00D43281" w:rsidRDefault="009A5055" w:rsidP="009A5055">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Если целью подверженности из специализированного финансирования является финансирование приобретения материальных активов, включая, в частности, суда, воздушные суда, спутники, автотранспортные средства и автопарки, а доходы, которые будут генерироваться этими активами, состоят из лизинговых платежей или арендной платы, получаемой от одной или нескольких третьих сторон («</w:t>
      </w:r>
      <w:r w:rsidR="001637C9" w:rsidRPr="00D43281">
        <w:rPr>
          <w:rFonts w:ascii="Times New Roman" w:hAnsi="Times New Roman" w:cs="Times New Roman"/>
          <w:color w:val="000000" w:themeColor="text1"/>
          <w:sz w:val="24"/>
          <w:szCs w:val="24"/>
          <w:lang w:val="ru-MD"/>
        </w:rPr>
        <w:t xml:space="preserve">подверженности по </w:t>
      </w:r>
      <w:r w:rsidRPr="00D43281">
        <w:rPr>
          <w:rFonts w:ascii="Times New Roman" w:hAnsi="Times New Roman" w:cs="Times New Roman"/>
          <w:color w:val="000000" w:themeColor="text1"/>
          <w:sz w:val="24"/>
          <w:szCs w:val="24"/>
          <w:lang w:val="ru-MD"/>
        </w:rPr>
        <w:t xml:space="preserve">финансированию объектов»), банки применяют критерии оценки, предусмотренные в таблице № 3 настоящего приложения для данного класса </w:t>
      </w:r>
      <w:r w:rsidR="001637C9" w:rsidRPr="00D43281">
        <w:rPr>
          <w:rFonts w:ascii="Times New Roman" w:hAnsi="Times New Roman" w:cs="Times New Roman"/>
          <w:color w:val="000000" w:themeColor="text1"/>
          <w:sz w:val="24"/>
          <w:szCs w:val="24"/>
          <w:lang w:val="ru-MD"/>
        </w:rPr>
        <w:t>подверженностей</w:t>
      </w:r>
      <w:r w:rsidRPr="00D43281">
        <w:rPr>
          <w:rFonts w:ascii="Times New Roman" w:hAnsi="Times New Roman" w:cs="Times New Roman"/>
          <w:color w:val="000000" w:themeColor="text1"/>
          <w:sz w:val="24"/>
          <w:szCs w:val="24"/>
          <w:lang w:val="ru-MD"/>
        </w:rPr>
        <w:t>, при присвоении весовых коэффициентов риска</w:t>
      </w:r>
      <w:r w:rsidR="001637C9" w:rsidRPr="00D43281">
        <w:rPr>
          <w:rFonts w:ascii="Times New Roman" w:hAnsi="Times New Roman" w:cs="Times New Roman"/>
          <w:color w:val="000000" w:themeColor="text1"/>
          <w:sz w:val="24"/>
          <w:szCs w:val="24"/>
          <w:lang w:val="ru-MD"/>
        </w:rPr>
        <w:t>.</w:t>
      </w:r>
    </w:p>
    <w:p w14:paraId="3C02ECC8" w14:textId="2F000579" w:rsidR="00C37E52" w:rsidRPr="00D43281" w:rsidRDefault="00770015"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Если целью риска по специализированному финансированию является финансирование резервов, запасов,  или дебиторской задолженности, связанных с товарами, торгуемыми на бирже, включая, в частности, нефть, металлы или сельскохозяйственные культуры, и если доходы, которые должны быть получены от указанных резервов, запасов или дебиторской задолженности, будут представлять собой поступления от продажи товаров («подверженности по финансированию товаров»), банки применяют критерии оценки, предусмотренные в таблице № 4 настоящего приложения для данного класса подверженностей, при присвоении весовых коэффициентов риска</w:t>
      </w:r>
      <w:r w:rsidR="00C37E52" w:rsidRPr="00D43281">
        <w:rPr>
          <w:rFonts w:ascii="Times New Roman" w:hAnsi="Times New Roman" w:cs="Times New Roman"/>
          <w:color w:val="000000" w:themeColor="text1"/>
          <w:sz w:val="24"/>
          <w:szCs w:val="24"/>
          <w:lang w:val="ru-MD"/>
        </w:rPr>
        <w:t>.</w:t>
      </w:r>
    </w:p>
    <w:p w14:paraId="120E23B6" w14:textId="02F9B742" w:rsidR="00BA2042" w:rsidRPr="00D43281" w:rsidRDefault="00770015" w:rsidP="00EC21A0">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color w:val="000000" w:themeColor="text1"/>
          <w:sz w:val="24"/>
          <w:szCs w:val="24"/>
          <w:lang w:val="ro-RO"/>
        </w:rPr>
      </w:pPr>
      <w:r w:rsidRPr="00D43281">
        <w:rPr>
          <w:rFonts w:ascii="Times New Roman" w:hAnsi="Times New Roman" w:cs="Times New Roman"/>
          <w:b/>
          <w:bCs/>
          <w:color w:val="000000" w:themeColor="text1"/>
          <w:sz w:val="24"/>
          <w:szCs w:val="24"/>
          <w:lang w:val="ru-RU"/>
        </w:rPr>
        <w:lastRenderedPageBreak/>
        <w:t>Часть</w:t>
      </w:r>
      <w:r w:rsidR="00BA2042" w:rsidRPr="00D43281">
        <w:rPr>
          <w:rFonts w:ascii="Times New Roman" w:hAnsi="Times New Roman" w:cs="Times New Roman"/>
          <w:b/>
          <w:bCs/>
          <w:color w:val="000000" w:themeColor="text1"/>
          <w:sz w:val="24"/>
          <w:szCs w:val="24"/>
          <w:lang w:val="ro-RO"/>
        </w:rPr>
        <w:t xml:space="preserve"> </w:t>
      </w:r>
      <w:r w:rsidR="001D7E96" w:rsidRPr="00D43281">
        <w:rPr>
          <w:rFonts w:ascii="Times New Roman" w:hAnsi="Times New Roman" w:cs="Times New Roman"/>
          <w:b/>
          <w:bCs/>
          <w:color w:val="000000" w:themeColor="text1"/>
          <w:sz w:val="24"/>
          <w:szCs w:val="24"/>
          <w:lang w:val="ro-RO"/>
        </w:rPr>
        <w:t>3</w:t>
      </w:r>
    </w:p>
    <w:p w14:paraId="36B37993" w14:textId="6E82E15B" w:rsidR="00C37E52" w:rsidRPr="00D43281" w:rsidRDefault="00770015" w:rsidP="00EC21A0">
      <w:pPr>
        <w:pStyle w:val="ListParagraph"/>
        <w:shd w:val="clear" w:color="auto" w:fill="FFFFFF"/>
        <w:tabs>
          <w:tab w:val="left" w:pos="0"/>
        </w:tabs>
        <w:spacing w:after="120" w:line="240" w:lineRule="auto"/>
        <w:ind w:left="0"/>
        <w:jc w:val="center"/>
        <w:rPr>
          <w:rFonts w:ascii="Times New Roman" w:hAnsi="Times New Roman" w:cs="Times New Roman"/>
          <w:color w:val="000000" w:themeColor="text1"/>
          <w:sz w:val="24"/>
          <w:szCs w:val="24"/>
          <w:lang w:val="ru-MD"/>
        </w:rPr>
      </w:pPr>
      <w:r w:rsidRPr="00D43281">
        <w:rPr>
          <w:rFonts w:ascii="Times New Roman" w:hAnsi="Times New Roman" w:cs="Times New Roman"/>
          <w:b/>
          <w:bCs/>
          <w:color w:val="000000" w:themeColor="text1"/>
          <w:sz w:val="24"/>
          <w:szCs w:val="24"/>
          <w:lang w:val="ru-MD"/>
        </w:rPr>
        <w:t>Оценка на уровне факторов и присвоение весовых коэффициентов риска</w:t>
      </w:r>
    </w:p>
    <w:p w14:paraId="7302565E" w14:textId="6B27C3C7" w:rsidR="005C2850" w:rsidRPr="00D43281" w:rsidRDefault="005C2850"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u-RU"/>
        </w:rPr>
      </w:pPr>
      <w:r w:rsidRPr="00D43281">
        <w:rPr>
          <w:rFonts w:ascii="Times New Roman" w:hAnsi="Times New Roman" w:cs="Times New Roman"/>
          <w:color w:val="000000" w:themeColor="text1"/>
          <w:sz w:val="24"/>
          <w:szCs w:val="24"/>
          <w:lang w:val="ru-RU"/>
        </w:rPr>
        <w:t xml:space="preserve">На основе комплексной оценки банки относят каждый фактор, указанный в приложении и применимый к классу </w:t>
      </w:r>
      <w:r w:rsidR="0056710C" w:rsidRPr="00D43281">
        <w:rPr>
          <w:rFonts w:ascii="Times New Roman" w:hAnsi="Times New Roman" w:cs="Times New Roman"/>
          <w:color w:val="000000" w:themeColor="text1"/>
          <w:sz w:val="24"/>
          <w:szCs w:val="24"/>
          <w:lang w:val="ru-MD"/>
        </w:rPr>
        <w:t xml:space="preserve">подверженностей из специализированного финансирования </w:t>
      </w:r>
      <w:r w:rsidRPr="00D43281">
        <w:rPr>
          <w:rFonts w:ascii="Times New Roman" w:hAnsi="Times New Roman" w:cs="Times New Roman"/>
          <w:color w:val="000000" w:themeColor="text1"/>
          <w:sz w:val="24"/>
          <w:szCs w:val="24"/>
          <w:lang w:val="ru-RU"/>
        </w:rPr>
        <w:t xml:space="preserve">в соответствии с </w:t>
      </w:r>
      <w:r w:rsidR="009046B6" w:rsidRPr="009046B6">
        <w:rPr>
          <w:rFonts w:ascii="Times New Roman" w:hAnsi="Times New Roman" w:cs="Times New Roman"/>
          <w:color w:val="000000" w:themeColor="text1"/>
          <w:sz w:val="24"/>
          <w:szCs w:val="24"/>
          <w:lang w:val="ru-RU"/>
        </w:rPr>
        <w:t xml:space="preserve">частью </w:t>
      </w:r>
      <w:r w:rsidRPr="00D43281">
        <w:rPr>
          <w:rFonts w:ascii="Times New Roman" w:hAnsi="Times New Roman" w:cs="Times New Roman"/>
          <w:color w:val="000000" w:themeColor="text1"/>
          <w:sz w:val="24"/>
          <w:szCs w:val="24"/>
          <w:lang w:val="ru-RU"/>
        </w:rPr>
        <w:t>2 настоящего приложения, к одной из категорий. Для каждо</w:t>
      </w:r>
      <w:r w:rsidR="0056710C" w:rsidRPr="00D43281">
        <w:rPr>
          <w:rFonts w:ascii="Times New Roman" w:hAnsi="Times New Roman" w:cs="Times New Roman"/>
          <w:color w:val="000000" w:themeColor="text1"/>
          <w:sz w:val="24"/>
          <w:szCs w:val="24"/>
          <w:lang w:val="ru-RU"/>
        </w:rPr>
        <w:t xml:space="preserve">й </w:t>
      </w:r>
      <w:r w:rsidR="0056710C" w:rsidRPr="00D43281">
        <w:rPr>
          <w:rFonts w:ascii="Times New Roman" w:hAnsi="Times New Roman" w:cs="Times New Roman"/>
          <w:color w:val="000000" w:themeColor="text1"/>
          <w:sz w:val="24"/>
          <w:szCs w:val="24"/>
          <w:lang w:val="ru-MD"/>
        </w:rPr>
        <w:t>подверженности из специализированного финансирования</w:t>
      </w:r>
      <w:r w:rsidRPr="00D43281">
        <w:rPr>
          <w:rFonts w:ascii="Times New Roman" w:hAnsi="Times New Roman" w:cs="Times New Roman"/>
          <w:color w:val="000000" w:themeColor="text1"/>
          <w:sz w:val="24"/>
          <w:szCs w:val="24"/>
          <w:lang w:val="ru-RU"/>
        </w:rPr>
        <w:t xml:space="preserve"> банк осуществляет такую классификацию с учетом категорий, к которым относится каждый применимый </w:t>
      </w:r>
      <w:proofErr w:type="spellStart"/>
      <w:r w:rsidRPr="00D43281">
        <w:rPr>
          <w:rFonts w:ascii="Times New Roman" w:hAnsi="Times New Roman" w:cs="Times New Roman"/>
          <w:color w:val="000000" w:themeColor="text1"/>
          <w:sz w:val="24"/>
          <w:szCs w:val="24"/>
          <w:lang w:val="ru-RU"/>
        </w:rPr>
        <w:t>подфактор</w:t>
      </w:r>
      <w:proofErr w:type="spellEnd"/>
      <w:r w:rsidRPr="00D43281">
        <w:rPr>
          <w:rFonts w:ascii="Times New Roman" w:hAnsi="Times New Roman" w:cs="Times New Roman"/>
          <w:color w:val="000000" w:themeColor="text1"/>
          <w:sz w:val="24"/>
          <w:szCs w:val="24"/>
          <w:lang w:val="ru-RU"/>
        </w:rPr>
        <w:t xml:space="preserve"> в соответствии с </w:t>
      </w:r>
      <w:r w:rsidR="009046B6" w:rsidRPr="009046B6">
        <w:rPr>
          <w:rFonts w:ascii="Times New Roman" w:hAnsi="Times New Roman" w:cs="Times New Roman"/>
          <w:color w:val="000000" w:themeColor="text1"/>
          <w:sz w:val="24"/>
          <w:szCs w:val="24"/>
          <w:lang w:val="ru-RU"/>
        </w:rPr>
        <w:t xml:space="preserve">частями </w:t>
      </w:r>
      <w:r w:rsidRPr="00D43281">
        <w:rPr>
          <w:rFonts w:ascii="Times New Roman" w:hAnsi="Times New Roman" w:cs="Times New Roman"/>
          <w:color w:val="000000" w:themeColor="text1"/>
          <w:sz w:val="24"/>
          <w:szCs w:val="24"/>
          <w:lang w:val="ru-RU"/>
        </w:rPr>
        <w:t xml:space="preserve">3 и 4 настоящего приложения, а также относительной важности каждого </w:t>
      </w:r>
      <w:proofErr w:type="spellStart"/>
      <w:r w:rsidRPr="00D43281">
        <w:rPr>
          <w:rFonts w:ascii="Times New Roman" w:hAnsi="Times New Roman" w:cs="Times New Roman"/>
          <w:color w:val="000000" w:themeColor="text1"/>
          <w:sz w:val="24"/>
          <w:szCs w:val="24"/>
          <w:lang w:val="ru-RU"/>
        </w:rPr>
        <w:t>подфактора</w:t>
      </w:r>
      <w:proofErr w:type="spellEnd"/>
      <w:r w:rsidRPr="00D43281">
        <w:rPr>
          <w:rFonts w:ascii="Times New Roman" w:hAnsi="Times New Roman" w:cs="Times New Roman"/>
          <w:color w:val="000000" w:themeColor="text1"/>
          <w:sz w:val="24"/>
          <w:szCs w:val="24"/>
          <w:lang w:val="ru-RU"/>
        </w:rPr>
        <w:t xml:space="preserve"> для типа </w:t>
      </w:r>
      <w:r w:rsidR="0056710C" w:rsidRPr="00D43281">
        <w:rPr>
          <w:rFonts w:ascii="Times New Roman" w:hAnsi="Times New Roman" w:cs="Times New Roman"/>
          <w:color w:val="000000" w:themeColor="text1"/>
          <w:sz w:val="24"/>
          <w:szCs w:val="24"/>
          <w:lang w:val="ru-MD"/>
        </w:rPr>
        <w:t>подверженностей из специализированного финансирования</w:t>
      </w:r>
      <w:r w:rsidRPr="00D43281">
        <w:rPr>
          <w:rFonts w:ascii="Times New Roman" w:hAnsi="Times New Roman" w:cs="Times New Roman"/>
          <w:color w:val="000000" w:themeColor="text1"/>
          <w:sz w:val="24"/>
          <w:szCs w:val="24"/>
          <w:lang w:val="ru-RU"/>
        </w:rPr>
        <w:t>, как это определено в подпункте 3.</w:t>
      </w:r>
      <w:r w:rsidR="00066BF4">
        <w:rPr>
          <w:rFonts w:ascii="Times New Roman" w:hAnsi="Times New Roman" w:cs="Times New Roman"/>
          <w:color w:val="000000" w:themeColor="text1"/>
          <w:sz w:val="24"/>
          <w:szCs w:val="24"/>
          <w:lang w:val="ro-RO"/>
        </w:rPr>
        <w:t>27</w:t>
      </w:r>
      <w:r w:rsidR="00E85622" w:rsidRPr="00D43281">
        <w:rPr>
          <w:rFonts w:ascii="Times New Roman" w:hAnsi="Times New Roman" w:cs="Times New Roman"/>
          <w:color w:val="000000" w:themeColor="text1"/>
          <w:sz w:val="24"/>
          <w:szCs w:val="24"/>
          <w:lang w:val="ru-RU"/>
        </w:rPr>
        <w:t>.</w:t>
      </w:r>
    </w:p>
    <w:p w14:paraId="76C9800B" w14:textId="292774A6" w:rsidR="00C37E52" w:rsidRPr="00D43281" w:rsidRDefault="008235A6"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 присваивает каждому фактору вес, выраженный в процентах, который не должен быть меньше 5 % и больше 60 %, в зависимости от относительной значимости вида подверженностей из специализированного финансирования</w:t>
      </w:r>
      <w:r w:rsidR="00C37E52" w:rsidRPr="00D43281">
        <w:rPr>
          <w:rFonts w:ascii="Times New Roman" w:hAnsi="Times New Roman" w:cs="Times New Roman"/>
          <w:color w:val="000000" w:themeColor="text1"/>
          <w:sz w:val="24"/>
          <w:szCs w:val="24"/>
          <w:lang w:val="ru-MD"/>
        </w:rPr>
        <w:t>.</w:t>
      </w:r>
    </w:p>
    <w:p w14:paraId="225054D4" w14:textId="31442B28" w:rsidR="00C37E52" w:rsidRPr="00D43281" w:rsidRDefault="00EB46FF"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 рассчитывает средневзвешенное значение категорий, в которые были отнесены факторы в соответствии с пунктом 6 настоящего приложения, применяя веса, присвоенные в соответствии с пунктом 7 настоящего приложения. Если средневзвешенное значение представляет собой десятичное число, банки округляют его до ближайшего целого числа</w:t>
      </w:r>
      <w:r w:rsidR="00C37E52" w:rsidRPr="00D43281">
        <w:rPr>
          <w:rFonts w:ascii="Times New Roman" w:hAnsi="Times New Roman" w:cs="Times New Roman"/>
          <w:color w:val="000000" w:themeColor="text1"/>
          <w:sz w:val="24"/>
          <w:szCs w:val="24"/>
          <w:lang w:val="ru-MD"/>
        </w:rPr>
        <w:t>.</w:t>
      </w:r>
    </w:p>
    <w:p w14:paraId="06816B12" w14:textId="6F8E91D1" w:rsidR="00EC21A0" w:rsidRPr="00D43281" w:rsidRDefault="00EB46FF"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 относит подверженности из специализированного финансирования к категории, указанной в таблице № 1 в пункте 75, номер которой соответствует средневзвешенному показателю, рассчитанному в соответствии с пунктом 8 настоящего приложения</w:t>
      </w:r>
      <w:r w:rsidR="00C37E52" w:rsidRPr="00D43281">
        <w:rPr>
          <w:rFonts w:ascii="Times New Roman" w:hAnsi="Times New Roman" w:cs="Times New Roman"/>
          <w:color w:val="000000" w:themeColor="text1"/>
          <w:sz w:val="24"/>
          <w:szCs w:val="24"/>
          <w:lang w:val="ru-MD"/>
        </w:rPr>
        <w:t>.</w:t>
      </w:r>
    </w:p>
    <w:p w14:paraId="06A71DA1" w14:textId="17C13793" w:rsidR="00EC21A0" w:rsidRPr="00D43281" w:rsidRDefault="00EB46FF" w:rsidP="00EC21A0">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color w:val="000000" w:themeColor="text1"/>
          <w:sz w:val="24"/>
          <w:szCs w:val="24"/>
          <w:lang w:val="ro-RO"/>
        </w:rPr>
      </w:pPr>
      <w:r w:rsidRPr="00D43281">
        <w:rPr>
          <w:rFonts w:ascii="Times New Roman" w:hAnsi="Times New Roman" w:cs="Times New Roman"/>
          <w:b/>
          <w:bCs/>
          <w:color w:val="000000" w:themeColor="text1"/>
          <w:sz w:val="24"/>
          <w:szCs w:val="24"/>
          <w:lang w:val="ru-RU"/>
        </w:rPr>
        <w:t>Часть</w:t>
      </w:r>
      <w:r w:rsidR="00EC21A0" w:rsidRPr="00D43281">
        <w:rPr>
          <w:rFonts w:ascii="Times New Roman" w:hAnsi="Times New Roman" w:cs="Times New Roman"/>
          <w:b/>
          <w:bCs/>
          <w:color w:val="000000" w:themeColor="text1"/>
          <w:sz w:val="24"/>
          <w:szCs w:val="24"/>
          <w:lang w:val="ro-RO"/>
        </w:rPr>
        <w:t xml:space="preserve"> </w:t>
      </w:r>
      <w:r w:rsidR="001D7E96" w:rsidRPr="00D43281">
        <w:rPr>
          <w:rFonts w:ascii="Times New Roman" w:hAnsi="Times New Roman" w:cs="Times New Roman"/>
          <w:b/>
          <w:bCs/>
          <w:color w:val="000000" w:themeColor="text1"/>
          <w:sz w:val="24"/>
          <w:szCs w:val="24"/>
          <w:lang w:val="ro-RO"/>
        </w:rPr>
        <w:t>4</w:t>
      </w:r>
    </w:p>
    <w:p w14:paraId="0B31A6CB" w14:textId="5BD30D6D" w:rsidR="00C37E52" w:rsidRPr="00D43281" w:rsidRDefault="008A2F92" w:rsidP="009046B6">
      <w:pPr>
        <w:pStyle w:val="ListParagraph"/>
        <w:shd w:val="clear" w:color="auto" w:fill="FFFFFF"/>
        <w:tabs>
          <w:tab w:val="left" w:pos="0"/>
        </w:tabs>
        <w:spacing w:after="80" w:line="240" w:lineRule="auto"/>
        <w:ind w:left="0"/>
        <w:contextualSpacing w:val="0"/>
        <w:jc w:val="center"/>
        <w:rPr>
          <w:rFonts w:ascii="Times New Roman" w:hAnsi="Times New Roman" w:cs="Times New Roman"/>
          <w:b/>
          <w:bCs/>
          <w:color w:val="000000" w:themeColor="text1"/>
          <w:sz w:val="24"/>
          <w:szCs w:val="24"/>
          <w:lang w:val="ru-MD"/>
        </w:rPr>
      </w:pPr>
      <w:r w:rsidRPr="00D43281">
        <w:rPr>
          <w:rFonts w:ascii="Times New Roman" w:hAnsi="Times New Roman" w:cs="Times New Roman"/>
          <w:b/>
          <w:bCs/>
          <w:color w:val="000000" w:themeColor="text1"/>
          <w:sz w:val="24"/>
          <w:szCs w:val="24"/>
          <w:lang w:val="ru-MD"/>
        </w:rPr>
        <w:t xml:space="preserve">Оценка на уровне </w:t>
      </w:r>
      <w:proofErr w:type="spellStart"/>
      <w:r w:rsidRPr="00D43281">
        <w:rPr>
          <w:rFonts w:ascii="Times New Roman" w:hAnsi="Times New Roman" w:cs="Times New Roman"/>
          <w:b/>
          <w:bCs/>
          <w:color w:val="000000" w:themeColor="text1"/>
          <w:sz w:val="24"/>
          <w:szCs w:val="24"/>
          <w:lang w:val="ru-MD"/>
        </w:rPr>
        <w:t>подфактора</w:t>
      </w:r>
      <w:proofErr w:type="spellEnd"/>
    </w:p>
    <w:p w14:paraId="2C672F6E" w14:textId="0F272684" w:rsidR="00C37E52" w:rsidRPr="00D43281" w:rsidRDefault="00BE3F99"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Если </w:t>
      </w:r>
      <w:proofErr w:type="spellStart"/>
      <w:r w:rsidRPr="00D43281">
        <w:rPr>
          <w:rFonts w:ascii="Times New Roman" w:hAnsi="Times New Roman" w:cs="Times New Roman"/>
          <w:color w:val="000000" w:themeColor="text1"/>
          <w:sz w:val="24"/>
          <w:szCs w:val="24"/>
          <w:lang w:val="ru-MD"/>
        </w:rPr>
        <w:t>подфактор</w:t>
      </w:r>
      <w:proofErr w:type="spellEnd"/>
      <w:r w:rsidRPr="00D43281">
        <w:rPr>
          <w:rFonts w:ascii="Times New Roman" w:hAnsi="Times New Roman" w:cs="Times New Roman"/>
          <w:color w:val="000000" w:themeColor="text1"/>
          <w:sz w:val="24"/>
          <w:szCs w:val="24"/>
          <w:lang w:val="ru-MD"/>
        </w:rPr>
        <w:t xml:space="preserve"> того или иного фактора, перечисленного в таблицах № 1, 2, 3 или 4 настоящего приложения, не разбивается на составляющие, банк относит данный </w:t>
      </w:r>
      <w:proofErr w:type="spellStart"/>
      <w:r w:rsidRPr="00D43281">
        <w:rPr>
          <w:rFonts w:ascii="Times New Roman" w:hAnsi="Times New Roman" w:cs="Times New Roman"/>
          <w:color w:val="000000" w:themeColor="text1"/>
          <w:sz w:val="24"/>
          <w:szCs w:val="24"/>
          <w:lang w:val="ru-MD"/>
        </w:rPr>
        <w:t>подфактор</w:t>
      </w:r>
      <w:proofErr w:type="spellEnd"/>
      <w:r w:rsidRPr="00D43281">
        <w:rPr>
          <w:rFonts w:ascii="Times New Roman" w:hAnsi="Times New Roman" w:cs="Times New Roman"/>
          <w:color w:val="000000" w:themeColor="text1"/>
          <w:sz w:val="24"/>
          <w:szCs w:val="24"/>
          <w:lang w:val="ru-MD"/>
        </w:rPr>
        <w:t xml:space="preserve"> к одной из категорий на основании критериев оценки, предусмотренных для данного </w:t>
      </w:r>
      <w:proofErr w:type="spellStart"/>
      <w:r w:rsidRPr="00D43281">
        <w:rPr>
          <w:rFonts w:ascii="Times New Roman" w:hAnsi="Times New Roman" w:cs="Times New Roman"/>
          <w:color w:val="000000" w:themeColor="text1"/>
          <w:sz w:val="24"/>
          <w:szCs w:val="24"/>
          <w:lang w:val="ru-MD"/>
        </w:rPr>
        <w:t>подфактора</w:t>
      </w:r>
      <w:proofErr w:type="spellEnd"/>
      <w:r w:rsidR="00C37E52" w:rsidRPr="00D43281">
        <w:rPr>
          <w:rFonts w:ascii="Times New Roman" w:hAnsi="Times New Roman" w:cs="Times New Roman"/>
          <w:color w:val="000000" w:themeColor="text1"/>
          <w:sz w:val="24"/>
          <w:szCs w:val="24"/>
          <w:lang w:val="ru-MD"/>
        </w:rPr>
        <w:t>.</w:t>
      </w:r>
    </w:p>
    <w:p w14:paraId="6B6D4F0A" w14:textId="08381A59" w:rsidR="00C37E52" w:rsidRPr="00D43281" w:rsidRDefault="00BE3F99"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В случае, если </w:t>
      </w:r>
      <w:proofErr w:type="spellStart"/>
      <w:r w:rsidRPr="00D43281">
        <w:rPr>
          <w:rFonts w:ascii="Times New Roman" w:hAnsi="Times New Roman" w:cs="Times New Roman"/>
          <w:color w:val="000000" w:themeColor="text1"/>
          <w:sz w:val="24"/>
          <w:szCs w:val="24"/>
          <w:lang w:val="ru-MD"/>
        </w:rPr>
        <w:t>подфактор</w:t>
      </w:r>
      <w:proofErr w:type="spellEnd"/>
      <w:r w:rsidRPr="00D43281">
        <w:rPr>
          <w:rFonts w:ascii="Times New Roman" w:hAnsi="Times New Roman" w:cs="Times New Roman"/>
          <w:color w:val="000000" w:themeColor="text1"/>
          <w:sz w:val="24"/>
          <w:szCs w:val="24"/>
          <w:lang w:val="ru-MD"/>
        </w:rPr>
        <w:t xml:space="preserve"> определенного фактора, перечисленного в таблицах № 1, 2, 3 или 4, разбит на компоненты </w:t>
      </w:r>
      <w:proofErr w:type="spellStart"/>
      <w:r w:rsidRPr="00D43281">
        <w:rPr>
          <w:rFonts w:ascii="Times New Roman" w:hAnsi="Times New Roman" w:cs="Times New Roman"/>
          <w:color w:val="000000" w:themeColor="text1"/>
          <w:sz w:val="24"/>
          <w:szCs w:val="24"/>
          <w:lang w:val="ru-MD"/>
        </w:rPr>
        <w:t>подфактора</w:t>
      </w:r>
      <w:proofErr w:type="spellEnd"/>
      <w:r w:rsidRPr="00D43281">
        <w:rPr>
          <w:rFonts w:ascii="Times New Roman" w:hAnsi="Times New Roman" w:cs="Times New Roman"/>
          <w:color w:val="000000" w:themeColor="text1"/>
          <w:sz w:val="24"/>
          <w:szCs w:val="24"/>
          <w:lang w:val="ru-MD"/>
        </w:rPr>
        <w:t>, банк</w:t>
      </w:r>
      <w:r w:rsidR="00C37E52" w:rsidRPr="00D43281">
        <w:rPr>
          <w:rFonts w:ascii="Times New Roman" w:hAnsi="Times New Roman" w:cs="Times New Roman"/>
          <w:color w:val="000000" w:themeColor="text1"/>
          <w:sz w:val="24"/>
          <w:szCs w:val="24"/>
          <w:lang w:val="ru-MD"/>
        </w:rPr>
        <w:t>:</w:t>
      </w:r>
    </w:p>
    <w:p w14:paraId="2FFD3670" w14:textId="6ACDDC81" w:rsidR="00C37E52" w:rsidRPr="00D43281" w:rsidRDefault="00BE3F99"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относит каждую компоненту </w:t>
      </w:r>
      <w:proofErr w:type="spellStart"/>
      <w:r w:rsidRPr="00D43281">
        <w:rPr>
          <w:rFonts w:ascii="Times New Roman" w:hAnsi="Times New Roman" w:cs="Times New Roman"/>
          <w:color w:val="000000" w:themeColor="text1"/>
          <w:sz w:val="24"/>
          <w:szCs w:val="24"/>
          <w:lang w:val="ru-MD"/>
        </w:rPr>
        <w:t>подфактора</w:t>
      </w:r>
      <w:proofErr w:type="spellEnd"/>
      <w:r w:rsidRPr="00D43281">
        <w:rPr>
          <w:rFonts w:ascii="Times New Roman" w:hAnsi="Times New Roman" w:cs="Times New Roman"/>
          <w:color w:val="000000" w:themeColor="text1"/>
          <w:sz w:val="24"/>
          <w:szCs w:val="24"/>
          <w:lang w:val="ru-MD"/>
        </w:rPr>
        <w:t xml:space="preserve"> к одной из категорий на основании критериев оценки, предусмотренных для данной компоненты </w:t>
      </w:r>
      <w:proofErr w:type="spellStart"/>
      <w:r w:rsidRPr="00D43281">
        <w:rPr>
          <w:rFonts w:ascii="Times New Roman" w:hAnsi="Times New Roman" w:cs="Times New Roman"/>
          <w:color w:val="000000" w:themeColor="text1"/>
          <w:sz w:val="24"/>
          <w:szCs w:val="24"/>
          <w:lang w:val="ru-MD"/>
        </w:rPr>
        <w:t>подфактора</w:t>
      </w:r>
      <w:proofErr w:type="spellEnd"/>
      <w:r w:rsidR="00C37E52" w:rsidRPr="00D43281">
        <w:rPr>
          <w:rFonts w:ascii="Times New Roman" w:hAnsi="Times New Roman" w:cs="Times New Roman"/>
          <w:color w:val="000000" w:themeColor="text1"/>
          <w:sz w:val="24"/>
          <w:szCs w:val="24"/>
          <w:lang w:val="ru-MD"/>
        </w:rPr>
        <w:t>;</w:t>
      </w:r>
    </w:p>
    <w:p w14:paraId="6C912456" w14:textId="0E455682" w:rsidR="00C37E52" w:rsidRPr="00D43281" w:rsidRDefault="00B8622C"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относит </w:t>
      </w:r>
      <w:proofErr w:type="spellStart"/>
      <w:r w:rsidR="00B23DF6" w:rsidRPr="00D43281">
        <w:rPr>
          <w:rFonts w:ascii="Times New Roman" w:hAnsi="Times New Roman" w:cs="Times New Roman"/>
          <w:color w:val="000000" w:themeColor="text1"/>
          <w:sz w:val="24"/>
          <w:szCs w:val="24"/>
          <w:lang w:val="ru-MD"/>
        </w:rPr>
        <w:t>под</w:t>
      </w:r>
      <w:r w:rsidRPr="00D43281">
        <w:rPr>
          <w:rFonts w:ascii="Times New Roman" w:hAnsi="Times New Roman" w:cs="Times New Roman"/>
          <w:color w:val="000000" w:themeColor="text1"/>
          <w:sz w:val="24"/>
          <w:szCs w:val="24"/>
          <w:lang w:val="ru-MD"/>
        </w:rPr>
        <w:t>фактор</w:t>
      </w:r>
      <w:proofErr w:type="spellEnd"/>
      <w:r w:rsidRPr="00D43281">
        <w:rPr>
          <w:rFonts w:ascii="Times New Roman" w:hAnsi="Times New Roman" w:cs="Times New Roman"/>
          <w:color w:val="000000" w:themeColor="text1"/>
          <w:sz w:val="24"/>
          <w:szCs w:val="24"/>
          <w:lang w:val="ru-MD"/>
        </w:rPr>
        <w:t xml:space="preserve"> к одной из категорий на основе комплексной оценки, проведенной с учетом категорий, к которым он был отнесен в соответствии с подпунктом 11.1 настоящего приложения, а также относительной важности каждого компонента </w:t>
      </w:r>
      <w:proofErr w:type="spellStart"/>
      <w:r w:rsidR="00B23DF6" w:rsidRPr="00D43281">
        <w:rPr>
          <w:rFonts w:ascii="Times New Roman" w:hAnsi="Times New Roman" w:cs="Times New Roman"/>
          <w:color w:val="000000" w:themeColor="text1"/>
          <w:sz w:val="24"/>
          <w:szCs w:val="24"/>
          <w:lang w:val="ru-MD"/>
        </w:rPr>
        <w:t>под</w:t>
      </w:r>
      <w:r w:rsidRPr="00D43281">
        <w:rPr>
          <w:rFonts w:ascii="Times New Roman" w:hAnsi="Times New Roman" w:cs="Times New Roman"/>
          <w:color w:val="000000" w:themeColor="text1"/>
          <w:sz w:val="24"/>
          <w:szCs w:val="24"/>
          <w:lang w:val="ru-MD"/>
        </w:rPr>
        <w:t>фактора</w:t>
      </w:r>
      <w:proofErr w:type="spellEnd"/>
      <w:r w:rsidRPr="00D43281">
        <w:rPr>
          <w:rFonts w:ascii="Times New Roman" w:hAnsi="Times New Roman" w:cs="Times New Roman"/>
          <w:color w:val="000000" w:themeColor="text1"/>
          <w:sz w:val="24"/>
          <w:szCs w:val="24"/>
          <w:lang w:val="ru-MD"/>
        </w:rPr>
        <w:t xml:space="preserve"> для соответствующего вида подверженносте</w:t>
      </w:r>
      <w:r w:rsidR="00B23DF6" w:rsidRPr="00D43281">
        <w:rPr>
          <w:rFonts w:ascii="Times New Roman" w:hAnsi="Times New Roman" w:cs="Times New Roman"/>
          <w:color w:val="000000" w:themeColor="text1"/>
          <w:sz w:val="24"/>
          <w:szCs w:val="24"/>
          <w:lang w:val="ru-MD"/>
        </w:rPr>
        <w:t>й</w:t>
      </w:r>
      <w:r w:rsidRPr="00D43281">
        <w:rPr>
          <w:rFonts w:ascii="Times New Roman" w:hAnsi="Times New Roman" w:cs="Times New Roman"/>
          <w:color w:val="000000" w:themeColor="text1"/>
          <w:sz w:val="24"/>
          <w:szCs w:val="24"/>
          <w:lang w:val="ru-MD"/>
        </w:rPr>
        <w:t xml:space="preserve"> из специализированного финансирования</w:t>
      </w:r>
      <w:r w:rsidR="00C37E52" w:rsidRPr="00D43281">
        <w:rPr>
          <w:rFonts w:ascii="Times New Roman" w:hAnsi="Times New Roman" w:cs="Times New Roman"/>
          <w:color w:val="000000" w:themeColor="text1"/>
          <w:sz w:val="24"/>
          <w:szCs w:val="24"/>
          <w:lang w:val="ru-MD"/>
        </w:rPr>
        <w:t>.</w:t>
      </w:r>
    </w:p>
    <w:p w14:paraId="09AFE58C" w14:textId="532100CB" w:rsidR="00C37E52" w:rsidRPr="00D43281" w:rsidRDefault="00940724"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Если банк учитывает и другие значимые сведения («дополнительный фактор риска») в соответствии с пунктом 169 в отношении определенного вида подверженностей из специализированного финансирования, он должен учитывать их вместе с </w:t>
      </w:r>
      <w:proofErr w:type="spellStart"/>
      <w:r w:rsidRPr="00D43281">
        <w:rPr>
          <w:rFonts w:ascii="Times New Roman" w:hAnsi="Times New Roman" w:cs="Times New Roman"/>
          <w:color w:val="000000" w:themeColor="text1"/>
          <w:sz w:val="24"/>
          <w:szCs w:val="24"/>
          <w:lang w:val="ru-MD"/>
        </w:rPr>
        <w:t>подфактором</w:t>
      </w:r>
      <w:proofErr w:type="spellEnd"/>
      <w:r w:rsidRPr="00D43281">
        <w:rPr>
          <w:rFonts w:ascii="Times New Roman" w:hAnsi="Times New Roman" w:cs="Times New Roman"/>
          <w:color w:val="000000" w:themeColor="text1"/>
          <w:sz w:val="24"/>
          <w:szCs w:val="24"/>
          <w:lang w:val="ru-MD"/>
        </w:rPr>
        <w:t>, который наиболее соответствует данному дополнительному фактору риска</w:t>
      </w:r>
      <w:r w:rsidR="00C37E52" w:rsidRPr="00D43281">
        <w:rPr>
          <w:rFonts w:ascii="Times New Roman" w:hAnsi="Times New Roman" w:cs="Times New Roman"/>
          <w:color w:val="000000" w:themeColor="text1"/>
          <w:sz w:val="24"/>
          <w:szCs w:val="24"/>
          <w:lang w:val="ru-MD"/>
        </w:rPr>
        <w:t>.</w:t>
      </w:r>
    </w:p>
    <w:p w14:paraId="59A3E8BC" w14:textId="1E1D08B1" w:rsidR="00EC21A0" w:rsidRPr="00D43281" w:rsidRDefault="00940724" w:rsidP="00AC2C9B">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o-RO"/>
        </w:rPr>
      </w:pPr>
      <w:r w:rsidRPr="00D43281">
        <w:rPr>
          <w:rFonts w:ascii="Times New Roman" w:hAnsi="Times New Roman" w:cs="Times New Roman"/>
          <w:color w:val="000000" w:themeColor="text1"/>
          <w:sz w:val="24"/>
          <w:szCs w:val="24"/>
          <w:lang w:val="ru-MD"/>
        </w:rPr>
        <w:t xml:space="preserve">Если в исключительных случаях какой-либо </w:t>
      </w:r>
      <w:proofErr w:type="spellStart"/>
      <w:r w:rsidRPr="00D43281">
        <w:rPr>
          <w:rFonts w:ascii="Times New Roman" w:hAnsi="Times New Roman" w:cs="Times New Roman"/>
          <w:color w:val="000000" w:themeColor="text1"/>
          <w:sz w:val="24"/>
          <w:szCs w:val="24"/>
          <w:lang w:val="ru-MD"/>
        </w:rPr>
        <w:t>подфактор</w:t>
      </w:r>
      <w:proofErr w:type="spellEnd"/>
      <w:r w:rsidRPr="00D43281">
        <w:rPr>
          <w:rFonts w:ascii="Times New Roman" w:hAnsi="Times New Roman" w:cs="Times New Roman"/>
          <w:color w:val="000000" w:themeColor="text1"/>
          <w:sz w:val="24"/>
          <w:szCs w:val="24"/>
          <w:lang w:val="ru-MD"/>
        </w:rPr>
        <w:t xml:space="preserve"> или компонент </w:t>
      </w:r>
      <w:proofErr w:type="spellStart"/>
      <w:r w:rsidRPr="00D43281">
        <w:rPr>
          <w:rFonts w:ascii="Times New Roman" w:hAnsi="Times New Roman" w:cs="Times New Roman"/>
          <w:color w:val="000000" w:themeColor="text1"/>
          <w:sz w:val="24"/>
          <w:szCs w:val="24"/>
          <w:lang w:val="ru-MD"/>
        </w:rPr>
        <w:t>подфактора</w:t>
      </w:r>
      <w:proofErr w:type="spellEnd"/>
      <w:r w:rsidRPr="00D43281">
        <w:rPr>
          <w:rFonts w:ascii="Times New Roman" w:hAnsi="Times New Roman" w:cs="Times New Roman"/>
          <w:color w:val="000000" w:themeColor="text1"/>
          <w:sz w:val="24"/>
          <w:szCs w:val="24"/>
          <w:lang w:val="ru-MD"/>
        </w:rPr>
        <w:t xml:space="preserve"> не является релевантным для всех </w:t>
      </w:r>
      <w:r w:rsidR="00B23DF6" w:rsidRPr="00D43281">
        <w:rPr>
          <w:rFonts w:ascii="Times New Roman" w:hAnsi="Times New Roman" w:cs="Times New Roman"/>
          <w:color w:val="000000" w:themeColor="text1"/>
          <w:sz w:val="24"/>
          <w:szCs w:val="24"/>
          <w:lang w:val="ru-MD"/>
        </w:rPr>
        <w:t>подверженностей из специализированного финансирования</w:t>
      </w:r>
      <w:r w:rsidRPr="00D43281">
        <w:rPr>
          <w:rFonts w:ascii="Times New Roman" w:hAnsi="Times New Roman" w:cs="Times New Roman"/>
          <w:color w:val="000000" w:themeColor="text1"/>
          <w:sz w:val="24"/>
          <w:szCs w:val="24"/>
          <w:lang w:val="ru-MD"/>
        </w:rPr>
        <w:t xml:space="preserve">, относящихся к определенному типу </w:t>
      </w:r>
      <w:r w:rsidR="00B23DF6" w:rsidRPr="00D43281">
        <w:rPr>
          <w:rFonts w:ascii="Times New Roman" w:hAnsi="Times New Roman" w:cs="Times New Roman"/>
          <w:color w:val="000000" w:themeColor="text1"/>
          <w:sz w:val="24"/>
          <w:szCs w:val="24"/>
          <w:lang w:val="ru-MD"/>
        </w:rPr>
        <w:t>подверженностей из специализированного финансирования</w:t>
      </w:r>
      <w:r w:rsidRPr="00D43281">
        <w:rPr>
          <w:rFonts w:ascii="Times New Roman" w:hAnsi="Times New Roman" w:cs="Times New Roman"/>
          <w:color w:val="000000" w:themeColor="text1"/>
          <w:sz w:val="24"/>
          <w:szCs w:val="24"/>
          <w:lang w:val="ru-MD"/>
        </w:rPr>
        <w:t xml:space="preserve">, банк может принять решение не применять данный </w:t>
      </w:r>
      <w:proofErr w:type="spellStart"/>
      <w:r w:rsidRPr="00D43281">
        <w:rPr>
          <w:rFonts w:ascii="Times New Roman" w:hAnsi="Times New Roman" w:cs="Times New Roman"/>
          <w:color w:val="000000" w:themeColor="text1"/>
          <w:sz w:val="24"/>
          <w:szCs w:val="24"/>
          <w:lang w:val="ru-MD"/>
        </w:rPr>
        <w:t>подфактор</w:t>
      </w:r>
      <w:proofErr w:type="spellEnd"/>
      <w:r w:rsidRPr="00D43281">
        <w:rPr>
          <w:rFonts w:ascii="Times New Roman" w:hAnsi="Times New Roman" w:cs="Times New Roman"/>
          <w:color w:val="000000" w:themeColor="text1"/>
          <w:sz w:val="24"/>
          <w:szCs w:val="24"/>
          <w:lang w:val="ru-MD"/>
        </w:rPr>
        <w:t xml:space="preserve"> или данный компонент </w:t>
      </w:r>
      <w:proofErr w:type="spellStart"/>
      <w:r w:rsidRPr="00D43281">
        <w:rPr>
          <w:rFonts w:ascii="Times New Roman" w:hAnsi="Times New Roman" w:cs="Times New Roman"/>
          <w:color w:val="000000" w:themeColor="text1"/>
          <w:sz w:val="24"/>
          <w:szCs w:val="24"/>
          <w:lang w:val="ru-MD"/>
        </w:rPr>
        <w:t>подфактора</w:t>
      </w:r>
      <w:proofErr w:type="spellEnd"/>
      <w:r w:rsidRPr="00D43281">
        <w:rPr>
          <w:rFonts w:ascii="Times New Roman" w:hAnsi="Times New Roman" w:cs="Times New Roman"/>
          <w:color w:val="000000" w:themeColor="text1"/>
          <w:sz w:val="24"/>
          <w:szCs w:val="24"/>
          <w:lang w:val="ru-MD"/>
        </w:rPr>
        <w:t xml:space="preserve"> ни к одной </w:t>
      </w:r>
      <w:r w:rsidR="00B23DF6" w:rsidRPr="00D43281">
        <w:rPr>
          <w:rFonts w:ascii="Times New Roman" w:hAnsi="Times New Roman" w:cs="Times New Roman"/>
          <w:color w:val="000000" w:themeColor="text1"/>
          <w:sz w:val="24"/>
          <w:szCs w:val="24"/>
          <w:lang w:val="ru-MD"/>
        </w:rPr>
        <w:t>подверженности из специализированного финансирования</w:t>
      </w:r>
      <w:r w:rsidRPr="00D43281">
        <w:rPr>
          <w:rFonts w:ascii="Times New Roman" w:hAnsi="Times New Roman" w:cs="Times New Roman"/>
          <w:color w:val="000000" w:themeColor="text1"/>
          <w:sz w:val="24"/>
          <w:szCs w:val="24"/>
          <w:lang w:val="ru-MD"/>
        </w:rPr>
        <w:t>, относящейся к данному типу</w:t>
      </w:r>
      <w:r w:rsidR="00C37E52" w:rsidRPr="00D43281">
        <w:rPr>
          <w:rFonts w:ascii="Times New Roman" w:hAnsi="Times New Roman" w:cs="Times New Roman"/>
          <w:color w:val="000000" w:themeColor="text1"/>
          <w:sz w:val="24"/>
          <w:szCs w:val="24"/>
          <w:lang w:val="ro-RO"/>
        </w:rPr>
        <w:t>.</w:t>
      </w:r>
    </w:p>
    <w:p w14:paraId="1797ACA9" w14:textId="7975ABFC" w:rsidR="00EC21A0" w:rsidRPr="00D43281" w:rsidRDefault="00B30209" w:rsidP="00EC21A0">
      <w:pPr>
        <w:pStyle w:val="ListParagraph"/>
        <w:shd w:val="clear" w:color="auto" w:fill="FFFFFF"/>
        <w:tabs>
          <w:tab w:val="left" w:pos="0"/>
        </w:tabs>
        <w:spacing w:before="120" w:after="0" w:line="240" w:lineRule="auto"/>
        <w:ind w:left="0" w:firstLine="567"/>
        <w:contextualSpacing w:val="0"/>
        <w:jc w:val="center"/>
        <w:rPr>
          <w:rFonts w:ascii="Times New Roman" w:hAnsi="Times New Roman" w:cs="Times New Roman"/>
          <w:b/>
          <w:bCs/>
          <w:color w:val="000000" w:themeColor="text1"/>
          <w:sz w:val="24"/>
          <w:szCs w:val="24"/>
          <w:lang w:val="ru-MD"/>
        </w:rPr>
      </w:pPr>
      <w:r w:rsidRPr="00D43281">
        <w:rPr>
          <w:rFonts w:ascii="Times New Roman" w:hAnsi="Times New Roman" w:cs="Times New Roman"/>
          <w:b/>
          <w:bCs/>
          <w:color w:val="000000" w:themeColor="text1"/>
          <w:sz w:val="24"/>
          <w:szCs w:val="24"/>
          <w:lang w:val="ru-MD"/>
        </w:rPr>
        <w:t>Часть</w:t>
      </w:r>
      <w:r w:rsidR="00EC21A0" w:rsidRPr="00D43281">
        <w:rPr>
          <w:rFonts w:ascii="Times New Roman" w:hAnsi="Times New Roman" w:cs="Times New Roman"/>
          <w:b/>
          <w:bCs/>
          <w:color w:val="000000" w:themeColor="text1"/>
          <w:sz w:val="24"/>
          <w:szCs w:val="24"/>
          <w:lang w:val="ru-MD"/>
        </w:rPr>
        <w:t xml:space="preserve"> </w:t>
      </w:r>
      <w:r w:rsidR="001D7E96" w:rsidRPr="00D43281">
        <w:rPr>
          <w:rFonts w:ascii="Times New Roman" w:hAnsi="Times New Roman" w:cs="Times New Roman"/>
          <w:b/>
          <w:bCs/>
          <w:color w:val="000000" w:themeColor="text1"/>
          <w:sz w:val="24"/>
          <w:szCs w:val="24"/>
          <w:lang w:val="ru-MD"/>
        </w:rPr>
        <w:t>5</w:t>
      </w:r>
    </w:p>
    <w:p w14:paraId="3759C00F" w14:textId="214DC4B4" w:rsidR="00C37E52" w:rsidRPr="00D43281" w:rsidRDefault="00B30209" w:rsidP="009046B6">
      <w:pPr>
        <w:pStyle w:val="ListParagraph"/>
        <w:shd w:val="clear" w:color="auto" w:fill="FFFFFF"/>
        <w:tabs>
          <w:tab w:val="left" w:pos="0"/>
        </w:tabs>
        <w:spacing w:after="80" w:line="240" w:lineRule="auto"/>
        <w:ind w:left="0"/>
        <w:contextualSpacing w:val="0"/>
        <w:jc w:val="center"/>
        <w:rPr>
          <w:rFonts w:ascii="Times New Roman" w:hAnsi="Times New Roman" w:cs="Times New Roman"/>
          <w:color w:val="000000" w:themeColor="text1"/>
          <w:sz w:val="24"/>
          <w:szCs w:val="24"/>
          <w:lang w:val="ru-MD"/>
        </w:rPr>
      </w:pPr>
      <w:r w:rsidRPr="00D43281">
        <w:rPr>
          <w:rFonts w:ascii="Times New Roman" w:hAnsi="Times New Roman" w:cs="Times New Roman"/>
          <w:b/>
          <w:bCs/>
          <w:color w:val="000000" w:themeColor="text1"/>
          <w:sz w:val="24"/>
          <w:szCs w:val="24"/>
          <w:lang w:val="ru-MD"/>
        </w:rPr>
        <w:t xml:space="preserve">Критерии, которые пересекаются на уровне </w:t>
      </w:r>
      <w:proofErr w:type="spellStart"/>
      <w:r w:rsidRPr="00D43281">
        <w:rPr>
          <w:rFonts w:ascii="Times New Roman" w:hAnsi="Times New Roman" w:cs="Times New Roman"/>
          <w:b/>
          <w:bCs/>
          <w:color w:val="000000" w:themeColor="text1"/>
          <w:sz w:val="24"/>
          <w:szCs w:val="24"/>
          <w:lang w:val="ru-MD"/>
        </w:rPr>
        <w:t>подфактора</w:t>
      </w:r>
      <w:proofErr w:type="spellEnd"/>
      <w:r w:rsidRPr="00D43281">
        <w:rPr>
          <w:rFonts w:ascii="Times New Roman" w:hAnsi="Times New Roman" w:cs="Times New Roman"/>
          <w:b/>
          <w:bCs/>
          <w:color w:val="000000" w:themeColor="text1"/>
          <w:sz w:val="24"/>
          <w:szCs w:val="24"/>
          <w:lang w:val="ru-MD"/>
        </w:rPr>
        <w:t xml:space="preserve"> и компонента </w:t>
      </w:r>
      <w:proofErr w:type="spellStart"/>
      <w:r w:rsidRPr="00D43281">
        <w:rPr>
          <w:rFonts w:ascii="Times New Roman" w:hAnsi="Times New Roman" w:cs="Times New Roman"/>
          <w:b/>
          <w:bCs/>
          <w:color w:val="000000" w:themeColor="text1"/>
          <w:sz w:val="24"/>
          <w:szCs w:val="24"/>
          <w:lang w:val="ru-MD"/>
        </w:rPr>
        <w:t>подфактора</w:t>
      </w:r>
      <w:proofErr w:type="spellEnd"/>
    </w:p>
    <w:p w14:paraId="263C9526" w14:textId="7A54DE8F" w:rsidR="00C37E52" w:rsidRPr="00D43281" w:rsidRDefault="00AC42F4" w:rsidP="0099616E">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lastRenderedPageBreak/>
        <w:t xml:space="preserve">В случае если </w:t>
      </w:r>
      <w:proofErr w:type="spellStart"/>
      <w:r w:rsidRPr="00D43281">
        <w:rPr>
          <w:rFonts w:ascii="Times New Roman" w:hAnsi="Times New Roman" w:cs="Times New Roman"/>
          <w:color w:val="000000" w:themeColor="text1"/>
          <w:sz w:val="24"/>
          <w:szCs w:val="24"/>
          <w:lang w:val="ru-MD"/>
        </w:rPr>
        <w:t>подфактор</w:t>
      </w:r>
      <w:proofErr w:type="spellEnd"/>
      <w:r w:rsidRPr="00D43281">
        <w:rPr>
          <w:rFonts w:ascii="Times New Roman" w:hAnsi="Times New Roman" w:cs="Times New Roman"/>
          <w:color w:val="000000" w:themeColor="text1"/>
          <w:sz w:val="24"/>
          <w:szCs w:val="24"/>
          <w:lang w:val="ru-MD"/>
        </w:rPr>
        <w:t xml:space="preserve"> или компонент </w:t>
      </w:r>
      <w:proofErr w:type="spellStart"/>
      <w:r w:rsidRPr="00D43281">
        <w:rPr>
          <w:rFonts w:ascii="Times New Roman" w:hAnsi="Times New Roman" w:cs="Times New Roman"/>
          <w:color w:val="000000" w:themeColor="text1"/>
          <w:sz w:val="24"/>
          <w:szCs w:val="24"/>
          <w:lang w:val="ru-MD"/>
        </w:rPr>
        <w:t>подфактора</w:t>
      </w:r>
      <w:proofErr w:type="spellEnd"/>
      <w:r w:rsidRPr="00D43281">
        <w:rPr>
          <w:rFonts w:ascii="Times New Roman" w:hAnsi="Times New Roman" w:cs="Times New Roman"/>
          <w:color w:val="000000" w:themeColor="text1"/>
          <w:sz w:val="24"/>
          <w:szCs w:val="24"/>
          <w:lang w:val="ru-MD"/>
        </w:rPr>
        <w:t xml:space="preserve"> имеет одинаковые критерии оценки в двух или более категориях («пересекающиеся критерии»), а подверженность из специализированного финансирования соответствует данным пересекающимся критериям, банки относят </w:t>
      </w:r>
      <w:proofErr w:type="spellStart"/>
      <w:r w:rsidRPr="00D43281">
        <w:rPr>
          <w:rFonts w:ascii="Times New Roman" w:hAnsi="Times New Roman" w:cs="Times New Roman"/>
          <w:color w:val="000000" w:themeColor="text1"/>
          <w:sz w:val="24"/>
          <w:szCs w:val="24"/>
          <w:lang w:val="ru-MD"/>
        </w:rPr>
        <w:t>подфактор</w:t>
      </w:r>
      <w:proofErr w:type="spellEnd"/>
      <w:r w:rsidRPr="00D43281">
        <w:rPr>
          <w:rFonts w:ascii="Times New Roman" w:hAnsi="Times New Roman" w:cs="Times New Roman"/>
          <w:color w:val="000000" w:themeColor="text1"/>
          <w:sz w:val="24"/>
          <w:szCs w:val="24"/>
          <w:lang w:val="ru-MD"/>
        </w:rPr>
        <w:t xml:space="preserve"> или компонент </w:t>
      </w:r>
      <w:proofErr w:type="spellStart"/>
      <w:r w:rsidRPr="00D43281">
        <w:rPr>
          <w:rFonts w:ascii="Times New Roman" w:hAnsi="Times New Roman" w:cs="Times New Roman"/>
          <w:color w:val="000000" w:themeColor="text1"/>
          <w:sz w:val="24"/>
          <w:szCs w:val="24"/>
          <w:lang w:val="ru-MD"/>
        </w:rPr>
        <w:t>подфактора</w:t>
      </w:r>
      <w:proofErr w:type="spellEnd"/>
      <w:r w:rsidRPr="00D43281">
        <w:rPr>
          <w:rFonts w:ascii="Times New Roman" w:hAnsi="Times New Roman" w:cs="Times New Roman"/>
          <w:color w:val="000000" w:themeColor="text1"/>
          <w:sz w:val="24"/>
          <w:szCs w:val="24"/>
          <w:lang w:val="ru-MD"/>
        </w:rPr>
        <w:t xml:space="preserve"> к одной из категорий следующим образом</w:t>
      </w:r>
      <w:r w:rsidR="00C37E52" w:rsidRPr="00D43281">
        <w:rPr>
          <w:rFonts w:ascii="Times New Roman" w:hAnsi="Times New Roman" w:cs="Times New Roman"/>
          <w:color w:val="000000" w:themeColor="text1"/>
          <w:sz w:val="24"/>
          <w:szCs w:val="24"/>
          <w:lang w:val="ru-MD"/>
        </w:rPr>
        <w:t>:</w:t>
      </w:r>
    </w:p>
    <w:p w14:paraId="05B40CC7" w14:textId="02697BBA" w:rsidR="00EC21A0" w:rsidRPr="00D43281" w:rsidRDefault="00AC42F4" w:rsidP="0099616E">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Если пересекающиеся критерии фигурируют в двух категориях, банки относят их к категории с наибольшим номером</w:t>
      </w:r>
      <w:r w:rsidR="00C37E52" w:rsidRPr="00D43281">
        <w:rPr>
          <w:rFonts w:ascii="Times New Roman" w:hAnsi="Times New Roman" w:cs="Times New Roman"/>
          <w:color w:val="000000" w:themeColor="text1"/>
          <w:sz w:val="24"/>
          <w:szCs w:val="24"/>
          <w:lang w:val="ru-MD"/>
        </w:rPr>
        <w:t>;</w:t>
      </w:r>
    </w:p>
    <w:p w14:paraId="2E294210" w14:textId="306F8CD9" w:rsidR="00EC21A0" w:rsidRPr="00D43281" w:rsidRDefault="00AD053C" w:rsidP="0099616E">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Если пересекающиеся критерии фигурируют в трех категориях, банки относят их к категории, расположенной между категорией с наибольшим номером и категорией с наименьшим номером</w:t>
      </w:r>
      <w:r w:rsidR="00C37E52" w:rsidRPr="00D43281">
        <w:rPr>
          <w:rFonts w:ascii="Times New Roman" w:hAnsi="Times New Roman" w:cs="Times New Roman"/>
          <w:color w:val="000000" w:themeColor="text1"/>
          <w:sz w:val="24"/>
          <w:szCs w:val="24"/>
          <w:lang w:val="ru-MD"/>
        </w:rPr>
        <w:t>.</w:t>
      </w:r>
      <w:r w:rsidR="00EC21A0" w:rsidRPr="00D43281">
        <w:rPr>
          <w:rFonts w:ascii="Times New Roman" w:hAnsi="Times New Roman" w:cs="Times New Roman"/>
          <w:color w:val="000000" w:themeColor="text1"/>
          <w:sz w:val="24"/>
          <w:szCs w:val="24"/>
          <w:highlight w:val="lightGray"/>
          <w:lang w:val="ru-MD"/>
        </w:rPr>
        <w:t xml:space="preserve"> </w:t>
      </w:r>
    </w:p>
    <w:p w14:paraId="2D6ED1DA" w14:textId="75CBC1B4" w:rsidR="00B53407" w:rsidRPr="00D43281" w:rsidRDefault="00CC042D" w:rsidP="00B53407">
      <w:pPr>
        <w:pStyle w:val="ListParagraph"/>
        <w:shd w:val="clear" w:color="auto" w:fill="FFFFFF"/>
        <w:tabs>
          <w:tab w:val="left" w:pos="0"/>
        </w:tabs>
        <w:spacing w:before="120" w:after="0" w:line="240" w:lineRule="auto"/>
        <w:ind w:left="0"/>
        <w:contextualSpacing w:val="0"/>
        <w:jc w:val="center"/>
        <w:rPr>
          <w:rFonts w:ascii="Times New Roman" w:hAnsi="Times New Roman" w:cs="Times New Roman"/>
          <w:b/>
          <w:bCs/>
          <w:color w:val="000000" w:themeColor="text1"/>
          <w:sz w:val="24"/>
          <w:szCs w:val="24"/>
          <w:lang w:val="ro-RO"/>
        </w:rPr>
      </w:pPr>
      <w:r w:rsidRPr="00D43281">
        <w:rPr>
          <w:rFonts w:ascii="Times New Roman" w:hAnsi="Times New Roman" w:cs="Times New Roman"/>
          <w:b/>
          <w:bCs/>
          <w:color w:val="000000" w:themeColor="text1"/>
          <w:sz w:val="24"/>
          <w:szCs w:val="24"/>
          <w:lang w:val="ru-RU"/>
        </w:rPr>
        <w:t>Часть</w:t>
      </w:r>
      <w:r w:rsidR="00B53407" w:rsidRPr="00D43281">
        <w:rPr>
          <w:rFonts w:ascii="Times New Roman" w:hAnsi="Times New Roman" w:cs="Times New Roman"/>
          <w:b/>
          <w:bCs/>
          <w:color w:val="000000" w:themeColor="text1"/>
          <w:sz w:val="24"/>
          <w:szCs w:val="24"/>
          <w:lang w:val="ro-RO"/>
        </w:rPr>
        <w:t xml:space="preserve"> </w:t>
      </w:r>
      <w:r w:rsidR="001D7E96" w:rsidRPr="00D43281">
        <w:rPr>
          <w:rFonts w:ascii="Times New Roman" w:hAnsi="Times New Roman" w:cs="Times New Roman"/>
          <w:b/>
          <w:bCs/>
          <w:color w:val="000000" w:themeColor="text1"/>
          <w:sz w:val="24"/>
          <w:szCs w:val="24"/>
          <w:lang w:val="ro-RO"/>
        </w:rPr>
        <w:t>6</w:t>
      </w:r>
    </w:p>
    <w:p w14:paraId="26A2C0F1" w14:textId="58CBE57F" w:rsidR="00C37E52" w:rsidRPr="00D43281" w:rsidRDefault="00CC042D" w:rsidP="009046B6">
      <w:pPr>
        <w:pStyle w:val="ListParagraph"/>
        <w:shd w:val="clear" w:color="auto" w:fill="FFFFFF"/>
        <w:tabs>
          <w:tab w:val="left" w:pos="0"/>
        </w:tabs>
        <w:spacing w:after="80" w:line="240" w:lineRule="auto"/>
        <w:ind w:left="0"/>
        <w:contextualSpacing w:val="0"/>
        <w:jc w:val="center"/>
        <w:rPr>
          <w:rFonts w:ascii="Times New Roman" w:hAnsi="Times New Roman" w:cs="Times New Roman"/>
          <w:color w:val="000000" w:themeColor="text1"/>
          <w:sz w:val="24"/>
          <w:szCs w:val="24"/>
          <w:lang w:val="ru-MD"/>
        </w:rPr>
      </w:pPr>
      <w:r w:rsidRPr="00D43281">
        <w:rPr>
          <w:rFonts w:ascii="Times New Roman" w:hAnsi="Times New Roman" w:cs="Times New Roman"/>
          <w:b/>
          <w:bCs/>
          <w:color w:val="000000" w:themeColor="text1"/>
          <w:sz w:val="24"/>
          <w:szCs w:val="24"/>
          <w:lang w:val="ru-MD"/>
        </w:rPr>
        <w:t>Документация</w:t>
      </w:r>
    </w:p>
    <w:p w14:paraId="7C0D2089" w14:textId="469637B8" w:rsidR="00C37E52" w:rsidRPr="00D43281" w:rsidRDefault="00AC217A"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Банки должны официально зафиксировать следующую информацию по каждому виду подверженностей из специализированного финансирования, которым они присваивают весовые коэффициенты риска в соответствии с настоящим приложением</w:t>
      </w:r>
      <w:r w:rsidR="00C37E52" w:rsidRPr="00D43281">
        <w:rPr>
          <w:rFonts w:ascii="Times New Roman" w:hAnsi="Times New Roman" w:cs="Times New Roman"/>
          <w:color w:val="000000" w:themeColor="text1"/>
          <w:sz w:val="24"/>
          <w:szCs w:val="24"/>
          <w:lang w:val="ru-MD"/>
        </w:rPr>
        <w:t>:</w:t>
      </w:r>
    </w:p>
    <w:p w14:paraId="40CE0580" w14:textId="2B6BFAC6" w:rsidR="00C37E52" w:rsidRPr="00D43281" w:rsidRDefault="00AC217A"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весовые коэффициенты риска, присвоенные каждому фактору в соответствии с пунктом 7 настоящего приложения, и их обоснование</w:t>
      </w:r>
      <w:r w:rsidR="00C37E52" w:rsidRPr="00D43281">
        <w:rPr>
          <w:rFonts w:ascii="Times New Roman" w:hAnsi="Times New Roman" w:cs="Times New Roman"/>
          <w:color w:val="000000" w:themeColor="text1"/>
          <w:sz w:val="24"/>
          <w:szCs w:val="24"/>
          <w:lang w:val="ru-MD"/>
        </w:rPr>
        <w:t>;</w:t>
      </w:r>
    </w:p>
    <w:p w14:paraId="4A08A249" w14:textId="2BC41CB5" w:rsidR="00C37E52" w:rsidRPr="00D43281" w:rsidRDefault="00EC06E8"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описание дополнительных факторов риска и причины, по которым они были приняты во внимание в соответствии с пунктом 12 настоящего приложения, если это применимо</w:t>
      </w:r>
      <w:r w:rsidR="00C37E52" w:rsidRPr="00D43281">
        <w:rPr>
          <w:rFonts w:ascii="Times New Roman" w:hAnsi="Times New Roman" w:cs="Times New Roman"/>
          <w:color w:val="000000" w:themeColor="text1"/>
          <w:sz w:val="24"/>
          <w:szCs w:val="24"/>
          <w:lang w:val="ru-MD"/>
        </w:rPr>
        <w:t>;</w:t>
      </w:r>
    </w:p>
    <w:p w14:paraId="794B9634" w14:textId="37B2F6CA" w:rsidR="00C37E52" w:rsidRPr="00D43281" w:rsidRDefault="00EC06E8"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Причины, по которым было принято решение не применять тот или иной </w:t>
      </w:r>
      <w:proofErr w:type="spellStart"/>
      <w:r w:rsidRPr="00D43281">
        <w:rPr>
          <w:rFonts w:ascii="Times New Roman" w:hAnsi="Times New Roman" w:cs="Times New Roman"/>
          <w:color w:val="000000" w:themeColor="text1"/>
          <w:sz w:val="24"/>
          <w:szCs w:val="24"/>
          <w:lang w:val="ru-MD"/>
        </w:rPr>
        <w:t>подфактор</w:t>
      </w:r>
      <w:proofErr w:type="spellEnd"/>
      <w:r w:rsidRPr="00D43281">
        <w:rPr>
          <w:rFonts w:ascii="Times New Roman" w:hAnsi="Times New Roman" w:cs="Times New Roman"/>
          <w:color w:val="000000" w:themeColor="text1"/>
          <w:sz w:val="24"/>
          <w:szCs w:val="24"/>
          <w:lang w:val="ru-MD"/>
        </w:rPr>
        <w:t xml:space="preserve"> или компонент </w:t>
      </w:r>
      <w:proofErr w:type="spellStart"/>
      <w:r w:rsidRPr="00D43281">
        <w:rPr>
          <w:rFonts w:ascii="Times New Roman" w:hAnsi="Times New Roman" w:cs="Times New Roman"/>
          <w:color w:val="000000" w:themeColor="text1"/>
          <w:sz w:val="24"/>
          <w:szCs w:val="24"/>
          <w:lang w:val="ru-MD"/>
        </w:rPr>
        <w:t>подфактора</w:t>
      </w:r>
      <w:proofErr w:type="spellEnd"/>
      <w:r w:rsidRPr="00D43281">
        <w:rPr>
          <w:rFonts w:ascii="Times New Roman" w:hAnsi="Times New Roman" w:cs="Times New Roman"/>
          <w:color w:val="000000" w:themeColor="text1"/>
          <w:sz w:val="24"/>
          <w:szCs w:val="24"/>
          <w:lang w:val="ru-MD"/>
        </w:rPr>
        <w:t xml:space="preserve"> в соответствии с пунктом 13 настоящего приложения, в зависимости от обстоятельств</w:t>
      </w:r>
      <w:r w:rsidR="00C37E52" w:rsidRPr="00D43281">
        <w:rPr>
          <w:rFonts w:ascii="Times New Roman" w:hAnsi="Times New Roman" w:cs="Times New Roman"/>
          <w:color w:val="000000" w:themeColor="text1"/>
          <w:sz w:val="24"/>
          <w:szCs w:val="24"/>
          <w:lang w:val="ru-MD"/>
        </w:rPr>
        <w:t>.</w:t>
      </w:r>
    </w:p>
    <w:p w14:paraId="7CE80340" w14:textId="38D2865F" w:rsidR="00C37E52" w:rsidRPr="00D43281" w:rsidRDefault="00EC06E8" w:rsidP="00E90A53">
      <w:pPr>
        <w:pStyle w:val="ListParagraph"/>
        <w:numPr>
          <w:ilvl w:val="0"/>
          <w:numId w:val="3"/>
        </w:numPr>
        <w:shd w:val="clear" w:color="auto" w:fill="FFFFFF"/>
        <w:tabs>
          <w:tab w:val="left" w:pos="0"/>
        </w:tabs>
        <w:spacing w:before="60" w:after="0" w:line="240" w:lineRule="auto"/>
        <w:ind w:firstLine="567"/>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Банки должны официально зафиксировать следующую информацию по каждо</w:t>
      </w:r>
      <w:r w:rsidR="00D64259" w:rsidRPr="00D43281">
        <w:rPr>
          <w:rFonts w:ascii="Times New Roman" w:hAnsi="Times New Roman" w:cs="Times New Roman"/>
          <w:color w:val="000000" w:themeColor="text1"/>
          <w:sz w:val="24"/>
          <w:szCs w:val="24"/>
          <w:lang w:val="ru-MD"/>
        </w:rPr>
        <w:t>й подверженностей из специализированного финансирования</w:t>
      </w:r>
      <w:r w:rsidRPr="00D43281">
        <w:rPr>
          <w:rFonts w:ascii="Times New Roman" w:hAnsi="Times New Roman" w:cs="Times New Roman"/>
          <w:color w:val="000000" w:themeColor="text1"/>
          <w:sz w:val="24"/>
          <w:szCs w:val="24"/>
          <w:lang w:val="ru-MD"/>
        </w:rPr>
        <w:t>, которой они присваивают весовые коэффициенты риска в соответствии с настоящим регламентом</w:t>
      </w:r>
      <w:r w:rsidR="00C37E52" w:rsidRPr="00D43281">
        <w:rPr>
          <w:rFonts w:ascii="Times New Roman" w:hAnsi="Times New Roman" w:cs="Times New Roman"/>
          <w:color w:val="000000" w:themeColor="text1"/>
          <w:sz w:val="24"/>
          <w:szCs w:val="24"/>
          <w:lang w:val="ru-MD"/>
        </w:rPr>
        <w:t>:</w:t>
      </w:r>
    </w:p>
    <w:p w14:paraId="4F1776BA" w14:textId="5862BC22" w:rsidR="00C37E52" w:rsidRPr="00D43281" w:rsidRDefault="00D64259"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Класс подверженности из специализированного финансирования, как предусмотрено пунктами 2–5 настоящего приложения</w:t>
      </w:r>
      <w:r w:rsidR="00C37E52" w:rsidRPr="00D43281">
        <w:rPr>
          <w:rFonts w:ascii="Times New Roman" w:hAnsi="Times New Roman" w:cs="Times New Roman"/>
          <w:color w:val="000000" w:themeColor="text1"/>
          <w:sz w:val="24"/>
          <w:szCs w:val="24"/>
          <w:lang w:val="ru-MD"/>
        </w:rPr>
        <w:t>;</w:t>
      </w:r>
    </w:p>
    <w:p w14:paraId="7120B571" w14:textId="3B24ADCB" w:rsidR="00C37E52" w:rsidRPr="00D43281" w:rsidRDefault="00D64259"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Категория из таблицы № 1 в пункте 75, к которой отнесена данная </w:t>
      </w:r>
      <w:r w:rsidR="003937AA" w:rsidRPr="00D43281">
        <w:rPr>
          <w:rFonts w:ascii="Times New Roman" w:hAnsi="Times New Roman" w:cs="Times New Roman"/>
          <w:color w:val="000000" w:themeColor="text1"/>
          <w:sz w:val="24"/>
          <w:szCs w:val="24"/>
          <w:lang w:val="ru-MD"/>
        </w:rPr>
        <w:t>подверженность из специализированного финансирования</w:t>
      </w:r>
      <w:r w:rsidR="00C37E52" w:rsidRPr="00D43281">
        <w:rPr>
          <w:rFonts w:ascii="Times New Roman" w:hAnsi="Times New Roman" w:cs="Times New Roman"/>
          <w:color w:val="000000" w:themeColor="text1"/>
          <w:sz w:val="24"/>
          <w:szCs w:val="24"/>
          <w:lang w:val="ru-MD"/>
        </w:rPr>
        <w:t>;</w:t>
      </w:r>
    </w:p>
    <w:p w14:paraId="3A4B3F55" w14:textId="1131D187" w:rsidR="00DE0605" w:rsidRPr="00D43281" w:rsidRDefault="003937AA"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Остаточный срок погашения, указанный в таблице № 1 в пункте 75</w:t>
      </w:r>
      <w:r w:rsidR="00C37E52" w:rsidRPr="00D43281">
        <w:rPr>
          <w:rFonts w:ascii="Times New Roman" w:hAnsi="Times New Roman" w:cs="Times New Roman"/>
          <w:color w:val="000000" w:themeColor="text1"/>
          <w:sz w:val="24"/>
          <w:szCs w:val="24"/>
          <w:lang w:val="ru-MD"/>
        </w:rPr>
        <w:t>;</w:t>
      </w:r>
    </w:p>
    <w:p w14:paraId="12C0AD5E" w14:textId="4CD86471" w:rsidR="003937AA" w:rsidRPr="00D43281" w:rsidRDefault="003937AA" w:rsidP="00E90A53">
      <w:pPr>
        <w:pStyle w:val="ListParagraph"/>
        <w:numPr>
          <w:ilvl w:val="1"/>
          <w:numId w:val="3"/>
        </w:numPr>
        <w:shd w:val="clear" w:color="auto" w:fill="FFFFFF"/>
        <w:tabs>
          <w:tab w:val="left" w:pos="0"/>
        </w:tabs>
        <w:spacing w:before="60" w:after="0" w:line="240" w:lineRule="auto"/>
        <w:ind w:left="0"/>
        <w:jc w:val="both"/>
        <w:rPr>
          <w:rFonts w:ascii="Times New Roman" w:hAnsi="Times New Roman" w:cs="Times New Roman"/>
          <w:color w:val="000000" w:themeColor="text1"/>
          <w:sz w:val="24"/>
          <w:szCs w:val="24"/>
          <w:lang w:val="ru-MD"/>
        </w:rPr>
      </w:pPr>
      <w:r w:rsidRPr="00D43281">
        <w:rPr>
          <w:rFonts w:ascii="Times New Roman" w:hAnsi="Times New Roman" w:cs="Times New Roman"/>
          <w:color w:val="000000" w:themeColor="text1"/>
          <w:sz w:val="24"/>
          <w:szCs w:val="24"/>
          <w:lang w:val="ru-MD"/>
        </w:rPr>
        <w:t xml:space="preserve">Оценка </w:t>
      </w:r>
      <w:r w:rsidR="00644295" w:rsidRPr="00D43281">
        <w:rPr>
          <w:rFonts w:ascii="Times New Roman" w:hAnsi="Times New Roman" w:cs="Times New Roman"/>
          <w:color w:val="000000" w:themeColor="text1"/>
          <w:sz w:val="24"/>
          <w:szCs w:val="24"/>
          <w:lang w:val="ru-MD"/>
        </w:rPr>
        <w:t xml:space="preserve">подверженности из специализированного финансирования </w:t>
      </w:r>
      <w:r w:rsidRPr="00D43281">
        <w:rPr>
          <w:rFonts w:ascii="Times New Roman" w:hAnsi="Times New Roman" w:cs="Times New Roman"/>
          <w:color w:val="000000" w:themeColor="text1"/>
          <w:sz w:val="24"/>
          <w:szCs w:val="24"/>
          <w:lang w:val="ru-MD"/>
        </w:rPr>
        <w:t>на каждом этапе процесса, предусмотренного пунктами 1, 6–14 настоящего приложения, которая привела к присвоению весового коэффициента риска для данной подверженности.</w:t>
      </w:r>
    </w:p>
    <w:p w14:paraId="36F752F8" w14:textId="38EFA933" w:rsidR="00D93616" w:rsidRPr="00D43281" w:rsidRDefault="001C0FC3" w:rsidP="003947E9">
      <w:pPr>
        <w:shd w:val="clear" w:color="auto" w:fill="FFFFFF"/>
        <w:spacing w:before="240" w:after="120" w:line="240" w:lineRule="auto"/>
        <w:jc w:val="right"/>
        <w:rPr>
          <w:rFonts w:ascii="Times New Roman" w:eastAsia="Times New Roman" w:hAnsi="Times New Roman" w:cs="Times New Roman"/>
          <w:b/>
          <w:bCs/>
          <w:i/>
          <w:iCs/>
          <w:color w:val="000000"/>
          <w:sz w:val="24"/>
          <w:szCs w:val="24"/>
          <w:lang w:eastAsia="ro-MD"/>
        </w:rPr>
      </w:pPr>
      <w:r w:rsidRPr="00D43281">
        <w:rPr>
          <w:rFonts w:ascii="Times New Roman" w:eastAsia="Times New Roman" w:hAnsi="Times New Roman" w:cs="Times New Roman"/>
          <w:b/>
          <w:bCs/>
          <w:i/>
          <w:iCs/>
          <w:color w:val="000000"/>
          <w:sz w:val="24"/>
          <w:szCs w:val="24"/>
          <w:lang w:val="ru-RU" w:eastAsia="ro-MD"/>
        </w:rPr>
        <w:t xml:space="preserve">Таблица № </w:t>
      </w:r>
      <w:r w:rsidR="003947E9" w:rsidRPr="00D43281">
        <w:rPr>
          <w:rFonts w:ascii="Times New Roman" w:eastAsia="Times New Roman" w:hAnsi="Times New Roman" w:cs="Times New Roman"/>
          <w:b/>
          <w:bCs/>
          <w:i/>
          <w:iCs/>
          <w:color w:val="000000"/>
          <w:sz w:val="24"/>
          <w:szCs w:val="24"/>
          <w:lang w:eastAsia="ro-MD"/>
        </w:rPr>
        <w:t>1</w:t>
      </w:r>
    </w:p>
    <w:p w14:paraId="4936D547" w14:textId="4D44EBDC" w:rsidR="00D93616" w:rsidRPr="00D43281" w:rsidRDefault="001D4490" w:rsidP="00D93616">
      <w:pPr>
        <w:shd w:val="clear" w:color="auto" w:fill="FFFFFF"/>
        <w:spacing w:before="240" w:after="120" w:line="240" w:lineRule="auto"/>
        <w:jc w:val="center"/>
        <w:rPr>
          <w:rFonts w:ascii="Times New Roman" w:eastAsia="Times New Roman" w:hAnsi="Times New Roman" w:cs="Times New Roman"/>
          <w:b/>
          <w:bCs/>
          <w:color w:val="000000"/>
          <w:sz w:val="24"/>
          <w:szCs w:val="24"/>
          <w:lang w:val="ru-MD" w:eastAsia="ro-MD"/>
        </w:rPr>
      </w:pPr>
      <w:r w:rsidRPr="00D43281">
        <w:rPr>
          <w:rFonts w:ascii="Times New Roman" w:eastAsia="Times New Roman" w:hAnsi="Times New Roman" w:cs="Times New Roman"/>
          <w:b/>
          <w:bCs/>
          <w:color w:val="000000"/>
          <w:sz w:val="24"/>
          <w:szCs w:val="24"/>
          <w:lang w:val="ru-MD" w:eastAsia="ro-MD"/>
        </w:rPr>
        <w:t>Критерии оценки</w:t>
      </w:r>
      <w:r w:rsidR="00231073" w:rsidRPr="00D43281">
        <w:rPr>
          <w:rFonts w:ascii="Times New Roman" w:eastAsia="Times New Roman" w:hAnsi="Times New Roman" w:cs="Times New Roman"/>
          <w:b/>
          <w:bCs/>
          <w:color w:val="000000"/>
          <w:sz w:val="24"/>
          <w:szCs w:val="24"/>
          <w:lang w:val="ru-MD" w:eastAsia="ro-MD"/>
        </w:rPr>
        <w:t xml:space="preserve"> </w:t>
      </w:r>
      <w:r w:rsidRPr="00D43281">
        <w:rPr>
          <w:rFonts w:ascii="Times New Roman" w:eastAsia="Times New Roman" w:hAnsi="Times New Roman" w:cs="Times New Roman"/>
          <w:b/>
          <w:bCs/>
          <w:color w:val="000000"/>
          <w:sz w:val="24"/>
          <w:szCs w:val="24"/>
          <w:lang w:val="ru-MD" w:eastAsia="ro-MD"/>
        </w:rPr>
        <w:t xml:space="preserve">для подверженностей из </w:t>
      </w:r>
      <w:r w:rsidR="00F37C37" w:rsidRPr="00D43281">
        <w:rPr>
          <w:rFonts w:ascii="Times New Roman" w:eastAsia="Times New Roman" w:hAnsi="Times New Roman" w:cs="Times New Roman"/>
          <w:b/>
          <w:bCs/>
          <w:color w:val="000000"/>
          <w:sz w:val="24"/>
          <w:szCs w:val="24"/>
          <w:lang w:val="ru-MD" w:eastAsia="ro-MD"/>
        </w:rPr>
        <w:t>финансирования проектов</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50"/>
        <w:gridCol w:w="1646"/>
        <w:gridCol w:w="1764"/>
        <w:gridCol w:w="1764"/>
        <w:gridCol w:w="2314"/>
      </w:tblGrid>
      <w:tr w:rsidR="00D93616" w:rsidRPr="00D43281" w14:paraId="689BE3B8"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57A0CED2"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4F2B39D0" w14:textId="3FA80539" w:rsidR="00D93616" w:rsidRPr="00D43281" w:rsidRDefault="000B11BF" w:rsidP="00DF083B">
            <w:pPr>
              <w:spacing w:before="60" w:after="60" w:line="240" w:lineRule="auto"/>
              <w:ind w:right="195"/>
              <w:jc w:val="center"/>
              <w:rPr>
                <w:rFonts w:ascii="Times New Roman" w:eastAsia="Times New Roman" w:hAnsi="Times New Roman" w:cs="Times New Roman"/>
                <w:b/>
                <w:bCs/>
                <w:sz w:val="24"/>
                <w:szCs w:val="24"/>
                <w:lang w:val="ru-MD" w:eastAsia="ro-MD"/>
              </w:rPr>
            </w:pPr>
            <w:r w:rsidRPr="00D43281">
              <w:rPr>
                <w:rFonts w:ascii="Times New Roman" w:eastAsia="Times New Roman" w:hAnsi="Times New Roman" w:cs="Times New Roman"/>
                <w:b/>
                <w:bCs/>
                <w:sz w:val="24"/>
                <w:szCs w:val="24"/>
                <w:lang w:val="ru-MD" w:eastAsia="ro-MD"/>
              </w:rPr>
              <w:t>Категория</w:t>
            </w:r>
            <w:r w:rsidR="00D93616" w:rsidRPr="00D43281">
              <w:rPr>
                <w:rFonts w:ascii="Times New Roman" w:eastAsia="Times New Roman" w:hAnsi="Times New Roman" w:cs="Times New Roman"/>
                <w:b/>
                <w:bCs/>
                <w:sz w:val="24"/>
                <w:szCs w:val="24"/>
                <w:lang w:val="ru-MD" w:eastAsia="ro-MD"/>
              </w:rPr>
              <w:t xml:space="preserve"> 1</w:t>
            </w:r>
          </w:p>
        </w:tc>
        <w:tc>
          <w:tcPr>
            <w:tcW w:w="0" w:type="auto"/>
            <w:tcBorders>
              <w:top w:val="single" w:sz="6" w:space="0" w:color="000000"/>
              <w:left w:val="single" w:sz="6" w:space="0" w:color="000000"/>
              <w:bottom w:val="single" w:sz="6" w:space="0" w:color="000000"/>
              <w:right w:val="single" w:sz="6" w:space="0" w:color="000000"/>
            </w:tcBorders>
            <w:hideMark/>
          </w:tcPr>
          <w:p w14:paraId="4855AD24" w14:textId="3BB10FD5" w:rsidR="00D93616" w:rsidRPr="00D43281" w:rsidRDefault="000B11BF" w:rsidP="00DF083B">
            <w:pPr>
              <w:spacing w:before="60" w:after="60" w:line="240" w:lineRule="auto"/>
              <w:ind w:right="195"/>
              <w:jc w:val="center"/>
              <w:rPr>
                <w:rFonts w:ascii="Times New Roman" w:eastAsia="Times New Roman" w:hAnsi="Times New Roman" w:cs="Times New Roman"/>
                <w:b/>
                <w:bCs/>
                <w:sz w:val="24"/>
                <w:szCs w:val="24"/>
                <w:lang w:val="ru-MD" w:eastAsia="ro-MD"/>
              </w:rPr>
            </w:pPr>
            <w:r w:rsidRPr="00D43281">
              <w:rPr>
                <w:rFonts w:ascii="Times New Roman" w:eastAsia="Times New Roman" w:hAnsi="Times New Roman" w:cs="Times New Roman"/>
                <w:b/>
                <w:bCs/>
                <w:sz w:val="24"/>
                <w:szCs w:val="24"/>
                <w:lang w:val="ru-MD" w:eastAsia="ro-MD"/>
              </w:rPr>
              <w:t>Категория</w:t>
            </w:r>
            <w:r w:rsidR="00D93616" w:rsidRPr="00D43281">
              <w:rPr>
                <w:rFonts w:ascii="Times New Roman" w:eastAsia="Times New Roman" w:hAnsi="Times New Roman" w:cs="Times New Roman"/>
                <w:b/>
                <w:bCs/>
                <w:sz w:val="24"/>
                <w:szCs w:val="24"/>
                <w:lang w:val="ru-MD" w:eastAsia="ro-MD"/>
              </w:rPr>
              <w:t xml:space="preserve"> 2</w:t>
            </w:r>
          </w:p>
        </w:tc>
        <w:tc>
          <w:tcPr>
            <w:tcW w:w="0" w:type="auto"/>
            <w:tcBorders>
              <w:top w:val="single" w:sz="6" w:space="0" w:color="000000"/>
              <w:left w:val="single" w:sz="6" w:space="0" w:color="000000"/>
              <w:bottom w:val="single" w:sz="6" w:space="0" w:color="000000"/>
              <w:right w:val="single" w:sz="6" w:space="0" w:color="000000"/>
            </w:tcBorders>
            <w:hideMark/>
          </w:tcPr>
          <w:p w14:paraId="19E009FC" w14:textId="66D9AC13" w:rsidR="00D93616" w:rsidRPr="00D43281" w:rsidRDefault="000B11BF" w:rsidP="00DF083B">
            <w:pPr>
              <w:spacing w:before="60" w:after="60" w:line="240" w:lineRule="auto"/>
              <w:ind w:right="195"/>
              <w:jc w:val="center"/>
              <w:rPr>
                <w:rFonts w:ascii="Times New Roman" w:eastAsia="Times New Roman" w:hAnsi="Times New Roman" w:cs="Times New Roman"/>
                <w:b/>
                <w:bCs/>
                <w:sz w:val="24"/>
                <w:szCs w:val="24"/>
                <w:lang w:val="ru-MD" w:eastAsia="ro-MD"/>
              </w:rPr>
            </w:pPr>
            <w:r w:rsidRPr="00D43281">
              <w:rPr>
                <w:rFonts w:ascii="Times New Roman" w:eastAsia="Times New Roman" w:hAnsi="Times New Roman" w:cs="Times New Roman"/>
                <w:b/>
                <w:bCs/>
                <w:sz w:val="24"/>
                <w:szCs w:val="24"/>
                <w:lang w:val="ru-MD" w:eastAsia="ro-MD"/>
              </w:rPr>
              <w:t>Категория</w:t>
            </w:r>
            <w:r w:rsidR="00D93616" w:rsidRPr="00D43281">
              <w:rPr>
                <w:rFonts w:ascii="Times New Roman" w:eastAsia="Times New Roman" w:hAnsi="Times New Roman" w:cs="Times New Roman"/>
                <w:b/>
                <w:bCs/>
                <w:sz w:val="24"/>
                <w:szCs w:val="24"/>
                <w:lang w:val="ru-MD" w:eastAsia="ro-MD"/>
              </w:rPr>
              <w:t xml:space="preserve"> 3</w:t>
            </w:r>
          </w:p>
        </w:tc>
        <w:tc>
          <w:tcPr>
            <w:tcW w:w="0" w:type="auto"/>
            <w:tcBorders>
              <w:top w:val="single" w:sz="6" w:space="0" w:color="000000"/>
              <w:left w:val="single" w:sz="6" w:space="0" w:color="000000"/>
              <w:bottom w:val="single" w:sz="6" w:space="0" w:color="000000"/>
              <w:right w:val="single" w:sz="6" w:space="0" w:color="000000"/>
            </w:tcBorders>
            <w:hideMark/>
          </w:tcPr>
          <w:p w14:paraId="42EBBC19" w14:textId="0F57C7BD" w:rsidR="00D93616" w:rsidRPr="00D43281" w:rsidRDefault="000B11BF" w:rsidP="00DF083B">
            <w:pPr>
              <w:spacing w:before="60" w:after="60" w:line="240" w:lineRule="auto"/>
              <w:ind w:right="195"/>
              <w:jc w:val="center"/>
              <w:rPr>
                <w:rFonts w:ascii="Times New Roman" w:eastAsia="Times New Roman" w:hAnsi="Times New Roman" w:cs="Times New Roman"/>
                <w:b/>
                <w:bCs/>
                <w:sz w:val="24"/>
                <w:szCs w:val="24"/>
                <w:lang w:val="ru-MD" w:eastAsia="ro-MD"/>
              </w:rPr>
            </w:pPr>
            <w:r w:rsidRPr="00D43281">
              <w:rPr>
                <w:rFonts w:ascii="Times New Roman" w:eastAsia="Times New Roman" w:hAnsi="Times New Roman" w:cs="Times New Roman"/>
                <w:b/>
                <w:bCs/>
                <w:sz w:val="24"/>
                <w:szCs w:val="24"/>
                <w:lang w:val="ru-MD" w:eastAsia="ro-MD"/>
              </w:rPr>
              <w:t>Категория</w:t>
            </w:r>
            <w:r w:rsidR="00D93616" w:rsidRPr="00D43281">
              <w:rPr>
                <w:rFonts w:ascii="Times New Roman" w:eastAsia="Times New Roman" w:hAnsi="Times New Roman" w:cs="Times New Roman"/>
                <w:b/>
                <w:bCs/>
                <w:sz w:val="24"/>
                <w:szCs w:val="24"/>
                <w:lang w:val="ru-MD" w:eastAsia="ro-MD"/>
              </w:rPr>
              <w:t xml:space="preserve"> 4</w:t>
            </w:r>
          </w:p>
        </w:tc>
      </w:tr>
      <w:tr w:rsidR="00D93616" w:rsidRPr="00D43281" w14:paraId="5A5C20D2"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3F7C057A" w14:textId="395E8688" w:rsidR="00D93616" w:rsidRPr="00D43281" w:rsidRDefault="000B11BF"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b/>
                <w:bCs/>
                <w:sz w:val="24"/>
                <w:szCs w:val="24"/>
                <w:lang w:val="ru-MD" w:eastAsia="ro-MD"/>
              </w:rPr>
              <w:t>Фактор: финансовая устойчивость</w:t>
            </w:r>
          </w:p>
        </w:tc>
        <w:tc>
          <w:tcPr>
            <w:tcW w:w="0" w:type="auto"/>
            <w:tcBorders>
              <w:top w:val="single" w:sz="6" w:space="0" w:color="000000"/>
              <w:left w:val="single" w:sz="6" w:space="0" w:color="000000"/>
              <w:bottom w:val="single" w:sz="6" w:space="0" w:color="000000"/>
              <w:right w:val="single" w:sz="6" w:space="0" w:color="000000"/>
            </w:tcBorders>
            <w:hideMark/>
          </w:tcPr>
          <w:p w14:paraId="13EAE7EC"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5D010F7"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A27B178"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FD004FD"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r>
      <w:tr w:rsidR="00D93616" w:rsidRPr="00D43281" w14:paraId="26C523F4"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55"/>
            </w:tblGrid>
            <w:tr w:rsidR="00D93616" w:rsidRPr="00D43281" w14:paraId="2790744E" w14:textId="77777777" w:rsidTr="00DF083B">
              <w:tc>
                <w:tcPr>
                  <w:tcW w:w="0" w:type="auto"/>
                  <w:hideMark/>
                </w:tcPr>
                <w:p w14:paraId="1B63FA00" w14:textId="7994104D" w:rsidR="00D93616" w:rsidRPr="00D43281" w:rsidRDefault="002B2CC8"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1.</w:t>
                  </w:r>
                </w:p>
              </w:tc>
              <w:tc>
                <w:tcPr>
                  <w:tcW w:w="0" w:type="auto"/>
                  <w:hideMark/>
                </w:tcPr>
                <w:p w14:paraId="657A8014" w14:textId="3E25CACD" w:rsidR="00D93616" w:rsidRPr="00D43281" w:rsidRDefault="00493B28" w:rsidP="00DF083B">
                  <w:pPr>
                    <w:spacing w:before="120" w:after="0" w:line="240" w:lineRule="auto"/>
                    <w:jc w:val="both"/>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рыночные условия</w:t>
                  </w:r>
                </w:p>
              </w:tc>
            </w:tr>
          </w:tbl>
          <w:p w14:paraId="6BCAA388"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7F09862" w14:textId="21E7D0E8" w:rsidR="00D93616" w:rsidRPr="00D43281" w:rsidRDefault="00493B28"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Небольшое количество конкурирующих поставщиков или существенное и устойчивое преимущество </w:t>
            </w:r>
            <w:r w:rsidRPr="00D43281">
              <w:rPr>
                <w:rFonts w:ascii="Times New Roman" w:eastAsia="Times New Roman" w:hAnsi="Times New Roman" w:cs="Times New Roman"/>
                <w:sz w:val="24"/>
                <w:szCs w:val="24"/>
                <w:lang w:val="ru-MD" w:eastAsia="ro-MD"/>
              </w:rPr>
              <w:lastRenderedPageBreak/>
              <w:t>в плане местоположения, затрат или технологий. Спрос высокий и продолжает расти.</w:t>
            </w:r>
          </w:p>
        </w:tc>
        <w:tc>
          <w:tcPr>
            <w:tcW w:w="0" w:type="auto"/>
            <w:tcBorders>
              <w:top w:val="single" w:sz="6" w:space="0" w:color="000000"/>
              <w:left w:val="single" w:sz="6" w:space="0" w:color="000000"/>
              <w:bottom w:val="single" w:sz="6" w:space="0" w:color="000000"/>
              <w:right w:val="single" w:sz="6" w:space="0" w:color="000000"/>
            </w:tcBorders>
            <w:hideMark/>
          </w:tcPr>
          <w:p w14:paraId="4412CABB" w14:textId="66C2F02A" w:rsidR="00D93616" w:rsidRPr="00D43281" w:rsidRDefault="00493B28"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Небольшое количество конкурирующих поставщиков или условия, превосходящие средние показатели в </w:t>
            </w:r>
            <w:r w:rsidRPr="00D43281">
              <w:rPr>
                <w:rFonts w:ascii="Times New Roman" w:eastAsia="Times New Roman" w:hAnsi="Times New Roman" w:cs="Times New Roman"/>
                <w:sz w:val="24"/>
                <w:szCs w:val="24"/>
                <w:lang w:val="ru-MD" w:eastAsia="ro-MD"/>
              </w:rPr>
              <w:lastRenderedPageBreak/>
              <w:t>плане местоположения, затрат или технологий, но которые, возможно, не сохранятся в долгосрочной перспективе. Спрос высокий и стабильный.</w:t>
            </w:r>
          </w:p>
        </w:tc>
        <w:tc>
          <w:tcPr>
            <w:tcW w:w="0" w:type="auto"/>
            <w:tcBorders>
              <w:top w:val="single" w:sz="6" w:space="0" w:color="000000"/>
              <w:left w:val="single" w:sz="6" w:space="0" w:color="000000"/>
              <w:bottom w:val="single" w:sz="6" w:space="0" w:color="000000"/>
              <w:right w:val="single" w:sz="6" w:space="0" w:color="000000"/>
            </w:tcBorders>
            <w:hideMark/>
          </w:tcPr>
          <w:p w14:paraId="1FF84DB0" w14:textId="3A7F2720" w:rsidR="00D93616" w:rsidRPr="00D43281" w:rsidRDefault="00231073"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У проекта нет никаких преимуществ с точки зрения местоположения, затрат или технологий. Спрос является </w:t>
            </w:r>
            <w:r w:rsidRPr="00D43281">
              <w:rPr>
                <w:rFonts w:ascii="Times New Roman" w:eastAsia="Times New Roman" w:hAnsi="Times New Roman" w:cs="Times New Roman"/>
                <w:sz w:val="24"/>
                <w:szCs w:val="24"/>
                <w:lang w:val="ru-MD" w:eastAsia="ro-MD"/>
              </w:rPr>
              <w:lastRenderedPageBreak/>
              <w:t>адекватным и стабильным.</w:t>
            </w:r>
          </w:p>
        </w:tc>
        <w:tc>
          <w:tcPr>
            <w:tcW w:w="0" w:type="auto"/>
            <w:tcBorders>
              <w:top w:val="single" w:sz="6" w:space="0" w:color="000000"/>
              <w:left w:val="single" w:sz="6" w:space="0" w:color="000000"/>
              <w:bottom w:val="single" w:sz="6" w:space="0" w:color="000000"/>
              <w:right w:val="single" w:sz="6" w:space="0" w:color="000000"/>
            </w:tcBorders>
            <w:hideMark/>
          </w:tcPr>
          <w:p w14:paraId="13C9260B" w14:textId="278C527A" w:rsidR="00D93616" w:rsidRPr="00D43281" w:rsidRDefault="00231073"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Проект находится в худшем положении, чем в среднем, с точки зрения местоположения, затрат или технологий. Спрос </w:t>
            </w:r>
            <w:r w:rsidRPr="00D43281">
              <w:rPr>
                <w:rFonts w:ascii="Times New Roman" w:eastAsia="Times New Roman" w:hAnsi="Times New Roman" w:cs="Times New Roman"/>
                <w:sz w:val="24"/>
                <w:szCs w:val="24"/>
                <w:lang w:val="ru-MD" w:eastAsia="ro-MD"/>
              </w:rPr>
              <w:lastRenderedPageBreak/>
              <w:t>слабый и продолжает снижаться.</w:t>
            </w:r>
          </w:p>
        </w:tc>
      </w:tr>
      <w:tr w:rsidR="00D93616" w:rsidRPr="00D43281" w14:paraId="4A947430"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55"/>
            </w:tblGrid>
            <w:tr w:rsidR="00D93616" w:rsidRPr="00D43281" w14:paraId="3895CF96" w14:textId="77777777" w:rsidTr="00DF083B">
              <w:tc>
                <w:tcPr>
                  <w:tcW w:w="0" w:type="auto"/>
                  <w:hideMark/>
                </w:tcPr>
                <w:p w14:paraId="740104B4" w14:textId="11C59467" w:rsidR="00D93616" w:rsidRPr="00D43281" w:rsidRDefault="002B2CC8" w:rsidP="002B2CC8">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2.</w:t>
                  </w:r>
                </w:p>
              </w:tc>
              <w:tc>
                <w:tcPr>
                  <w:tcW w:w="0" w:type="auto"/>
                  <w:hideMark/>
                </w:tcPr>
                <w:p w14:paraId="661E6F04" w14:textId="0674A69E" w:rsidR="00D93616" w:rsidRPr="00D43281" w:rsidRDefault="00B94EDD" w:rsidP="002B2CC8">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 </w:t>
                  </w:r>
                  <w:proofErr w:type="spellStart"/>
                  <w:r w:rsidR="00F62CFE" w:rsidRPr="00D43281">
                    <w:rPr>
                      <w:rFonts w:ascii="Times New Roman" w:eastAsia="Times New Roman" w:hAnsi="Times New Roman" w:cs="Times New Roman"/>
                      <w:sz w:val="24"/>
                      <w:szCs w:val="24"/>
                      <w:lang w:val="ru-MD" w:eastAsia="ro-MD"/>
                    </w:rPr>
                    <w:t>Подфактор</w:t>
                  </w:r>
                  <w:proofErr w:type="spellEnd"/>
                  <w:r w:rsidR="00F62CFE" w:rsidRPr="00D43281">
                    <w:rPr>
                      <w:rFonts w:ascii="Times New Roman" w:eastAsia="Times New Roman" w:hAnsi="Times New Roman" w:cs="Times New Roman"/>
                      <w:sz w:val="24"/>
                      <w:szCs w:val="24"/>
                      <w:lang w:val="ru-MD" w:eastAsia="ro-MD"/>
                    </w:rPr>
                    <w:t>: финансовые показатели (например, коэффициент покрытия обслуживания долга — DSCR, коэффициент покрытия процентов — ICR, коэффициент покрытия на весь срок кредита — LLCR и эффект рычага)</w:t>
                  </w:r>
                </w:p>
              </w:tc>
            </w:tr>
          </w:tbl>
          <w:p w14:paraId="66496CE1" w14:textId="77777777" w:rsidR="00D93616" w:rsidRPr="00D43281" w:rsidRDefault="00D93616" w:rsidP="002B2CC8">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9E2E734" w14:textId="1B743A6E" w:rsidR="00D93616" w:rsidRPr="00D43281" w:rsidRDefault="00F62CFE"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Сильные финансовые показатели с учётом уровня риска проекта; весьма обоснованные экономические предположения.</w:t>
            </w:r>
          </w:p>
        </w:tc>
        <w:tc>
          <w:tcPr>
            <w:tcW w:w="0" w:type="auto"/>
            <w:tcBorders>
              <w:top w:val="single" w:sz="6" w:space="0" w:color="000000"/>
              <w:left w:val="single" w:sz="6" w:space="0" w:color="000000"/>
              <w:bottom w:val="single" w:sz="6" w:space="0" w:color="000000"/>
              <w:right w:val="single" w:sz="6" w:space="0" w:color="000000"/>
            </w:tcBorders>
            <w:hideMark/>
          </w:tcPr>
          <w:p w14:paraId="00CC8C36" w14:textId="04B36F93" w:rsidR="00D93616" w:rsidRPr="00D43281" w:rsidRDefault="001E2CFB"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Финансовые показатели — от высоких до приемлемых с учетом уровня риска проекта; проект основан на надежных экономических предположениях.</w:t>
            </w:r>
          </w:p>
        </w:tc>
        <w:tc>
          <w:tcPr>
            <w:tcW w:w="0" w:type="auto"/>
            <w:tcBorders>
              <w:top w:val="single" w:sz="6" w:space="0" w:color="000000"/>
              <w:left w:val="single" w:sz="6" w:space="0" w:color="000000"/>
              <w:bottom w:val="single" w:sz="6" w:space="0" w:color="000000"/>
              <w:right w:val="single" w:sz="6" w:space="0" w:color="000000"/>
            </w:tcBorders>
            <w:hideMark/>
          </w:tcPr>
          <w:p w14:paraId="422BB0AF" w14:textId="6D79E46D" w:rsidR="00D93616" w:rsidRPr="00D43281" w:rsidRDefault="001E2CFB"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Стандартные финансовые показатели с учётом уровня риска проекта.</w:t>
            </w:r>
          </w:p>
        </w:tc>
        <w:tc>
          <w:tcPr>
            <w:tcW w:w="0" w:type="auto"/>
            <w:tcBorders>
              <w:top w:val="single" w:sz="6" w:space="0" w:color="000000"/>
              <w:left w:val="single" w:sz="6" w:space="0" w:color="000000"/>
              <w:bottom w:val="single" w:sz="6" w:space="0" w:color="000000"/>
              <w:right w:val="single" w:sz="6" w:space="0" w:color="000000"/>
            </w:tcBorders>
            <w:hideMark/>
          </w:tcPr>
          <w:p w14:paraId="212604D7" w14:textId="0E9CB1CB" w:rsidR="00D93616" w:rsidRPr="00D43281" w:rsidRDefault="00735508"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Агрессивные финансовые показатели, учитывая степень риска проекта.</w:t>
            </w:r>
          </w:p>
        </w:tc>
      </w:tr>
      <w:tr w:rsidR="00D93616" w:rsidRPr="00D43281" w14:paraId="2E951F2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65"/>
              <w:gridCol w:w="1670"/>
            </w:tblGrid>
            <w:tr w:rsidR="00D93616" w:rsidRPr="00D43281" w14:paraId="0488A946" w14:textId="77777777" w:rsidTr="00DF083B">
              <w:tc>
                <w:tcPr>
                  <w:tcW w:w="0" w:type="auto"/>
                  <w:hideMark/>
                </w:tcPr>
                <w:p w14:paraId="3C3A253D" w14:textId="5F04AA73" w:rsidR="00D93616" w:rsidRPr="00D43281" w:rsidRDefault="002B2CC8" w:rsidP="002B2CC8">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3.</w:t>
                  </w:r>
                </w:p>
              </w:tc>
              <w:tc>
                <w:tcPr>
                  <w:tcW w:w="0" w:type="auto"/>
                  <w:hideMark/>
                </w:tcPr>
                <w:p w14:paraId="1DB359CC" w14:textId="392FF8AD" w:rsidR="00D93616" w:rsidRPr="00D43281" w:rsidRDefault="00A050B1" w:rsidP="002B2CC8">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w:t>
                  </w:r>
                  <w:r w:rsidR="009046B6">
                    <w:rPr>
                      <w:rFonts w:ascii="Times New Roman" w:eastAsia="Times New Roman" w:hAnsi="Times New Roman" w:cs="Times New Roman"/>
                      <w:sz w:val="24"/>
                      <w:szCs w:val="24"/>
                      <w:lang w:val="ru-RU" w:eastAsia="ro-MD"/>
                    </w:rPr>
                    <w:t xml:space="preserve"> </w:t>
                  </w:r>
                  <w:r w:rsidRPr="00D43281">
                    <w:rPr>
                      <w:rFonts w:ascii="Times New Roman" w:eastAsia="Times New Roman" w:hAnsi="Times New Roman" w:cs="Times New Roman"/>
                      <w:sz w:val="24"/>
                      <w:szCs w:val="24"/>
                      <w:lang w:val="ru-RU" w:eastAsia="ro-MD"/>
                    </w:rPr>
                    <w:t>чувствительность к изменениям процентных ставок, исходя из доходов, полученных в течение срока действия кредита</w:t>
                  </w:r>
                </w:p>
              </w:tc>
            </w:tr>
          </w:tbl>
          <w:p w14:paraId="09D2A4D2" w14:textId="77777777" w:rsidR="00D93616" w:rsidRPr="00D43281" w:rsidRDefault="00D93616" w:rsidP="002B2CC8">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109BD37" w14:textId="54AA630C" w:rsidR="00D93616" w:rsidRPr="00D43281" w:rsidRDefault="00A050B1"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Проект способен выполнить свои финансовые обязательства в случае серьезных и длительных потрясений в экономике или в секторе.</w:t>
            </w:r>
          </w:p>
        </w:tc>
        <w:tc>
          <w:tcPr>
            <w:tcW w:w="0" w:type="auto"/>
            <w:tcBorders>
              <w:top w:val="single" w:sz="6" w:space="0" w:color="000000"/>
              <w:left w:val="single" w:sz="6" w:space="0" w:color="000000"/>
              <w:bottom w:val="single" w:sz="6" w:space="0" w:color="000000"/>
              <w:right w:val="single" w:sz="6" w:space="0" w:color="000000"/>
            </w:tcBorders>
            <w:hideMark/>
          </w:tcPr>
          <w:p w14:paraId="1DACD846" w14:textId="34016427" w:rsidR="00D93616" w:rsidRPr="00D43281" w:rsidRDefault="004F529B"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Проект способен выполнять свои финансовые обязательства в условиях нормальной экономической или отраслевой конъюнктуры. Проект может оказаться в состоянии неплатежеспособности лишь в случае крайне сложных экономических условий.</w:t>
            </w:r>
          </w:p>
        </w:tc>
        <w:tc>
          <w:tcPr>
            <w:tcW w:w="0" w:type="auto"/>
            <w:tcBorders>
              <w:top w:val="single" w:sz="6" w:space="0" w:color="000000"/>
              <w:left w:val="single" w:sz="6" w:space="0" w:color="000000"/>
              <w:bottom w:val="single" w:sz="6" w:space="0" w:color="000000"/>
              <w:right w:val="single" w:sz="6" w:space="0" w:color="000000"/>
            </w:tcBorders>
            <w:hideMark/>
          </w:tcPr>
          <w:p w14:paraId="0AF1C17C" w14:textId="1F43CBBA" w:rsidR="00D93616" w:rsidRPr="00D43281" w:rsidRDefault="004F529B"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Проект уязвим к колебаниям, которые не являются чем-то необычным в течение экономического цикла, и может оказаться в состоянии неплатежеспособности в период замедления экономического роста.</w:t>
            </w:r>
          </w:p>
        </w:tc>
        <w:tc>
          <w:tcPr>
            <w:tcW w:w="0" w:type="auto"/>
            <w:tcBorders>
              <w:top w:val="single" w:sz="6" w:space="0" w:color="000000"/>
              <w:left w:val="single" w:sz="6" w:space="0" w:color="000000"/>
              <w:bottom w:val="single" w:sz="6" w:space="0" w:color="000000"/>
              <w:right w:val="single" w:sz="6" w:space="0" w:color="000000"/>
            </w:tcBorders>
            <w:hideMark/>
          </w:tcPr>
          <w:p w14:paraId="77987388" w14:textId="68D52A28" w:rsidR="00D93616" w:rsidRPr="00D43281" w:rsidRDefault="004F529B"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Проект может оказаться невозможным для погашения, если в ближайшее время ситуация не улучшится.</w:t>
            </w:r>
          </w:p>
        </w:tc>
      </w:tr>
      <w:tr w:rsidR="00D93616" w:rsidRPr="00D43281" w14:paraId="623E5AF2"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55"/>
            </w:tblGrid>
            <w:tr w:rsidR="00D93616" w:rsidRPr="00D43281" w14:paraId="5E1BD6FD" w14:textId="77777777" w:rsidTr="00DF083B">
              <w:tc>
                <w:tcPr>
                  <w:tcW w:w="0" w:type="auto"/>
                  <w:hideMark/>
                </w:tcPr>
                <w:p w14:paraId="29D98AB7" w14:textId="30BF6A76" w:rsidR="00D93616" w:rsidRPr="00D43281" w:rsidRDefault="002B2CC8" w:rsidP="002B2CC8">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4.</w:t>
                  </w:r>
                </w:p>
              </w:tc>
              <w:tc>
                <w:tcPr>
                  <w:tcW w:w="0" w:type="auto"/>
                  <w:hideMark/>
                </w:tcPr>
                <w:p w14:paraId="19AB5D02" w14:textId="3C183030" w:rsidR="00D93616" w:rsidRPr="00D43281" w:rsidRDefault="009738E9" w:rsidP="002B2CC8">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финансовая структура</w:t>
                  </w:r>
                </w:p>
              </w:tc>
            </w:tr>
          </w:tbl>
          <w:p w14:paraId="6D1389C4" w14:textId="77777777" w:rsidR="00D93616" w:rsidRPr="00D43281" w:rsidRDefault="00D93616" w:rsidP="002B2CC8">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1990696"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69E6F01"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71529EC"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51F5EAD2"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r>
      <w:tr w:rsidR="00D93616" w:rsidRPr="00D43281" w14:paraId="6B51DE4C"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829"/>
            </w:tblGrid>
            <w:tr w:rsidR="00D93616" w:rsidRPr="00D43281" w14:paraId="02722AB3" w14:textId="77777777" w:rsidTr="00DF083B">
              <w:tc>
                <w:tcPr>
                  <w:tcW w:w="0" w:type="auto"/>
                  <w:hideMark/>
                </w:tcPr>
                <w:p w14:paraId="0D33DBE5" w14:textId="69E1DA12" w:rsidR="00D93616" w:rsidRPr="00D43281" w:rsidRDefault="00D93616" w:rsidP="002B2CC8">
                  <w:pPr>
                    <w:spacing w:before="120" w:after="0" w:line="240" w:lineRule="auto"/>
                    <w:rPr>
                      <w:rFonts w:ascii="Times New Roman" w:eastAsia="Times New Roman" w:hAnsi="Times New Roman" w:cs="Times New Roman"/>
                      <w:sz w:val="24"/>
                      <w:szCs w:val="24"/>
                      <w:lang w:val="ru-RU" w:eastAsia="ro-MD"/>
                    </w:rPr>
                  </w:pPr>
                </w:p>
              </w:tc>
              <w:tc>
                <w:tcPr>
                  <w:tcW w:w="0" w:type="auto"/>
                  <w:hideMark/>
                </w:tcPr>
                <w:p w14:paraId="19879BD6" w14:textId="6F0ED23D" w:rsidR="00D93616" w:rsidRPr="00D43281" w:rsidRDefault="002B2CC8" w:rsidP="002B2CC8">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4.1.</w:t>
                  </w:r>
                  <w:r w:rsidR="009738E9" w:rsidRPr="00D43281">
                    <w:rPr>
                      <w:sz w:val="24"/>
                      <w:szCs w:val="24"/>
                      <w:lang w:val="ru-RU"/>
                    </w:rPr>
                    <w:t xml:space="preserve"> </w:t>
                  </w:r>
                  <w:r w:rsidR="009738E9" w:rsidRPr="00D43281">
                    <w:rPr>
                      <w:rFonts w:ascii="Times New Roman" w:eastAsia="Times New Roman" w:hAnsi="Times New Roman" w:cs="Times New Roman"/>
                      <w:sz w:val="24"/>
                      <w:szCs w:val="24"/>
                      <w:lang w:val="ru-RU" w:eastAsia="ro-MD"/>
                    </w:rPr>
                    <w:t xml:space="preserve">График амортизации (составляющая </w:t>
                  </w:r>
                  <w:proofErr w:type="spellStart"/>
                  <w:r w:rsidR="009738E9" w:rsidRPr="00D43281">
                    <w:rPr>
                      <w:rFonts w:ascii="Times New Roman" w:eastAsia="Times New Roman" w:hAnsi="Times New Roman" w:cs="Times New Roman"/>
                      <w:sz w:val="24"/>
                      <w:szCs w:val="24"/>
                      <w:lang w:val="ru-RU" w:eastAsia="ro-MD"/>
                    </w:rPr>
                    <w:t>подфактора</w:t>
                  </w:r>
                  <w:proofErr w:type="spellEnd"/>
                  <w:r w:rsidR="009738E9" w:rsidRPr="00D43281">
                    <w:rPr>
                      <w:rFonts w:ascii="Times New Roman" w:eastAsia="Times New Roman" w:hAnsi="Times New Roman" w:cs="Times New Roman"/>
                      <w:sz w:val="24"/>
                      <w:szCs w:val="24"/>
                      <w:lang w:val="ru-RU" w:eastAsia="ro-MD"/>
                    </w:rPr>
                    <w:t>)</w:t>
                  </w:r>
                </w:p>
              </w:tc>
            </w:tr>
          </w:tbl>
          <w:p w14:paraId="70DCD337" w14:textId="77777777" w:rsidR="00D93616" w:rsidRPr="00D43281" w:rsidRDefault="00D93616" w:rsidP="002B2CC8">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29FDC0B" w14:textId="5B55789D" w:rsidR="00D93616" w:rsidRPr="00D43281" w:rsidRDefault="009738E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Погашение задолженности без выплаты основной суммы в конце срока (погашение по типу «</w:t>
            </w:r>
            <w:proofErr w:type="spellStart"/>
            <w:r w:rsidR="002476AD" w:rsidRPr="002476AD">
              <w:rPr>
                <w:rFonts w:ascii="Times New Roman" w:eastAsia="Times New Roman" w:hAnsi="Times New Roman" w:cs="Times New Roman"/>
                <w:sz w:val="24"/>
                <w:szCs w:val="24"/>
                <w:lang w:val="ru-RU" w:eastAsia="ro-MD"/>
              </w:rPr>
              <w:t>bullet</w:t>
            </w:r>
            <w:proofErr w:type="spellEnd"/>
            <w:r w:rsidRPr="00D43281">
              <w:rPr>
                <w:rFonts w:ascii="Times New Roman" w:eastAsia="Times New Roman" w:hAnsi="Times New Roman" w:cs="Times New Roman"/>
                <w:sz w:val="24"/>
                <w:szCs w:val="24"/>
                <w:lang w:val="ru-RU" w:eastAsia="ro-MD"/>
              </w:rPr>
              <w:t>»).</w:t>
            </w:r>
          </w:p>
        </w:tc>
        <w:tc>
          <w:tcPr>
            <w:tcW w:w="0" w:type="auto"/>
            <w:tcBorders>
              <w:top w:val="single" w:sz="6" w:space="0" w:color="000000"/>
              <w:left w:val="single" w:sz="6" w:space="0" w:color="000000"/>
              <w:bottom w:val="single" w:sz="6" w:space="0" w:color="000000"/>
              <w:right w:val="single" w:sz="6" w:space="0" w:color="000000"/>
            </w:tcBorders>
            <w:hideMark/>
          </w:tcPr>
          <w:p w14:paraId="29C97487" w14:textId="2E46B354" w:rsidR="00D93616" w:rsidRPr="00D43281" w:rsidRDefault="009738E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Погашение задолженности без единовременного погашения или с единовременным погашением в незначительной сумме.</w:t>
            </w:r>
          </w:p>
        </w:tc>
        <w:tc>
          <w:tcPr>
            <w:tcW w:w="0" w:type="auto"/>
            <w:tcBorders>
              <w:top w:val="single" w:sz="6" w:space="0" w:color="000000"/>
              <w:left w:val="single" w:sz="6" w:space="0" w:color="000000"/>
              <w:bottom w:val="single" w:sz="6" w:space="0" w:color="000000"/>
              <w:right w:val="single" w:sz="6" w:space="0" w:color="000000"/>
            </w:tcBorders>
            <w:hideMark/>
          </w:tcPr>
          <w:p w14:paraId="3088336A" w14:textId="79995410" w:rsidR="00D93616" w:rsidRPr="00D43281" w:rsidRDefault="00515D10"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Погашение долга с ограниченными единовременными выплатами.</w:t>
            </w:r>
          </w:p>
        </w:tc>
        <w:tc>
          <w:tcPr>
            <w:tcW w:w="0" w:type="auto"/>
            <w:tcBorders>
              <w:top w:val="single" w:sz="6" w:space="0" w:color="000000"/>
              <w:left w:val="single" w:sz="6" w:space="0" w:color="000000"/>
              <w:bottom w:val="single" w:sz="6" w:space="0" w:color="000000"/>
              <w:right w:val="single" w:sz="6" w:space="0" w:color="000000"/>
            </w:tcBorders>
            <w:hideMark/>
          </w:tcPr>
          <w:p w14:paraId="74293136" w14:textId="1F0D2E62" w:rsidR="00D93616" w:rsidRPr="00D43281" w:rsidRDefault="00515D10"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Одноразовые выплаты или погашение долга со значительной долей одноразовых выплат.</w:t>
            </w:r>
          </w:p>
        </w:tc>
      </w:tr>
      <w:tr w:rsidR="00D93616" w:rsidRPr="00D43281" w14:paraId="516DB3D5"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
              <w:gridCol w:w="1831"/>
            </w:tblGrid>
            <w:tr w:rsidR="00D93616" w:rsidRPr="00D43281" w14:paraId="3BB461EF" w14:textId="77777777" w:rsidTr="00DF083B">
              <w:tc>
                <w:tcPr>
                  <w:tcW w:w="0" w:type="auto"/>
                  <w:hideMark/>
                </w:tcPr>
                <w:p w14:paraId="3ECA0936" w14:textId="61048B49" w:rsidR="00D93616" w:rsidRPr="00D43281" w:rsidRDefault="00D93616" w:rsidP="002B2CC8">
                  <w:pPr>
                    <w:spacing w:before="120" w:after="0" w:line="240" w:lineRule="auto"/>
                    <w:rPr>
                      <w:rFonts w:ascii="Times New Roman" w:eastAsia="Times New Roman" w:hAnsi="Times New Roman" w:cs="Times New Roman"/>
                      <w:sz w:val="24"/>
                      <w:szCs w:val="24"/>
                      <w:lang w:val="ru-MD" w:eastAsia="ro-MD"/>
                    </w:rPr>
                  </w:pPr>
                </w:p>
              </w:tc>
              <w:tc>
                <w:tcPr>
                  <w:tcW w:w="0" w:type="auto"/>
                  <w:hideMark/>
                </w:tcPr>
                <w:p w14:paraId="67D04357" w14:textId="5568D250" w:rsidR="00D93616" w:rsidRPr="00D43281" w:rsidRDefault="002B2CC8" w:rsidP="002B2CC8">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4.2.</w:t>
                  </w:r>
                  <w:r w:rsidR="00515D10" w:rsidRPr="00D43281">
                    <w:rPr>
                      <w:rFonts w:ascii="Times New Roman" w:eastAsia="Times New Roman" w:hAnsi="Times New Roman" w:cs="Times New Roman"/>
                      <w:sz w:val="24"/>
                      <w:szCs w:val="24"/>
                      <w:lang w:val="ru-MD" w:eastAsia="ro-MD"/>
                    </w:rPr>
                    <w:t xml:space="preserve"> </w:t>
                  </w:r>
                  <w:r w:rsidR="008827C7" w:rsidRPr="00D43281">
                    <w:rPr>
                      <w:rFonts w:ascii="Times New Roman" w:eastAsia="Times New Roman" w:hAnsi="Times New Roman" w:cs="Times New Roman"/>
                      <w:sz w:val="24"/>
                      <w:szCs w:val="24"/>
                      <w:lang w:val="ru-MD" w:eastAsia="ro-MD"/>
                    </w:rPr>
                    <w:t xml:space="preserve">Рыночный/циклический риск и риск рефинансирования (компонент </w:t>
                  </w:r>
                  <w:proofErr w:type="spellStart"/>
                  <w:r w:rsidR="008827C7" w:rsidRPr="00D43281">
                    <w:rPr>
                      <w:rFonts w:ascii="Times New Roman" w:eastAsia="Times New Roman" w:hAnsi="Times New Roman" w:cs="Times New Roman"/>
                      <w:sz w:val="24"/>
                      <w:szCs w:val="24"/>
                      <w:lang w:val="ru-MD" w:eastAsia="ro-MD"/>
                    </w:rPr>
                    <w:t>подфактора</w:t>
                  </w:r>
                  <w:proofErr w:type="spellEnd"/>
                  <w:r w:rsidR="008827C7" w:rsidRPr="00D43281">
                    <w:rPr>
                      <w:rFonts w:ascii="Times New Roman" w:eastAsia="Times New Roman" w:hAnsi="Times New Roman" w:cs="Times New Roman"/>
                      <w:sz w:val="24"/>
                      <w:szCs w:val="24"/>
                      <w:lang w:val="ru-MD" w:eastAsia="ro-MD"/>
                    </w:rPr>
                    <w:t>)</w:t>
                  </w:r>
                </w:p>
              </w:tc>
            </w:tr>
          </w:tbl>
          <w:p w14:paraId="121DD4EF" w14:textId="77777777" w:rsidR="00D93616" w:rsidRPr="00D43281" w:rsidRDefault="00D93616" w:rsidP="002B2CC8">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1C6A8AB0" w14:textId="14FE5F12" w:rsidR="00D93616" w:rsidRPr="00D43281" w:rsidRDefault="008827C7"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Подверженность к рыночному риску или циклическому риску крайне ограничена или отсутствует, поскольку прогнозируемые денежные потоки покрывают все будущие выплаты по кредиту в течение всего срока его действия, и значительных расхождений между денежными потоками и выплатами по кредиту не наблюдается.</w:t>
            </w:r>
            <w:r w:rsidR="00235FB2" w:rsidRPr="00D43281">
              <w:rPr>
                <w:sz w:val="24"/>
                <w:szCs w:val="24"/>
                <w:lang w:val="ru-MD"/>
              </w:rPr>
              <w:t xml:space="preserve"> </w:t>
            </w:r>
            <w:r w:rsidR="00235FB2" w:rsidRPr="00D43281">
              <w:rPr>
                <w:rFonts w:ascii="Times New Roman" w:eastAsia="Times New Roman" w:hAnsi="Times New Roman" w:cs="Times New Roman"/>
                <w:sz w:val="24"/>
                <w:szCs w:val="24"/>
                <w:lang w:val="ru-MD" w:eastAsia="ro-MD"/>
              </w:rPr>
              <w:t>Риск рефинансирования очень низок или отсутствует.</w:t>
            </w:r>
          </w:p>
        </w:tc>
        <w:tc>
          <w:tcPr>
            <w:tcW w:w="0" w:type="auto"/>
            <w:tcBorders>
              <w:top w:val="single" w:sz="6" w:space="0" w:color="000000"/>
              <w:left w:val="single" w:sz="6" w:space="0" w:color="000000"/>
              <w:bottom w:val="single" w:sz="6" w:space="0" w:color="000000"/>
              <w:right w:val="single" w:sz="6" w:space="0" w:color="000000"/>
            </w:tcBorders>
            <w:hideMark/>
          </w:tcPr>
          <w:p w14:paraId="3421843D" w14:textId="77F7303F" w:rsidR="00D93616" w:rsidRPr="00D43281" w:rsidRDefault="00235FB2"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Подверженность к рыночному риску или циклическому </w:t>
            </w:r>
            <w:r w:rsidR="00DF48BB" w:rsidRPr="00D43281">
              <w:rPr>
                <w:rFonts w:ascii="Times New Roman" w:eastAsia="Times New Roman" w:hAnsi="Times New Roman" w:cs="Times New Roman"/>
                <w:sz w:val="24"/>
                <w:szCs w:val="24"/>
                <w:lang w:val="ru-MD" w:eastAsia="ro-MD"/>
              </w:rPr>
              <w:t>риску ограничена</w:t>
            </w:r>
            <w:r w:rsidRPr="00D43281">
              <w:rPr>
                <w:rFonts w:ascii="Times New Roman" w:eastAsia="Times New Roman" w:hAnsi="Times New Roman" w:cs="Times New Roman"/>
                <w:sz w:val="24"/>
                <w:szCs w:val="24"/>
                <w:lang w:val="ru-MD" w:eastAsia="ro-MD"/>
              </w:rPr>
              <w:t>, поскольку ожидаемые денежные потоки покрывают большую часть будущих выплат по кредиту в течение срока его действия, и между денежными потоками и выплатами по кредиту нет существенных разрывов. Риск рефинансирования низок.</w:t>
            </w:r>
          </w:p>
        </w:tc>
        <w:tc>
          <w:tcPr>
            <w:tcW w:w="0" w:type="auto"/>
            <w:tcBorders>
              <w:top w:val="single" w:sz="6" w:space="0" w:color="000000"/>
              <w:left w:val="single" w:sz="6" w:space="0" w:color="000000"/>
              <w:bottom w:val="single" w:sz="6" w:space="0" w:color="000000"/>
              <w:right w:val="single" w:sz="6" w:space="0" w:color="000000"/>
            </w:tcBorders>
            <w:hideMark/>
          </w:tcPr>
          <w:p w14:paraId="5E07213B" w14:textId="28541738" w:rsidR="00D93616" w:rsidRPr="00D43281" w:rsidRDefault="00DF48BB"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Подверженность к рыночному риску или циклическому риску умерена, поскольку ожидаемые денежные потоки покрывают лишь часть будущих выплат по кредиту в течение срока его действия, или же существуют значительные разрывы между денежными потоками и выплатами по кредиту. Риск рефинансирования средний.</w:t>
            </w:r>
          </w:p>
        </w:tc>
        <w:tc>
          <w:tcPr>
            <w:tcW w:w="0" w:type="auto"/>
            <w:tcBorders>
              <w:top w:val="single" w:sz="6" w:space="0" w:color="000000"/>
              <w:left w:val="single" w:sz="6" w:space="0" w:color="000000"/>
              <w:bottom w:val="single" w:sz="6" w:space="0" w:color="000000"/>
              <w:right w:val="single" w:sz="6" w:space="0" w:color="000000"/>
            </w:tcBorders>
            <w:hideMark/>
          </w:tcPr>
          <w:p w14:paraId="63B27CE1" w14:textId="26193907" w:rsidR="00D93616" w:rsidRPr="00D43281" w:rsidRDefault="00C8414E"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Подверженность к рыночному риску или циклическому риску значительна, поскольку ожидаемые денежные потоки покрывают лишь небольшую часть будущих выплат по кредиту в течение срока его действия, и существуют значительные разрывы между денежными потоками и выплатами по кредиту. Риск рефинансирования высок.</w:t>
            </w:r>
          </w:p>
        </w:tc>
      </w:tr>
      <w:tr w:rsidR="00D93616" w:rsidRPr="00D43281" w14:paraId="7EB9DF98"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55"/>
            </w:tblGrid>
            <w:tr w:rsidR="00D93616" w:rsidRPr="00D43281" w14:paraId="34F1FBDD" w14:textId="77777777" w:rsidTr="00DF083B">
              <w:tc>
                <w:tcPr>
                  <w:tcW w:w="0" w:type="auto"/>
                  <w:hideMark/>
                </w:tcPr>
                <w:p w14:paraId="7898C206" w14:textId="4F53DC5E" w:rsidR="00D93616" w:rsidRPr="00D43281" w:rsidRDefault="002B2CC8" w:rsidP="002B2CC8">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5.</w:t>
                  </w:r>
                </w:p>
              </w:tc>
              <w:tc>
                <w:tcPr>
                  <w:tcW w:w="0" w:type="auto"/>
                  <w:hideMark/>
                </w:tcPr>
                <w:p w14:paraId="1758639B" w14:textId="4ABDE272" w:rsidR="00D93616" w:rsidRPr="00D43281" w:rsidRDefault="006D1B84" w:rsidP="002B2CC8">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риск валютного обмена</w:t>
                  </w:r>
                </w:p>
              </w:tc>
            </w:tr>
          </w:tbl>
          <w:p w14:paraId="42581CDC"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4957FA04" w14:textId="3DC6B760" w:rsidR="00D93616" w:rsidRPr="00D43281" w:rsidRDefault="00434B3F"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xml:space="preserve">Валютный риск отсутствует, поскольку нет разницы между валютой кредита и валютой дохода проекта, или потому что </w:t>
            </w:r>
            <w:r w:rsidRPr="00D43281">
              <w:rPr>
                <w:rFonts w:ascii="Times New Roman" w:eastAsia="Times New Roman" w:hAnsi="Times New Roman" w:cs="Times New Roman"/>
                <w:sz w:val="24"/>
                <w:szCs w:val="24"/>
                <w:lang w:val="ru-RU" w:eastAsia="ro-MD"/>
              </w:rPr>
              <w:lastRenderedPageBreak/>
              <w:t>валютный риск полностью хеджирован.</w:t>
            </w:r>
          </w:p>
        </w:tc>
        <w:tc>
          <w:tcPr>
            <w:tcW w:w="0" w:type="auto"/>
            <w:tcBorders>
              <w:top w:val="single" w:sz="6" w:space="0" w:color="000000"/>
              <w:left w:val="single" w:sz="6" w:space="0" w:color="000000"/>
              <w:bottom w:val="single" w:sz="6" w:space="0" w:color="000000"/>
              <w:right w:val="single" w:sz="6" w:space="0" w:color="000000"/>
            </w:tcBorders>
            <w:hideMark/>
          </w:tcPr>
          <w:p w14:paraId="4F1F39FA" w14:textId="260BC974" w:rsidR="00D93616" w:rsidRPr="00D43281" w:rsidRDefault="00434B3F"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 xml:space="preserve">Валютный риск отсутствует, поскольку нет разницы между валютой кредита и валютой дохода проекта, или потому что валютный риск </w:t>
            </w:r>
            <w:r w:rsidRPr="00D43281">
              <w:rPr>
                <w:rFonts w:ascii="Times New Roman" w:eastAsia="Times New Roman" w:hAnsi="Times New Roman" w:cs="Times New Roman"/>
                <w:sz w:val="24"/>
                <w:szCs w:val="24"/>
                <w:lang w:val="ru-RU" w:eastAsia="ro-MD"/>
              </w:rPr>
              <w:lastRenderedPageBreak/>
              <w:t>полностью хеджирован.</w:t>
            </w:r>
          </w:p>
        </w:tc>
        <w:tc>
          <w:tcPr>
            <w:tcW w:w="0" w:type="auto"/>
            <w:tcBorders>
              <w:top w:val="single" w:sz="6" w:space="0" w:color="000000"/>
              <w:left w:val="single" w:sz="6" w:space="0" w:color="000000"/>
              <w:bottom w:val="single" w:sz="6" w:space="0" w:color="000000"/>
              <w:right w:val="single" w:sz="6" w:space="0" w:color="000000"/>
            </w:tcBorders>
            <w:hideMark/>
          </w:tcPr>
          <w:p w14:paraId="7C001371" w14:textId="23596296" w:rsidR="00D93616" w:rsidRPr="00D43281" w:rsidRDefault="00A13C4F"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 xml:space="preserve">Между валютой кредита и валютой дохода проекта существует разница, но валютный риск считается низким, поскольку </w:t>
            </w:r>
            <w:r w:rsidRPr="00D43281">
              <w:rPr>
                <w:rFonts w:ascii="Times New Roman" w:eastAsia="Times New Roman" w:hAnsi="Times New Roman" w:cs="Times New Roman"/>
                <w:sz w:val="24"/>
                <w:szCs w:val="24"/>
                <w:lang w:val="ru-RU" w:eastAsia="ro-MD"/>
              </w:rPr>
              <w:lastRenderedPageBreak/>
              <w:t>обменный курс стабилен или валютный риск в значительной степени хеджирован.</w:t>
            </w:r>
          </w:p>
        </w:tc>
        <w:tc>
          <w:tcPr>
            <w:tcW w:w="0" w:type="auto"/>
            <w:tcBorders>
              <w:top w:val="single" w:sz="6" w:space="0" w:color="000000"/>
              <w:left w:val="single" w:sz="6" w:space="0" w:color="000000"/>
              <w:bottom w:val="single" w:sz="6" w:space="0" w:color="000000"/>
              <w:right w:val="single" w:sz="6" w:space="0" w:color="000000"/>
            </w:tcBorders>
            <w:hideMark/>
          </w:tcPr>
          <w:p w14:paraId="29F6DE46" w14:textId="74896B1C" w:rsidR="00D93616" w:rsidRPr="00D43281" w:rsidRDefault="00A13C4F"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 xml:space="preserve">Между валютой кредита и валютой дохода проекта существует разница, и валютный риск считается высоким, поскольку обменный курс нестабилен, а валютный риск в </w:t>
            </w:r>
            <w:r w:rsidRPr="00D43281">
              <w:rPr>
                <w:rFonts w:ascii="Times New Roman" w:eastAsia="Times New Roman" w:hAnsi="Times New Roman" w:cs="Times New Roman"/>
                <w:sz w:val="24"/>
                <w:szCs w:val="24"/>
                <w:lang w:val="ru-RU" w:eastAsia="ro-MD"/>
              </w:rPr>
              <w:lastRenderedPageBreak/>
              <w:t>значительной степени не хеджируется.</w:t>
            </w:r>
          </w:p>
        </w:tc>
      </w:tr>
      <w:tr w:rsidR="00D93616" w:rsidRPr="00D43281" w14:paraId="63C9256D"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3BC3C4F4" w14:textId="20ADE60D" w:rsidR="00D93616" w:rsidRPr="00D43281" w:rsidRDefault="00A13C4F"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b/>
                <w:bCs/>
                <w:sz w:val="24"/>
                <w:szCs w:val="24"/>
                <w:lang w:val="ru-MD" w:eastAsia="ro-MD"/>
              </w:rPr>
              <w:lastRenderedPageBreak/>
              <w:t>Фактор: политическая и правовая среда</w:t>
            </w:r>
          </w:p>
        </w:tc>
        <w:tc>
          <w:tcPr>
            <w:tcW w:w="0" w:type="auto"/>
            <w:tcBorders>
              <w:top w:val="single" w:sz="6" w:space="0" w:color="000000"/>
              <w:left w:val="single" w:sz="6" w:space="0" w:color="000000"/>
              <w:bottom w:val="single" w:sz="6" w:space="0" w:color="000000"/>
              <w:right w:val="single" w:sz="6" w:space="0" w:color="000000"/>
            </w:tcBorders>
            <w:hideMark/>
          </w:tcPr>
          <w:p w14:paraId="60678C7F"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F85C564"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49F284B0"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7D93B69"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r>
      <w:tr w:rsidR="00D93616" w:rsidRPr="00D43281" w14:paraId="7C208DC6"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55"/>
            </w:tblGrid>
            <w:tr w:rsidR="00D93616" w:rsidRPr="00D43281" w14:paraId="54C6DC52" w14:textId="77777777" w:rsidTr="00DF083B">
              <w:tc>
                <w:tcPr>
                  <w:tcW w:w="0" w:type="auto"/>
                  <w:hideMark/>
                </w:tcPr>
                <w:p w14:paraId="36ADB139" w14:textId="267A4C2F" w:rsidR="00D93616" w:rsidRPr="00D43281" w:rsidRDefault="002B2CC8" w:rsidP="002B2CC8">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1.</w:t>
                  </w:r>
                </w:p>
              </w:tc>
              <w:tc>
                <w:tcPr>
                  <w:tcW w:w="0" w:type="auto"/>
                  <w:hideMark/>
                </w:tcPr>
                <w:p w14:paraId="40749D64" w14:textId="498617A8" w:rsidR="00D93616" w:rsidRPr="00D43281" w:rsidRDefault="007D51AF" w:rsidP="002B2CC8">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политический риск, включая риск передачи прав, с учетом типа проекта и факторов смягчения рисков</w:t>
                  </w:r>
                </w:p>
              </w:tc>
            </w:tr>
          </w:tbl>
          <w:p w14:paraId="6BFF0B34"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25DCCCB" w14:textId="57759D76" w:rsidR="00D93616" w:rsidRPr="00D43281" w:rsidRDefault="00DE7504"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Очень низкий уровень риска; при необходимости имеются надежные инструменты снижения рисков</w:t>
            </w:r>
          </w:p>
        </w:tc>
        <w:tc>
          <w:tcPr>
            <w:tcW w:w="0" w:type="auto"/>
            <w:tcBorders>
              <w:top w:val="single" w:sz="6" w:space="0" w:color="000000"/>
              <w:left w:val="single" w:sz="6" w:space="0" w:color="000000"/>
              <w:bottom w:val="single" w:sz="6" w:space="0" w:color="000000"/>
              <w:right w:val="single" w:sz="6" w:space="0" w:color="000000"/>
            </w:tcBorders>
            <w:hideMark/>
          </w:tcPr>
          <w:p w14:paraId="538647CF" w14:textId="2964C467" w:rsidR="00D93616" w:rsidRPr="00D43281" w:rsidRDefault="00DE7504"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Низкий уровень риска; при необходимости — удовлетворительные инструменты снижения рисков.</w:t>
            </w:r>
          </w:p>
        </w:tc>
        <w:tc>
          <w:tcPr>
            <w:tcW w:w="0" w:type="auto"/>
            <w:tcBorders>
              <w:top w:val="single" w:sz="6" w:space="0" w:color="000000"/>
              <w:left w:val="single" w:sz="6" w:space="0" w:color="000000"/>
              <w:bottom w:val="single" w:sz="6" w:space="0" w:color="000000"/>
              <w:right w:val="single" w:sz="6" w:space="0" w:color="000000"/>
            </w:tcBorders>
            <w:hideMark/>
          </w:tcPr>
          <w:p w14:paraId="617DB5A7" w14:textId="63642427" w:rsidR="00D93616" w:rsidRPr="00D43281" w:rsidRDefault="00DE7504"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Умеренный уровень риска; приемлемые инструменты снижения риска.</w:t>
            </w:r>
          </w:p>
        </w:tc>
        <w:tc>
          <w:tcPr>
            <w:tcW w:w="0" w:type="auto"/>
            <w:tcBorders>
              <w:top w:val="single" w:sz="6" w:space="0" w:color="000000"/>
              <w:left w:val="single" w:sz="6" w:space="0" w:color="000000"/>
              <w:bottom w:val="single" w:sz="6" w:space="0" w:color="000000"/>
              <w:right w:val="single" w:sz="6" w:space="0" w:color="000000"/>
            </w:tcBorders>
            <w:hideMark/>
          </w:tcPr>
          <w:p w14:paraId="2EAE9F43" w14:textId="2D4455F1" w:rsidR="00D93616" w:rsidRPr="00D43281" w:rsidRDefault="00B36118"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Высокая степень риска; слабые или отсутствующие инструменты снижения рисков.</w:t>
            </w:r>
          </w:p>
        </w:tc>
      </w:tr>
      <w:tr w:rsidR="00D93616" w:rsidRPr="00D43281" w14:paraId="41EDE55A"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55"/>
            </w:tblGrid>
            <w:tr w:rsidR="00D93616" w:rsidRPr="00D43281" w14:paraId="5A4B1AA1" w14:textId="77777777" w:rsidTr="00DF083B">
              <w:tc>
                <w:tcPr>
                  <w:tcW w:w="0" w:type="auto"/>
                  <w:hideMark/>
                </w:tcPr>
                <w:p w14:paraId="07EBED3A" w14:textId="5724367B" w:rsidR="00D93616" w:rsidRPr="00D43281" w:rsidRDefault="002B2CC8" w:rsidP="002B2CC8">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2.</w:t>
                  </w:r>
                </w:p>
              </w:tc>
              <w:tc>
                <w:tcPr>
                  <w:tcW w:w="0" w:type="auto"/>
                  <w:hideMark/>
                </w:tcPr>
                <w:p w14:paraId="00F88D23" w14:textId="585BEDCD" w:rsidR="00D93616" w:rsidRPr="00D43281" w:rsidRDefault="00BB39CF" w:rsidP="002B2CC8">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риск форс-мажорных обстоятельств (война, гражданские беспорядки и т. д.)</w:t>
                  </w:r>
                </w:p>
              </w:tc>
            </w:tr>
          </w:tbl>
          <w:p w14:paraId="0E49850F" w14:textId="77777777" w:rsidR="00D93616" w:rsidRPr="00D43281" w:rsidRDefault="00D93616" w:rsidP="002B2CC8">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58244FA" w14:textId="1C20907B" w:rsidR="00D93616" w:rsidRPr="00D43281" w:rsidRDefault="001469E6"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Очень низкий или нулевой уровень риска форс-мажорных обстоятельств.</w:t>
            </w:r>
          </w:p>
        </w:tc>
        <w:tc>
          <w:tcPr>
            <w:tcW w:w="0" w:type="auto"/>
            <w:tcBorders>
              <w:top w:val="single" w:sz="6" w:space="0" w:color="000000"/>
              <w:left w:val="single" w:sz="6" w:space="0" w:color="000000"/>
              <w:bottom w:val="single" w:sz="6" w:space="0" w:color="000000"/>
              <w:right w:val="single" w:sz="6" w:space="0" w:color="000000"/>
            </w:tcBorders>
            <w:hideMark/>
          </w:tcPr>
          <w:p w14:paraId="619CEAF5" w14:textId="2B963E79" w:rsidR="00D93616" w:rsidRPr="00D43281" w:rsidRDefault="001469E6"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Ограниченная подверженность риску форс-мажорных обстоятельств.</w:t>
            </w:r>
          </w:p>
        </w:tc>
        <w:tc>
          <w:tcPr>
            <w:tcW w:w="0" w:type="auto"/>
            <w:tcBorders>
              <w:top w:val="single" w:sz="6" w:space="0" w:color="000000"/>
              <w:left w:val="single" w:sz="6" w:space="0" w:color="000000"/>
              <w:bottom w:val="single" w:sz="6" w:space="0" w:color="000000"/>
              <w:right w:val="single" w:sz="6" w:space="0" w:color="000000"/>
            </w:tcBorders>
            <w:hideMark/>
          </w:tcPr>
          <w:p w14:paraId="5BEEA56C" w14:textId="1F2EAB2D" w:rsidR="00D93616" w:rsidRPr="00D43281" w:rsidRDefault="001469E6"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Значительная подверженность риску форс-мажорных обстоятельств, который недостаточно смягчается.</w:t>
            </w:r>
          </w:p>
        </w:tc>
        <w:tc>
          <w:tcPr>
            <w:tcW w:w="0" w:type="auto"/>
            <w:tcBorders>
              <w:top w:val="single" w:sz="6" w:space="0" w:color="000000"/>
              <w:left w:val="single" w:sz="6" w:space="0" w:color="000000"/>
              <w:bottom w:val="single" w:sz="6" w:space="0" w:color="000000"/>
              <w:right w:val="single" w:sz="6" w:space="0" w:color="000000"/>
            </w:tcBorders>
            <w:hideMark/>
          </w:tcPr>
          <w:p w14:paraId="6D4D1A11" w14:textId="51A975B2" w:rsidR="00D93616" w:rsidRPr="00D43281" w:rsidRDefault="002B11E9"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Значительная подверженность риску форс-мажорных обстоятельств, который не смягчается.</w:t>
            </w:r>
          </w:p>
        </w:tc>
      </w:tr>
      <w:tr w:rsidR="00D93616" w:rsidRPr="00D43281" w14:paraId="4DE04133"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76"/>
              <w:gridCol w:w="1659"/>
            </w:tblGrid>
            <w:tr w:rsidR="00D93616" w:rsidRPr="00D43281" w14:paraId="6537C1A9" w14:textId="77777777" w:rsidTr="00DF083B">
              <w:tc>
                <w:tcPr>
                  <w:tcW w:w="0" w:type="auto"/>
                  <w:hideMark/>
                </w:tcPr>
                <w:p w14:paraId="5E848C2E" w14:textId="2C6808BC" w:rsidR="00D93616" w:rsidRPr="00D43281" w:rsidRDefault="002B2CC8" w:rsidP="002B2CC8">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3.</w:t>
                  </w:r>
                </w:p>
              </w:tc>
              <w:tc>
                <w:tcPr>
                  <w:tcW w:w="0" w:type="auto"/>
                  <w:hideMark/>
                </w:tcPr>
                <w:p w14:paraId="1E029C6D" w14:textId="1D0087A9" w:rsidR="00D93616" w:rsidRPr="00D43281" w:rsidRDefault="005731D2" w:rsidP="002B2CC8">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государственная поддержка и важность проекта для страны в долгосрочной перспективе</w:t>
                  </w:r>
                </w:p>
              </w:tc>
            </w:tr>
          </w:tbl>
          <w:p w14:paraId="270D55D9" w14:textId="77777777" w:rsidR="00D93616" w:rsidRPr="00D43281" w:rsidRDefault="00D93616" w:rsidP="002B2CC8">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45A33D6C" w14:textId="05EA8E43" w:rsidR="00D93616" w:rsidRPr="00D43281" w:rsidRDefault="0045116E"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Проект, имеющий стратегическое значение для страны (предпочтительно ориентированный на экспорт). </w:t>
            </w:r>
            <w:r w:rsidR="00A91D2C" w:rsidRPr="00A91D2C">
              <w:rPr>
                <w:rFonts w:ascii="Times New Roman" w:eastAsia="Times New Roman" w:hAnsi="Times New Roman" w:cs="Times New Roman"/>
                <w:sz w:val="24"/>
                <w:szCs w:val="24"/>
                <w:lang w:val="ru-MD" w:eastAsia="ro-MD"/>
              </w:rPr>
              <w:t>При сильной поддержке со стороны</w:t>
            </w:r>
            <w:r w:rsidR="00A91D2C">
              <w:rPr>
                <w:rFonts w:ascii="Times New Roman" w:eastAsia="Times New Roman" w:hAnsi="Times New Roman" w:cs="Times New Roman"/>
                <w:sz w:val="24"/>
                <w:szCs w:val="24"/>
                <w:lang w:val="ru-MD" w:eastAsia="ro-MD"/>
              </w:rPr>
              <w:t xml:space="preserve"> </w:t>
            </w:r>
            <w:r w:rsidRPr="00D43281">
              <w:rPr>
                <w:rFonts w:ascii="Times New Roman" w:eastAsia="Times New Roman" w:hAnsi="Times New Roman" w:cs="Times New Roman"/>
                <w:sz w:val="24"/>
                <w:szCs w:val="24"/>
                <w:lang w:val="ru-MD" w:eastAsia="ro-MD"/>
              </w:rPr>
              <w:t>правительства.</w:t>
            </w:r>
          </w:p>
        </w:tc>
        <w:tc>
          <w:tcPr>
            <w:tcW w:w="0" w:type="auto"/>
            <w:tcBorders>
              <w:top w:val="single" w:sz="6" w:space="0" w:color="000000"/>
              <w:left w:val="single" w:sz="6" w:space="0" w:color="000000"/>
              <w:bottom w:val="single" w:sz="6" w:space="0" w:color="000000"/>
              <w:right w:val="single" w:sz="6" w:space="0" w:color="000000"/>
            </w:tcBorders>
            <w:hideMark/>
          </w:tcPr>
          <w:p w14:paraId="22783F0A" w14:textId="5BDD3FFA" w:rsidR="00D93616" w:rsidRPr="00D43281" w:rsidRDefault="0045116E"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Проект признан важным для страны. Оказана соответствующая поддержка со стороны правительства.</w:t>
            </w:r>
          </w:p>
        </w:tc>
        <w:tc>
          <w:tcPr>
            <w:tcW w:w="0" w:type="auto"/>
            <w:tcBorders>
              <w:top w:val="single" w:sz="6" w:space="0" w:color="000000"/>
              <w:left w:val="single" w:sz="6" w:space="0" w:color="000000"/>
              <w:bottom w:val="single" w:sz="6" w:space="0" w:color="000000"/>
              <w:right w:val="single" w:sz="6" w:space="0" w:color="000000"/>
            </w:tcBorders>
            <w:hideMark/>
          </w:tcPr>
          <w:p w14:paraId="7A171E33" w14:textId="21C7AEAD" w:rsidR="00D93616" w:rsidRPr="00D43281" w:rsidRDefault="009F53E1"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Хотя этот проект, возможно, и не носит стратегический характер, он приносит неоспоримые выгоды соответствующей стране. Поддержка со стороны правительства может быть неявной.</w:t>
            </w:r>
          </w:p>
        </w:tc>
        <w:tc>
          <w:tcPr>
            <w:tcW w:w="0" w:type="auto"/>
            <w:tcBorders>
              <w:top w:val="single" w:sz="6" w:space="0" w:color="000000"/>
              <w:left w:val="single" w:sz="6" w:space="0" w:color="000000"/>
              <w:bottom w:val="single" w:sz="6" w:space="0" w:color="000000"/>
              <w:right w:val="single" w:sz="6" w:space="0" w:color="000000"/>
            </w:tcBorders>
            <w:hideMark/>
          </w:tcPr>
          <w:p w14:paraId="63EE73E0" w14:textId="65D47C0F" w:rsidR="00D93616" w:rsidRPr="00D43281" w:rsidRDefault="009F53E1"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Данный проект не является жизненно важным для страны. Государственная поддержка невелика или отсутствует.</w:t>
            </w:r>
          </w:p>
        </w:tc>
      </w:tr>
      <w:tr w:rsidR="00D93616" w:rsidRPr="00D43281" w14:paraId="66BC579D"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61"/>
              <w:gridCol w:w="1674"/>
            </w:tblGrid>
            <w:tr w:rsidR="00D93616" w:rsidRPr="00D43281" w14:paraId="0DBCD73B" w14:textId="77777777" w:rsidTr="00DF083B">
              <w:tc>
                <w:tcPr>
                  <w:tcW w:w="0" w:type="auto"/>
                  <w:hideMark/>
                </w:tcPr>
                <w:p w14:paraId="2F321FCA" w14:textId="72620188" w:rsidR="00D93616" w:rsidRPr="00D43281" w:rsidRDefault="002B2CC8" w:rsidP="002B2CC8">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4.</w:t>
                  </w:r>
                </w:p>
              </w:tc>
              <w:tc>
                <w:tcPr>
                  <w:tcW w:w="0" w:type="auto"/>
                  <w:hideMark/>
                </w:tcPr>
                <w:p w14:paraId="30FA4F31" w14:textId="1D11EDDA" w:rsidR="00D93616" w:rsidRPr="00D43281" w:rsidRDefault="002922BC" w:rsidP="002B2CC8">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xml:space="preserve">: стабильность правовой и нормативной базы (риск изменений в </w:t>
                  </w:r>
                  <w:r w:rsidRPr="00D43281">
                    <w:rPr>
                      <w:rFonts w:ascii="Times New Roman" w:eastAsia="Times New Roman" w:hAnsi="Times New Roman" w:cs="Times New Roman"/>
                      <w:sz w:val="24"/>
                      <w:szCs w:val="24"/>
                      <w:lang w:val="ru-RU" w:eastAsia="ro-MD"/>
                    </w:rPr>
                    <w:lastRenderedPageBreak/>
                    <w:t>законодательстве)</w:t>
                  </w:r>
                </w:p>
              </w:tc>
            </w:tr>
          </w:tbl>
          <w:p w14:paraId="2099B067" w14:textId="77777777" w:rsidR="00D93616" w:rsidRPr="00D43281" w:rsidRDefault="00D93616" w:rsidP="002B2CC8">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43111B36" w14:textId="29B775A5" w:rsidR="00D93616" w:rsidRPr="00D43281" w:rsidRDefault="002922BC"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Благоприятная и стабильная нормативно-правовая среда в долгосрочной перспективе</w:t>
            </w:r>
          </w:p>
        </w:tc>
        <w:tc>
          <w:tcPr>
            <w:tcW w:w="0" w:type="auto"/>
            <w:tcBorders>
              <w:top w:val="single" w:sz="6" w:space="0" w:color="000000"/>
              <w:left w:val="single" w:sz="6" w:space="0" w:color="000000"/>
              <w:bottom w:val="single" w:sz="6" w:space="0" w:color="000000"/>
              <w:right w:val="single" w:sz="6" w:space="0" w:color="000000"/>
            </w:tcBorders>
            <w:hideMark/>
          </w:tcPr>
          <w:p w14:paraId="024DBE83" w14:textId="6E649829" w:rsidR="00D93616" w:rsidRPr="00D43281" w:rsidRDefault="002922BC"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Благоприятная и стабильная нормативно-правовая среда в среднесрочной перспективе.</w:t>
            </w:r>
          </w:p>
        </w:tc>
        <w:tc>
          <w:tcPr>
            <w:tcW w:w="0" w:type="auto"/>
            <w:tcBorders>
              <w:top w:val="single" w:sz="6" w:space="0" w:color="000000"/>
              <w:left w:val="single" w:sz="6" w:space="0" w:color="000000"/>
              <w:bottom w:val="single" w:sz="6" w:space="0" w:color="000000"/>
              <w:right w:val="single" w:sz="6" w:space="0" w:color="000000"/>
            </w:tcBorders>
            <w:hideMark/>
          </w:tcPr>
          <w:p w14:paraId="7B925D89" w14:textId="34BA3743" w:rsidR="00D93616" w:rsidRPr="00D43281" w:rsidRDefault="00074305"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Изменения в законодательстве можно прогнозировать с приемлемым уровнем достоверности</w:t>
            </w:r>
          </w:p>
        </w:tc>
        <w:tc>
          <w:tcPr>
            <w:tcW w:w="0" w:type="auto"/>
            <w:tcBorders>
              <w:top w:val="single" w:sz="6" w:space="0" w:color="000000"/>
              <w:left w:val="single" w:sz="6" w:space="0" w:color="000000"/>
              <w:bottom w:val="single" w:sz="6" w:space="0" w:color="000000"/>
              <w:right w:val="single" w:sz="6" w:space="0" w:color="000000"/>
            </w:tcBorders>
            <w:hideMark/>
          </w:tcPr>
          <w:p w14:paraId="391B4895" w14:textId="6D859453" w:rsidR="00D93616" w:rsidRPr="00D43281" w:rsidRDefault="00074305"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На реализацию проекта могут повлиять текущие или будущие нормативные вопросы</w:t>
            </w:r>
          </w:p>
        </w:tc>
      </w:tr>
      <w:tr w:rsidR="00D93616" w:rsidRPr="00D43281" w14:paraId="19CBD8D6"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68"/>
              <w:gridCol w:w="1667"/>
            </w:tblGrid>
            <w:tr w:rsidR="00D93616" w:rsidRPr="00D43281" w14:paraId="3EFB8DE8" w14:textId="77777777" w:rsidTr="00DF083B">
              <w:tc>
                <w:tcPr>
                  <w:tcW w:w="0" w:type="auto"/>
                  <w:hideMark/>
                </w:tcPr>
                <w:p w14:paraId="627A19EB" w14:textId="28AC7AE0" w:rsidR="00D93616" w:rsidRPr="00D43281" w:rsidRDefault="002B2CC8" w:rsidP="002B2CC8">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5.</w:t>
                  </w:r>
                </w:p>
              </w:tc>
              <w:tc>
                <w:tcPr>
                  <w:tcW w:w="0" w:type="auto"/>
                  <w:hideMark/>
                </w:tcPr>
                <w:p w14:paraId="01413E31" w14:textId="328C7DE8" w:rsidR="00D93616" w:rsidRPr="00D43281" w:rsidRDefault="00536034" w:rsidP="002B2CC8">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получение всей необходимой поддержки и разрешений для такого освобождения от действия законодательства о местном содержании</w:t>
                  </w:r>
                </w:p>
              </w:tc>
            </w:tr>
          </w:tbl>
          <w:p w14:paraId="537FC849" w14:textId="77777777" w:rsidR="00D93616" w:rsidRPr="00D43281" w:rsidRDefault="00D93616" w:rsidP="002B2CC8">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8337701" w14:textId="62CEBFDD" w:rsidR="00D93616" w:rsidRPr="00D43281" w:rsidRDefault="00D602FC"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Убедит</w:t>
            </w:r>
            <w:r w:rsidR="00536034" w:rsidRPr="00D43281">
              <w:rPr>
                <w:rFonts w:ascii="Times New Roman" w:eastAsia="Times New Roman" w:hAnsi="Times New Roman" w:cs="Times New Roman"/>
                <w:sz w:val="24"/>
                <w:szCs w:val="24"/>
                <w:lang w:val="ru-RU" w:eastAsia="ro-MD"/>
              </w:rPr>
              <w:t>ельная</w:t>
            </w:r>
          </w:p>
        </w:tc>
        <w:tc>
          <w:tcPr>
            <w:tcW w:w="0" w:type="auto"/>
            <w:tcBorders>
              <w:top w:val="single" w:sz="6" w:space="0" w:color="000000"/>
              <w:left w:val="single" w:sz="6" w:space="0" w:color="000000"/>
              <w:bottom w:val="single" w:sz="6" w:space="0" w:color="000000"/>
              <w:right w:val="single" w:sz="6" w:space="0" w:color="000000"/>
            </w:tcBorders>
            <w:hideMark/>
          </w:tcPr>
          <w:p w14:paraId="19693D14" w14:textId="03CFEE87" w:rsidR="00D93616" w:rsidRPr="00D43281" w:rsidRDefault="0069697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Удовлетворительная</w:t>
            </w:r>
          </w:p>
        </w:tc>
        <w:tc>
          <w:tcPr>
            <w:tcW w:w="0" w:type="auto"/>
            <w:tcBorders>
              <w:top w:val="single" w:sz="6" w:space="0" w:color="000000"/>
              <w:left w:val="single" w:sz="6" w:space="0" w:color="000000"/>
              <w:bottom w:val="single" w:sz="6" w:space="0" w:color="000000"/>
              <w:right w:val="single" w:sz="6" w:space="0" w:color="000000"/>
            </w:tcBorders>
            <w:hideMark/>
          </w:tcPr>
          <w:p w14:paraId="7558E854" w14:textId="746D31BC" w:rsidR="00D93616" w:rsidRPr="00D43281" w:rsidRDefault="0069697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Приемлемая</w:t>
            </w:r>
          </w:p>
        </w:tc>
        <w:tc>
          <w:tcPr>
            <w:tcW w:w="0" w:type="auto"/>
            <w:tcBorders>
              <w:top w:val="single" w:sz="6" w:space="0" w:color="000000"/>
              <w:left w:val="single" w:sz="6" w:space="0" w:color="000000"/>
              <w:bottom w:val="single" w:sz="6" w:space="0" w:color="000000"/>
              <w:right w:val="single" w:sz="6" w:space="0" w:color="000000"/>
            </w:tcBorders>
            <w:hideMark/>
          </w:tcPr>
          <w:p w14:paraId="6ED5C3F7" w14:textId="6AD1031A" w:rsidR="00D93616" w:rsidRPr="00D43281" w:rsidRDefault="0069697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Недостаточная</w:t>
            </w:r>
          </w:p>
        </w:tc>
      </w:tr>
      <w:tr w:rsidR="00D93616" w:rsidRPr="00D43281" w14:paraId="4F7DABDC"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55"/>
            </w:tblGrid>
            <w:tr w:rsidR="00D93616" w:rsidRPr="00D43281" w14:paraId="531DDE7B" w14:textId="77777777" w:rsidTr="00DF083B">
              <w:tc>
                <w:tcPr>
                  <w:tcW w:w="0" w:type="auto"/>
                  <w:hideMark/>
                </w:tcPr>
                <w:p w14:paraId="3C4A5831" w14:textId="35460D9E" w:rsidR="00D93616" w:rsidRPr="00D43281" w:rsidRDefault="002B2CC8" w:rsidP="002B2CC8">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6.</w:t>
                  </w:r>
                </w:p>
              </w:tc>
              <w:tc>
                <w:tcPr>
                  <w:tcW w:w="0" w:type="auto"/>
                  <w:hideMark/>
                </w:tcPr>
                <w:p w14:paraId="0B263076" w14:textId="0E29E59F" w:rsidR="00D93616" w:rsidRPr="00D43281" w:rsidRDefault="00545298" w:rsidP="002B2CC8">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Исполнимость договоров, залоговых обеспечений и гарантий</w:t>
                  </w:r>
                </w:p>
              </w:tc>
            </w:tr>
          </w:tbl>
          <w:p w14:paraId="3BECF6B1" w14:textId="77777777" w:rsidR="00D93616" w:rsidRPr="00D43281" w:rsidRDefault="00D93616" w:rsidP="002B2CC8">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CC0AE42" w14:textId="1E52587E" w:rsidR="00D93616" w:rsidRPr="00D43281" w:rsidRDefault="00545298"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Договоры, залоги и гарантии подлежат исполнению.</w:t>
            </w:r>
          </w:p>
        </w:tc>
        <w:tc>
          <w:tcPr>
            <w:tcW w:w="0" w:type="auto"/>
            <w:tcBorders>
              <w:top w:val="single" w:sz="6" w:space="0" w:color="000000"/>
              <w:left w:val="single" w:sz="6" w:space="0" w:color="000000"/>
              <w:bottom w:val="single" w:sz="6" w:space="0" w:color="000000"/>
              <w:right w:val="single" w:sz="6" w:space="0" w:color="000000"/>
            </w:tcBorders>
            <w:hideMark/>
          </w:tcPr>
          <w:p w14:paraId="56E9D82A" w14:textId="14B7FEC2" w:rsidR="00D93616" w:rsidRPr="00D43281" w:rsidRDefault="00545298"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Договоры, залоги и гарантии подлежат исполнению.</w:t>
            </w:r>
          </w:p>
        </w:tc>
        <w:tc>
          <w:tcPr>
            <w:tcW w:w="0" w:type="auto"/>
            <w:tcBorders>
              <w:top w:val="single" w:sz="6" w:space="0" w:color="000000"/>
              <w:left w:val="single" w:sz="6" w:space="0" w:color="000000"/>
              <w:bottom w:val="single" w:sz="6" w:space="0" w:color="000000"/>
              <w:right w:val="single" w:sz="6" w:space="0" w:color="000000"/>
            </w:tcBorders>
            <w:hideMark/>
          </w:tcPr>
          <w:p w14:paraId="6416BA51" w14:textId="675D4406" w:rsidR="00D93616" w:rsidRPr="00D43281" w:rsidRDefault="00BC6D1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Договоры, залоги и гарантии считаются имеющими юридическую силу, хотя существуют определенные несущественные моменты.</w:t>
            </w:r>
          </w:p>
        </w:tc>
        <w:tc>
          <w:tcPr>
            <w:tcW w:w="0" w:type="auto"/>
            <w:tcBorders>
              <w:top w:val="single" w:sz="6" w:space="0" w:color="000000"/>
              <w:left w:val="single" w:sz="6" w:space="0" w:color="000000"/>
              <w:bottom w:val="single" w:sz="6" w:space="0" w:color="000000"/>
              <w:right w:val="single" w:sz="6" w:space="0" w:color="000000"/>
            </w:tcBorders>
            <w:hideMark/>
          </w:tcPr>
          <w:p w14:paraId="56F6A751" w14:textId="5DE6F49C" w:rsidR="00D93616" w:rsidRPr="00D43281" w:rsidRDefault="00BC6D1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Существуют ключевые нерешенные вопросы, касающиеся эффективного исполнения договоров, залогового обеспечения и гарантий.</w:t>
            </w:r>
          </w:p>
        </w:tc>
      </w:tr>
      <w:tr w:rsidR="00D93616" w:rsidRPr="00D43281" w14:paraId="3707BE4D"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2337042B" w14:textId="6E7CD9FF" w:rsidR="00D93616" w:rsidRPr="00D43281" w:rsidRDefault="00012D3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b/>
                <w:bCs/>
                <w:sz w:val="24"/>
                <w:szCs w:val="24"/>
                <w:lang w:val="ru-RU" w:eastAsia="ro-MD"/>
              </w:rPr>
              <w:t>Фактор: характеристики сделок</w:t>
            </w:r>
          </w:p>
        </w:tc>
        <w:tc>
          <w:tcPr>
            <w:tcW w:w="0" w:type="auto"/>
            <w:tcBorders>
              <w:top w:val="single" w:sz="6" w:space="0" w:color="000000"/>
              <w:left w:val="single" w:sz="6" w:space="0" w:color="000000"/>
              <w:bottom w:val="single" w:sz="6" w:space="0" w:color="000000"/>
              <w:right w:val="single" w:sz="6" w:space="0" w:color="000000"/>
            </w:tcBorders>
            <w:hideMark/>
          </w:tcPr>
          <w:p w14:paraId="10A7B905"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D71AEAA"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5D466BEC"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1A73777"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r>
      <w:tr w:rsidR="00D93616" w:rsidRPr="00D43281" w14:paraId="624B9D9F"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71"/>
              <w:gridCol w:w="1664"/>
            </w:tblGrid>
            <w:tr w:rsidR="00D93616" w:rsidRPr="00D43281" w14:paraId="53CA9E97" w14:textId="77777777" w:rsidTr="00DF083B">
              <w:tc>
                <w:tcPr>
                  <w:tcW w:w="0" w:type="auto"/>
                  <w:hideMark/>
                </w:tcPr>
                <w:p w14:paraId="3F1C635E" w14:textId="26E261E4" w:rsidR="00D93616" w:rsidRPr="00D43281" w:rsidRDefault="002B2CC8" w:rsidP="00637724">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1.</w:t>
                  </w:r>
                </w:p>
              </w:tc>
              <w:tc>
                <w:tcPr>
                  <w:tcW w:w="0" w:type="auto"/>
                  <w:hideMark/>
                </w:tcPr>
                <w:p w14:paraId="3F1CED5B" w14:textId="2E5DAF5F" w:rsidR="00D93616" w:rsidRPr="00D43281" w:rsidRDefault="00012D39" w:rsidP="00637724">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проектный риск и технологический риск</w:t>
                  </w:r>
                </w:p>
              </w:tc>
            </w:tr>
          </w:tbl>
          <w:p w14:paraId="1F32DB3A" w14:textId="77777777" w:rsidR="00D93616" w:rsidRPr="00D43281" w:rsidRDefault="00D93616" w:rsidP="00637724">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D1107C6" w14:textId="0D347926" w:rsidR="00D93616" w:rsidRPr="00D43281" w:rsidRDefault="00012D3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Технологии и дизайн полностью отработаны</w:t>
            </w:r>
          </w:p>
        </w:tc>
        <w:tc>
          <w:tcPr>
            <w:tcW w:w="0" w:type="auto"/>
            <w:tcBorders>
              <w:top w:val="single" w:sz="6" w:space="0" w:color="000000"/>
              <w:left w:val="single" w:sz="6" w:space="0" w:color="000000"/>
              <w:bottom w:val="single" w:sz="6" w:space="0" w:color="000000"/>
              <w:right w:val="single" w:sz="6" w:space="0" w:color="000000"/>
            </w:tcBorders>
            <w:hideMark/>
          </w:tcPr>
          <w:p w14:paraId="1164309E" w14:textId="69521675" w:rsidR="00D93616" w:rsidRPr="00D43281" w:rsidRDefault="00012D3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Технологии и дизайн полностью отработаны</w:t>
            </w:r>
          </w:p>
        </w:tc>
        <w:tc>
          <w:tcPr>
            <w:tcW w:w="0" w:type="auto"/>
            <w:tcBorders>
              <w:top w:val="single" w:sz="6" w:space="0" w:color="000000"/>
              <w:left w:val="single" w:sz="6" w:space="0" w:color="000000"/>
              <w:bottom w:val="single" w:sz="6" w:space="0" w:color="000000"/>
              <w:right w:val="single" w:sz="6" w:space="0" w:color="000000"/>
            </w:tcBorders>
            <w:hideMark/>
          </w:tcPr>
          <w:p w14:paraId="4BA9D046" w14:textId="422BEAB7" w:rsidR="00D93616" w:rsidRPr="00D43281" w:rsidRDefault="003524D8"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Технологии и дизайн отработаны — специфические для стартапов проблемы решаются с помощью надежного пакета, обеспечивающего качественное исполнение</w:t>
            </w:r>
          </w:p>
        </w:tc>
        <w:tc>
          <w:tcPr>
            <w:tcW w:w="0" w:type="auto"/>
            <w:tcBorders>
              <w:top w:val="single" w:sz="6" w:space="0" w:color="000000"/>
              <w:left w:val="single" w:sz="6" w:space="0" w:color="000000"/>
              <w:bottom w:val="single" w:sz="6" w:space="0" w:color="000000"/>
              <w:right w:val="single" w:sz="6" w:space="0" w:color="000000"/>
            </w:tcBorders>
            <w:hideMark/>
          </w:tcPr>
          <w:p w14:paraId="4CA7F415" w14:textId="381C811A" w:rsidR="00D93616" w:rsidRPr="00D43281" w:rsidRDefault="003524D8"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Технологии и дизайн еще не отработаны; существуют технологические проблемы и/или дизайн сложен</w:t>
            </w:r>
          </w:p>
        </w:tc>
      </w:tr>
      <w:tr w:rsidR="00D93616" w:rsidRPr="00D43281" w14:paraId="6F928313"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55"/>
            </w:tblGrid>
            <w:tr w:rsidR="00D93616" w:rsidRPr="00D43281" w14:paraId="3404BD21" w14:textId="77777777" w:rsidTr="00DF083B">
              <w:tc>
                <w:tcPr>
                  <w:tcW w:w="0" w:type="auto"/>
                  <w:hideMark/>
                </w:tcPr>
                <w:p w14:paraId="09EACE5B" w14:textId="339054EE" w:rsidR="00D93616" w:rsidRPr="00D43281" w:rsidRDefault="002B2CC8" w:rsidP="00637724">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2.</w:t>
                  </w:r>
                </w:p>
              </w:tc>
              <w:tc>
                <w:tcPr>
                  <w:tcW w:w="0" w:type="auto"/>
                  <w:hideMark/>
                </w:tcPr>
                <w:p w14:paraId="0FFB3AA0" w14:textId="3BDF266C" w:rsidR="00D93616" w:rsidRPr="00D43281" w:rsidRDefault="003F6F46" w:rsidP="00637724">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строительный риск</w:t>
                  </w:r>
                </w:p>
              </w:tc>
            </w:tr>
          </w:tbl>
          <w:p w14:paraId="34D86CE3" w14:textId="77777777" w:rsidR="00D93616" w:rsidRPr="00D43281" w:rsidRDefault="00D93616" w:rsidP="00637724">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DD60865"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470CF2EB"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56CFEE52"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1F6AE8A"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r>
      <w:tr w:rsidR="00D93616" w:rsidRPr="00D43281" w14:paraId="034F77A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829"/>
            </w:tblGrid>
            <w:tr w:rsidR="00D93616" w:rsidRPr="00D43281" w14:paraId="4BD79242" w14:textId="77777777" w:rsidTr="00DF083B">
              <w:tc>
                <w:tcPr>
                  <w:tcW w:w="0" w:type="auto"/>
                  <w:hideMark/>
                </w:tcPr>
                <w:p w14:paraId="62BB70C8" w14:textId="565CBDD1" w:rsidR="00D93616" w:rsidRPr="00D43281" w:rsidRDefault="00D93616" w:rsidP="00637724">
                  <w:pPr>
                    <w:spacing w:before="120" w:after="0" w:line="240" w:lineRule="auto"/>
                    <w:rPr>
                      <w:rFonts w:ascii="Times New Roman" w:eastAsia="Times New Roman" w:hAnsi="Times New Roman" w:cs="Times New Roman"/>
                      <w:sz w:val="24"/>
                      <w:szCs w:val="24"/>
                      <w:lang w:val="ru-RU" w:eastAsia="ro-MD"/>
                    </w:rPr>
                  </w:pPr>
                </w:p>
              </w:tc>
              <w:tc>
                <w:tcPr>
                  <w:tcW w:w="0" w:type="auto"/>
                  <w:hideMark/>
                </w:tcPr>
                <w:p w14:paraId="4BE28365" w14:textId="1483EC2D" w:rsidR="00D93616" w:rsidRPr="00D43281" w:rsidRDefault="002B2CC8" w:rsidP="00637724">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2.1.</w:t>
                  </w:r>
                  <w:r w:rsidR="003F6F46" w:rsidRPr="00D43281">
                    <w:rPr>
                      <w:sz w:val="24"/>
                      <w:szCs w:val="24"/>
                      <w:lang w:val="ru-RU"/>
                    </w:rPr>
                    <w:t xml:space="preserve"> </w:t>
                  </w:r>
                  <w:r w:rsidR="003F6F46" w:rsidRPr="00D43281">
                    <w:rPr>
                      <w:rFonts w:ascii="Times New Roman" w:eastAsia="Times New Roman" w:hAnsi="Times New Roman" w:cs="Times New Roman"/>
                      <w:sz w:val="24"/>
                      <w:szCs w:val="24"/>
                      <w:lang w:val="ru-RU" w:eastAsia="ro-MD"/>
                    </w:rPr>
                    <w:t>Получение разрешений и определение местоположения (</w:t>
                  </w:r>
                  <w:proofErr w:type="spellStart"/>
                  <w:r w:rsidR="003F6F46" w:rsidRPr="00D43281">
                    <w:rPr>
                      <w:rFonts w:ascii="Times New Roman" w:eastAsia="Times New Roman" w:hAnsi="Times New Roman" w:cs="Times New Roman"/>
                      <w:sz w:val="24"/>
                      <w:szCs w:val="24"/>
                      <w:lang w:val="ru-RU" w:eastAsia="ro-MD"/>
                    </w:rPr>
                    <w:t>подфакторный</w:t>
                  </w:r>
                  <w:proofErr w:type="spellEnd"/>
                  <w:r w:rsidR="003F6F46" w:rsidRPr="00D43281">
                    <w:rPr>
                      <w:rFonts w:ascii="Times New Roman" w:eastAsia="Times New Roman" w:hAnsi="Times New Roman" w:cs="Times New Roman"/>
                      <w:sz w:val="24"/>
                      <w:szCs w:val="24"/>
                      <w:lang w:val="ru-RU" w:eastAsia="ro-MD"/>
                    </w:rPr>
                    <w:t xml:space="preserve"> компонент)</w:t>
                  </w:r>
                </w:p>
              </w:tc>
            </w:tr>
          </w:tbl>
          <w:p w14:paraId="2812BC47" w14:textId="77777777" w:rsidR="00D93616" w:rsidRPr="00D43281" w:rsidRDefault="00D93616" w:rsidP="00637724">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1CDC283" w14:textId="752D4086" w:rsidR="00D93616" w:rsidRPr="00D43281" w:rsidRDefault="003F6F46"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Все разрешения получены</w:t>
            </w:r>
          </w:p>
        </w:tc>
        <w:tc>
          <w:tcPr>
            <w:tcW w:w="0" w:type="auto"/>
            <w:tcBorders>
              <w:top w:val="single" w:sz="6" w:space="0" w:color="000000"/>
              <w:left w:val="single" w:sz="6" w:space="0" w:color="000000"/>
              <w:bottom w:val="single" w:sz="6" w:space="0" w:color="000000"/>
              <w:right w:val="single" w:sz="6" w:space="0" w:color="000000"/>
            </w:tcBorders>
            <w:hideMark/>
          </w:tcPr>
          <w:p w14:paraId="7DAC09CE" w14:textId="4D7EFA87" w:rsidR="00D93616" w:rsidRPr="00D43281" w:rsidRDefault="003F6F46"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Некоторые разрешения еще не получены, но считается, что их получение весьма вероятно</w:t>
            </w:r>
          </w:p>
        </w:tc>
        <w:tc>
          <w:tcPr>
            <w:tcW w:w="0" w:type="auto"/>
            <w:tcBorders>
              <w:top w:val="single" w:sz="6" w:space="0" w:color="000000"/>
              <w:left w:val="single" w:sz="6" w:space="0" w:color="000000"/>
              <w:bottom w:val="single" w:sz="6" w:space="0" w:color="000000"/>
              <w:right w:val="single" w:sz="6" w:space="0" w:color="000000"/>
            </w:tcBorders>
            <w:hideMark/>
          </w:tcPr>
          <w:p w14:paraId="4C012B88" w14:textId="2C12AD6B" w:rsidR="00D93616" w:rsidRPr="00D43281" w:rsidRDefault="00DE164D"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xml:space="preserve">Некоторые разрешения еще не получены, но процесс получения разрешений </w:t>
            </w:r>
            <w:r w:rsidRPr="00D43281">
              <w:rPr>
                <w:rFonts w:ascii="Times New Roman" w:eastAsia="Times New Roman" w:hAnsi="Times New Roman" w:cs="Times New Roman"/>
                <w:sz w:val="24"/>
                <w:szCs w:val="24"/>
                <w:lang w:val="ru-RU" w:eastAsia="ro-MD"/>
              </w:rPr>
              <w:lastRenderedPageBreak/>
              <w:t>четко определен и считается стандартной процедурой.</w:t>
            </w:r>
          </w:p>
        </w:tc>
        <w:tc>
          <w:tcPr>
            <w:tcW w:w="0" w:type="auto"/>
            <w:tcBorders>
              <w:top w:val="single" w:sz="6" w:space="0" w:color="000000"/>
              <w:left w:val="single" w:sz="6" w:space="0" w:color="000000"/>
              <w:bottom w:val="single" w:sz="6" w:space="0" w:color="000000"/>
              <w:right w:val="single" w:sz="6" w:space="0" w:color="000000"/>
            </w:tcBorders>
            <w:hideMark/>
          </w:tcPr>
          <w:p w14:paraId="63EFD872" w14:textId="140A2141" w:rsidR="00D93616" w:rsidRPr="00D43281" w:rsidRDefault="00DE164D"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 xml:space="preserve">Необходимые разрешения еще не получены, и их выдача не считается стандартной процедурой. Могут </w:t>
            </w:r>
            <w:r w:rsidRPr="00D43281">
              <w:rPr>
                <w:rFonts w:ascii="Times New Roman" w:eastAsia="Times New Roman" w:hAnsi="Times New Roman" w:cs="Times New Roman"/>
                <w:sz w:val="24"/>
                <w:szCs w:val="24"/>
                <w:lang w:val="ru-RU" w:eastAsia="ro-MD"/>
              </w:rPr>
              <w:lastRenderedPageBreak/>
              <w:t>быть наложены существенные условия.</w:t>
            </w:r>
          </w:p>
        </w:tc>
      </w:tr>
      <w:tr w:rsidR="00D93616" w:rsidRPr="00D43281" w14:paraId="11A7B2F3"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829"/>
            </w:tblGrid>
            <w:tr w:rsidR="00D93616" w:rsidRPr="00D43281" w14:paraId="6840BB47" w14:textId="77777777" w:rsidTr="00DF083B">
              <w:tc>
                <w:tcPr>
                  <w:tcW w:w="0" w:type="auto"/>
                  <w:hideMark/>
                </w:tcPr>
                <w:p w14:paraId="1AAE7DF7" w14:textId="2C85C785" w:rsidR="00D93616" w:rsidRPr="00D43281" w:rsidRDefault="00D93616" w:rsidP="00637724">
                  <w:pPr>
                    <w:spacing w:before="120" w:after="0" w:line="240" w:lineRule="auto"/>
                    <w:rPr>
                      <w:rFonts w:ascii="Times New Roman" w:eastAsia="Times New Roman" w:hAnsi="Times New Roman" w:cs="Times New Roman"/>
                      <w:sz w:val="24"/>
                      <w:szCs w:val="24"/>
                      <w:lang w:val="ru-MD" w:eastAsia="ro-MD"/>
                    </w:rPr>
                  </w:pPr>
                </w:p>
              </w:tc>
              <w:tc>
                <w:tcPr>
                  <w:tcW w:w="0" w:type="auto"/>
                  <w:hideMark/>
                </w:tcPr>
                <w:p w14:paraId="332331F8" w14:textId="34400D7E" w:rsidR="00D93616" w:rsidRPr="00D43281" w:rsidRDefault="002B2CC8" w:rsidP="00637724">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2.2.</w:t>
                  </w:r>
                  <w:r w:rsidR="0017584C" w:rsidRPr="00D43281">
                    <w:rPr>
                      <w:sz w:val="24"/>
                      <w:szCs w:val="24"/>
                      <w:lang w:val="ru-MD"/>
                    </w:rPr>
                    <w:t xml:space="preserve"> </w:t>
                  </w:r>
                  <w:r w:rsidR="0017584C" w:rsidRPr="00D43281">
                    <w:rPr>
                      <w:rFonts w:ascii="Times New Roman" w:eastAsia="Times New Roman" w:hAnsi="Times New Roman" w:cs="Times New Roman"/>
                      <w:sz w:val="24"/>
                      <w:szCs w:val="24"/>
                      <w:lang w:val="ru-MD" w:eastAsia="ro-MD"/>
                    </w:rPr>
                    <w:t xml:space="preserve">Тип строительного контракта (компонент </w:t>
                  </w:r>
                  <w:proofErr w:type="spellStart"/>
                  <w:r w:rsidR="0017584C" w:rsidRPr="00D43281">
                    <w:rPr>
                      <w:rFonts w:ascii="Times New Roman" w:eastAsia="Times New Roman" w:hAnsi="Times New Roman" w:cs="Times New Roman"/>
                      <w:sz w:val="24"/>
                      <w:szCs w:val="24"/>
                      <w:lang w:val="ru-MD" w:eastAsia="ro-MD"/>
                    </w:rPr>
                    <w:t>подфактора</w:t>
                  </w:r>
                  <w:proofErr w:type="spellEnd"/>
                  <w:r w:rsidR="0017584C" w:rsidRPr="00D43281">
                    <w:rPr>
                      <w:rFonts w:ascii="Times New Roman" w:eastAsia="Times New Roman" w:hAnsi="Times New Roman" w:cs="Times New Roman"/>
                      <w:sz w:val="24"/>
                      <w:szCs w:val="24"/>
                      <w:lang w:val="ru-MD" w:eastAsia="ro-MD"/>
                    </w:rPr>
                    <w:t>)</w:t>
                  </w:r>
                </w:p>
              </w:tc>
            </w:tr>
          </w:tbl>
          <w:p w14:paraId="165D77E0" w14:textId="77777777" w:rsidR="00D93616" w:rsidRPr="00D43281" w:rsidRDefault="00D93616" w:rsidP="00637724">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1ACC8121" w14:textId="7FF0CD1D" w:rsidR="00D93616" w:rsidRPr="00D43281" w:rsidRDefault="0017584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Контракт на проектирование и закупку «под ключ» (EPC) с фиксированной ценой и определенными сроками</w:t>
            </w:r>
          </w:p>
        </w:tc>
        <w:tc>
          <w:tcPr>
            <w:tcW w:w="0" w:type="auto"/>
            <w:tcBorders>
              <w:top w:val="single" w:sz="6" w:space="0" w:color="000000"/>
              <w:left w:val="single" w:sz="6" w:space="0" w:color="000000"/>
              <w:bottom w:val="single" w:sz="6" w:space="0" w:color="000000"/>
              <w:right w:val="single" w:sz="6" w:space="0" w:color="000000"/>
            </w:tcBorders>
            <w:hideMark/>
          </w:tcPr>
          <w:p w14:paraId="32827DAB" w14:textId="0EA74E60" w:rsidR="00D93616" w:rsidRPr="00D43281" w:rsidRDefault="0017584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Строительство «под ключ» (EPC) с фиксированной ценой и определенными сроками</w:t>
            </w:r>
          </w:p>
        </w:tc>
        <w:tc>
          <w:tcPr>
            <w:tcW w:w="0" w:type="auto"/>
            <w:tcBorders>
              <w:top w:val="single" w:sz="6" w:space="0" w:color="000000"/>
              <w:left w:val="single" w:sz="6" w:space="0" w:color="000000"/>
              <w:bottom w:val="single" w:sz="6" w:space="0" w:color="000000"/>
              <w:right w:val="single" w:sz="6" w:space="0" w:color="000000"/>
            </w:tcBorders>
            <w:hideMark/>
          </w:tcPr>
          <w:p w14:paraId="531BE92E" w14:textId="79E81475" w:rsidR="00D93616" w:rsidRPr="00D43281" w:rsidRDefault="0011789B"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Договор подряда на строительство «под ключ» с фиксированной ценой и определенными сроками, заключенный с одним или несколькими подрядчиками</w:t>
            </w:r>
          </w:p>
        </w:tc>
        <w:tc>
          <w:tcPr>
            <w:tcW w:w="0" w:type="auto"/>
            <w:tcBorders>
              <w:top w:val="single" w:sz="6" w:space="0" w:color="000000"/>
              <w:left w:val="single" w:sz="6" w:space="0" w:color="000000"/>
              <w:bottom w:val="single" w:sz="6" w:space="0" w:color="000000"/>
              <w:right w:val="single" w:sz="6" w:space="0" w:color="000000"/>
            </w:tcBorders>
            <w:hideMark/>
          </w:tcPr>
          <w:p w14:paraId="70CD5E4D" w14:textId="0C6300E0" w:rsidR="00D93616" w:rsidRPr="00D43281" w:rsidRDefault="0011789B"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Без контрактов «под ключ» с частичной фиксированной ценой или частичным контрактом и/или проблемами взаимодействия с несколькими подрядчиками</w:t>
            </w:r>
          </w:p>
        </w:tc>
      </w:tr>
      <w:tr w:rsidR="00D93616" w:rsidRPr="00D43281" w14:paraId="219A7406"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829"/>
            </w:tblGrid>
            <w:tr w:rsidR="00D93616" w:rsidRPr="00D43281" w14:paraId="7B356BFA" w14:textId="77777777" w:rsidTr="00637724">
              <w:trPr>
                <w:trHeight w:val="1176"/>
              </w:trPr>
              <w:tc>
                <w:tcPr>
                  <w:tcW w:w="0" w:type="auto"/>
                  <w:hideMark/>
                </w:tcPr>
                <w:p w14:paraId="6988DB3B" w14:textId="2EF14B2B" w:rsidR="00D93616" w:rsidRPr="00D43281" w:rsidRDefault="00D93616" w:rsidP="00637724">
                  <w:pPr>
                    <w:spacing w:before="120" w:after="0" w:line="240" w:lineRule="auto"/>
                    <w:rPr>
                      <w:rFonts w:ascii="Times New Roman" w:eastAsia="Times New Roman" w:hAnsi="Times New Roman" w:cs="Times New Roman"/>
                      <w:sz w:val="24"/>
                      <w:szCs w:val="24"/>
                      <w:lang w:val="ru-RU" w:eastAsia="ro-MD"/>
                    </w:rPr>
                  </w:pPr>
                </w:p>
              </w:tc>
              <w:tc>
                <w:tcPr>
                  <w:tcW w:w="0" w:type="auto"/>
                  <w:hideMark/>
                </w:tcPr>
                <w:p w14:paraId="424F6729" w14:textId="14A2CD47" w:rsidR="00D93616" w:rsidRPr="00D43281" w:rsidRDefault="002B2CC8" w:rsidP="00637724">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2.3.</w:t>
                  </w:r>
                  <w:r w:rsidR="00161CE7" w:rsidRPr="00D43281">
                    <w:rPr>
                      <w:sz w:val="24"/>
                      <w:szCs w:val="24"/>
                      <w:lang w:val="ru-RU"/>
                    </w:rPr>
                    <w:t xml:space="preserve"> </w:t>
                  </w:r>
                  <w:r w:rsidR="00161CE7" w:rsidRPr="00D43281">
                    <w:rPr>
                      <w:rFonts w:ascii="Times New Roman" w:eastAsia="Times New Roman" w:hAnsi="Times New Roman" w:cs="Times New Roman"/>
                      <w:sz w:val="24"/>
                      <w:szCs w:val="24"/>
                      <w:lang w:val="ru-RU" w:eastAsia="ro-MD"/>
                    </w:rPr>
                    <w:t xml:space="preserve">Вероятность завершения проекта в согласованные сроки и в рамках согласованной стоимости (компонент </w:t>
                  </w:r>
                  <w:proofErr w:type="spellStart"/>
                  <w:r w:rsidR="00161CE7" w:rsidRPr="00D43281">
                    <w:rPr>
                      <w:rFonts w:ascii="Times New Roman" w:eastAsia="Times New Roman" w:hAnsi="Times New Roman" w:cs="Times New Roman"/>
                      <w:sz w:val="24"/>
                      <w:szCs w:val="24"/>
                      <w:lang w:val="ru-RU" w:eastAsia="ro-MD"/>
                    </w:rPr>
                    <w:t>подфактора</w:t>
                  </w:r>
                  <w:proofErr w:type="spellEnd"/>
                  <w:r w:rsidR="00161CE7" w:rsidRPr="00D43281">
                    <w:rPr>
                      <w:rFonts w:ascii="Times New Roman" w:eastAsia="Times New Roman" w:hAnsi="Times New Roman" w:cs="Times New Roman"/>
                      <w:sz w:val="24"/>
                      <w:szCs w:val="24"/>
                      <w:lang w:val="ru-RU" w:eastAsia="ro-MD"/>
                    </w:rPr>
                    <w:t>)</w:t>
                  </w:r>
                </w:p>
              </w:tc>
            </w:tr>
          </w:tbl>
          <w:p w14:paraId="4B7C5F17" w14:textId="77777777" w:rsidR="00D93616" w:rsidRPr="00D43281" w:rsidRDefault="00D93616" w:rsidP="00637724">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D58C633" w14:textId="5848F087" w:rsidR="00D93616" w:rsidRPr="00D43281" w:rsidRDefault="00161CE7"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Практически наверняка проект будет завершен в согласованные сроки и по согласованной цене.</w:t>
            </w:r>
          </w:p>
        </w:tc>
        <w:tc>
          <w:tcPr>
            <w:tcW w:w="0" w:type="auto"/>
            <w:tcBorders>
              <w:top w:val="single" w:sz="6" w:space="0" w:color="000000"/>
              <w:left w:val="single" w:sz="6" w:space="0" w:color="000000"/>
              <w:bottom w:val="single" w:sz="6" w:space="0" w:color="000000"/>
              <w:right w:val="single" w:sz="6" w:space="0" w:color="000000"/>
            </w:tcBorders>
            <w:hideMark/>
          </w:tcPr>
          <w:p w14:paraId="51B8925B" w14:textId="186B6DC0" w:rsidR="00D93616" w:rsidRPr="00D43281" w:rsidRDefault="00161CE7"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Весьма вероятно, что проект будет завершен в согласованные сроки и по согласованной цене.</w:t>
            </w:r>
          </w:p>
        </w:tc>
        <w:tc>
          <w:tcPr>
            <w:tcW w:w="0" w:type="auto"/>
            <w:tcBorders>
              <w:top w:val="single" w:sz="6" w:space="0" w:color="000000"/>
              <w:left w:val="single" w:sz="6" w:space="0" w:color="000000"/>
              <w:bottom w:val="single" w:sz="6" w:space="0" w:color="000000"/>
              <w:right w:val="single" w:sz="6" w:space="0" w:color="000000"/>
            </w:tcBorders>
            <w:hideMark/>
          </w:tcPr>
          <w:p w14:paraId="30D38267" w14:textId="0C4FD667" w:rsidR="00D93616" w:rsidRPr="00D43281" w:rsidRDefault="00161CE7"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Неизвестно, будет ли проект завершен в согласованные сроки и по согласованной цене.</w:t>
            </w:r>
          </w:p>
        </w:tc>
        <w:tc>
          <w:tcPr>
            <w:tcW w:w="0" w:type="auto"/>
            <w:tcBorders>
              <w:top w:val="single" w:sz="6" w:space="0" w:color="000000"/>
              <w:left w:val="single" w:sz="6" w:space="0" w:color="000000"/>
              <w:bottom w:val="single" w:sz="6" w:space="0" w:color="000000"/>
              <w:right w:val="single" w:sz="6" w:space="0" w:color="000000"/>
            </w:tcBorders>
            <w:hideMark/>
          </w:tcPr>
          <w:p w14:paraId="3D3E7EFD" w14:textId="1A7E2506" w:rsidR="00D93616" w:rsidRPr="00D43281" w:rsidRDefault="00EC38C5"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Есть основания полагать, что проект не будет завершен в согласованные сроки и по согласованной цене.</w:t>
            </w:r>
          </w:p>
        </w:tc>
      </w:tr>
      <w:tr w:rsidR="00D93616" w:rsidRPr="00D43281" w14:paraId="349FF58F"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829"/>
            </w:tblGrid>
            <w:tr w:rsidR="00D93616" w:rsidRPr="00D43281" w14:paraId="069D118D" w14:textId="77777777" w:rsidTr="00DF083B">
              <w:tc>
                <w:tcPr>
                  <w:tcW w:w="0" w:type="auto"/>
                  <w:hideMark/>
                </w:tcPr>
                <w:p w14:paraId="3D61C1ED" w14:textId="10145061" w:rsidR="00D93616" w:rsidRPr="00D43281" w:rsidRDefault="00D93616" w:rsidP="00871A75">
                  <w:pPr>
                    <w:spacing w:before="120" w:after="0" w:line="240" w:lineRule="auto"/>
                    <w:rPr>
                      <w:rFonts w:ascii="Times New Roman" w:eastAsia="Times New Roman" w:hAnsi="Times New Roman" w:cs="Times New Roman"/>
                      <w:sz w:val="24"/>
                      <w:szCs w:val="24"/>
                      <w:lang w:val="ru-RU" w:eastAsia="ro-MD"/>
                    </w:rPr>
                  </w:pPr>
                </w:p>
              </w:tc>
              <w:tc>
                <w:tcPr>
                  <w:tcW w:w="0" w:type="auto"/>
                  <w:hideMark/>
                </w:tcPr>
                <w:p w14:paraId="6A598054" w14:textId="706A2CBE" w:rsidR="00D93616" w:rsidRPr="00D43281" w:rsidRDefault="002B2CC8" w:rsidP="00871A75">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2.4.</w:t>
                  </w:r>
                  <w:r w:rsidR="009444BA" w:rsidRPr="00D43281">
                    <w:rPr>
                      <w:sz w:val="24"/>
                      <w:szCs w:val="24"/>
                      <w:lang w:val="ru-RU"/>
                    </w:rPr>
                    <w:t xml:space="preserve"> </w:t>
                  </w:r>
                  <w:r w:rsidR="009444BA" w:rsidRPr="00D43281">
                    <w:rPr>
                      <w:rFonts w:ascii="Times New Roman" w:eastAsia="Times New Roman" w:hAnsi="Times New Roman" w:cs="Times New Roman"/>
                      <w:sz w:val="24"/>
                      <w:szCs w:val="24"/>
                      <w:lang w:val="ru-RU" w:eastAsia="ro-MD"/>
                    </w:rPr>
                    <w:t xml:space="preserve">Гарантийное обеспечение исполнения контракта или договорные убытки (компонент </w:t>
                  </w:r>
                  <w:proofErr w:type="spellStart"/>
                  <w:r w:rsidR="009444BA" w:rsidRPr="00D43281">
                    <w:rPr>
                      <w:rFonts w:ascii="Times New Roman" w:eastAsia="Times New Roman" w:hAnsi="Times New Roman" w:cs="Times New Roman"/>
                      <w:sz w:val="24"/>
                      <w:szCs w:val="24"/>
                      <w:lang w:val="ru-RU" w:eastAsia="ro-MD"/>
                    </w:rPr>
                    <w:t>подфактора</w:t>
                  </w:r>
                  <w:proofErr w:type="spellEnd"/>
                  <w:r w:rsidR="009444BA" w:rsidRPr="00D43281">
                    <w:rPr>
                      <w:rFonts w:ascii="Times New Roman" w:eastAsia="Times New Roman" w:hAnsi="Times New Roman" w:cs="Times New Roman"/>
                      <w:sz w:val="24"/>
                      <w:szCs w:val="24"/>
                      <w:lang w:val="ru-RU" w:eastAsia="ro-MD"/>
                    </w:rPr>
                    <w:t>)</w:t>
                  </w:r>
                </w:p>
              </w:tc>
            </w:tr>
          </w:tbl>
          <w:p w14:paraId="52B70B70" w14:textId="77777777" w:rsidR="00D93616" w:rsidRPr="00D43281" w:rsidRDefault="00D93616" w:rsidP="00871A75">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33EB0E3" w14:textId="57D951C5" w:rsidR="00D93616" w:rsidRPr="00D43281" w:rsidRDefault="009444BA"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Значительные заранее определенные договорные убытки, обусловленные финансовой состоятельностью и/или надежным гарантийным обеспечением, предоставленным спонсорами, обладающими отличной финансовой состоятельностью</w:t>
            </w:r>
          </w:p>
        </w:tc>
        <w:tc>
          <w:tcPr>
            <w:tcW w:w="0" w:type="auto"/>
            <w:tcBorders>
              <w:top w:val="single" w:sz="6" w:space="0" w:color="000000"/>
              <w:left w:val="single" w:sz="6" w:space="0" w:color="000000"/>
              <w:bottom w:val="single" w:sz="6" w:space="0" w:color="000000"/>
              <w:right w:val="single" w:sz="6" w:space="0" w:color="000000"/>
            </w:tcBorders>
            <w:hideMark/>
          </w:tcPr>
          <w:p w14:paraId="2714CF34" w14:textId="28463D86" w:rsidR="00D93616" w:rsidRPr="00D43281" w:rsidRDefault="005B6D4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Значительные заранее оговоренные договорные убытки, понесенные в результате финансовой состоятельности и/или гарантийного обеспечения исполнения обязательств, предоставленного спонсорами, имеющими надлежащее финансовое положение</w:t>
            </w:r>
          </w:p>
        </w:tc>
        <w:tc>
          <w:tcPr>
            <w:tcW w:w="0" w:type="auto"/>
            <w:tcBorders>
              <w:top w:val="single" w:sz="6" w:space="0" w:color="000000"/>
              <w:left w:val="single" w:sz="6" w:space="0" w:color="000000"/>
              <w:bottom w:val="single" w:sz="6" w:space="0" w:color="000000"/>
              <w:right w:val="single" w:sz="6" w:space="0" w:color="000000"/>
            </w:tcBorders>
            <w:hideMark/>
          </w:tcPr>
          <w:p w14:paraId="645DD674" w14:textId="2276BBE0" w:rsidR="00D93616" w:rsidRPr="00D43281" w:rsidRDefault="005B6D4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Адекватные заранее определенные договорные убытки, обусловленные финансовой состоятельностью и/или гарантийным обеспечением, предоставленным спонсорами, обладающими достаточной финансовой состоятельностью</w:t>
            </w:r>
          </w:p>
        </w:tc>
        <w:tc>
          <w:tcPr>
            <w:tcW w:w="0" w:type="auto"/>
            <w:tcBorders>
              <w:top w:val="single" w:sz="6" w:space="0" w:color="000000"/>
              <w:left w:val="single" w:sz="6" w:space="0" w:color="000000"/>
              <w:bottom w:val="single" w:sz="6" w:space="0" w:color="000000"/>
              <w:right w:val="single" w:sz="6" w:space="0" w:color="000000"/>
            </w:tcBorders>
            <w:hideMark/>
          </w:tcPr>
          <w:p w14:paraId="7EF914CD" w14:textId="2C0BEB8A" w:rsidR="00D93616" w:rsidRPr="00D43281" w:rsidRDefault="005B6D4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Недостаточное или не покрытое финансовыми аспектами договорное возмещение убытков или ненадлежащее исполнение гарантий</w:t>
            </w:r>
          </w:p>
        </w:tc>
      </w:tr>
      <w:tr w:rsidR="00D93616" w:rsidRPr="00D43281" w14:paraId="754CBB07"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829"/>
            </w:tblGrid>
            <w:tr w:rsidR="00D93616" w:rsidRPr="00D43281" w14:paraId="7FF98FDD" w14:textId="77777777" w:rsidTr="00DF083B">
              <w:tc>
                <w:tcPr>
                  <w:tcW w:w="0" w:type="auto"/>
                  <w:hideMark/>
                </w:tcPr>
                <w:p w14:paraId="779C36CD" w14:textId="0FA9920B" w:rsidR="00D93616" w:rsidRPr="00D43281" w:rsidRDefault="00D93616" w:rsidP="00637724">
                  <w:pPr>
                    <w:spacing w:before="120" w:after="0" w:line="240" w:lineRule="auto"/>
                    <w:rPr>
                      <w:rFonts w:ascii="Times New Roman" w:eastAsia="Times New Roman" w:hAnsi="Times New Roman" w:cs="Times New Roman"/>
                      <w:sz w:val="24"/>
                      <w:szCs w:val="24"/>
                      <w:lang w:val="ru-RU" w:eastAsia="ro-MD"/>
                    </w:rPr>
                  </w:pPr>
                </w:p>
              </w:tc>
              <w:tc>
                <w:tcPr>
                  <w:tcW w:w="0" w:type="auto"/>
                  <w:hideMark/>
                </w:tcPr>
                <w:p w14:paraId="3EEF5E18" w14:textId="6281761D" w:rsidR="00D93616" w:rsidRPr="00D43281" w:rsidRDefault="002B2CC8" w:rsidP="00637724">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2.5.</w:t>
                  </w:r>
                  <w:r w:rsidR="005B6D43" w:rsidRPr="00D43281">
                    <w:rPr>
                      <w:rFonts w:ascii="Times New Roman" w:eastAsia="Times New Roman" w:hAnsi="Times New Roman" w:cs="Times New Roman"/>
                      <w:sz w:val="24"/>
                      <w:szCs w:val="24"/>
                      <w:lang w:val="ru-RU" w:eastAsia="ro-MD"/>
                    </w:rPr>
                    <w:t xml:space="preserve"> </w:t>
                  </w:r>
                  <w:r w:rsidR="00914E28" w:rsidRPr="00D43281">
                    <w:rPr>
                      <w:rFonts w:ascii="Times New Roman" w:eastAsia="Times New Roman" w:hAnsi="Times New Roman" w:cs="Times New Roman"/>
                      <w:sz w:val="24"/>
                      <w:szCs w:val="24"/>
                      <w:lang w:val="ru-RU" w:eastAsia="ro-MD"/>
                    </w:rPr>
                    <w:t xml:space="preserve">История работы подрядчика и его финансовая устойчивость в </w:t>
                  </w:r>
                  <w:r w:rsidR="00914E28" w:rsidRPr="00D43281">
                    <w:rPr>
                      <w:rFonts w:ascii="Times New Roman" w:eastAsia="Times New Roman" w:hAnsi="Times New Roman" w:cs="Times New Roman"/>
                      <w:sz w:val="24"/>
                      <w:szCs w:val="24"/>
                      <w:lang w:val="ru-RU" w:eastAsia="ro-MD"/>
                    </w:rPr>
                    <w:lastRenderedPageBreak/>
                    <w:t xml:space="preserve">строительной деятельности на аналогичных проектах (компонент </w:t>
                  </w:r>
                  <w:proofErr w:type="spellStart"/>
                  <w:r w:rsidR="00914E28" w:rsidRPr="00D43281">
                    <w:rPr>
                      <w:rFonts w:ascii="Times New Roman" w:eastAsia="Times New Roman" w:hAnsi="Times New Roman" w:cs="Times New Roman"/>
                      <w:sz w:val="24"/>
                      <w:szCs w:val="24"/>
                      <w:lang w:val="ru-RU" w:eastAsia="ro-MD"/>
                    </w:rPr>
                    <w:t>подфактора</w:t>
                  </w:r>
                  <w:proofErr w:type="spellEnd"/>
                  <w:r w:rsidR="00914E28" w:rsidRPr="00D43281">
                    <w:rPr>
                      <w:rFonts w:ascii="Times New Roman" w:eastAsia="Times New Roman" w:hAnsi="Times New Roman" w:cs="Times New Roman"/>
                      <w:sz w:val="24"/>
                      <w:szCs w:val="24"/>
                      <w:lang w:val="ru-RU" w:eastAsia="ro-MD"/>
                    </w:rPr>
                    <w:t>)</w:t>
                  </w:r>
                </w:p>
              </w:tc>
            </w:tr>
          </w:tbl>
          <w:p w14:paraId="241106A0" w14:textId="77777777" w:rsidR="00D93616" w:rsidRPr="00D43281" w:rsidRDefault="00D93616" w:rsidP="00637724">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C37ECFC" w14:textId="0D11054E" w:rsidR="00D93616" w:rsidRPr="00D43281" w:rsidRDefault="00914E28"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Очень хорошие</w:t>
            </w:r>
          </w:p>
        </w:tc>
        <w:tc>
          <w:tcPr>
            <w:tcW w:w="0" w:type="auto"/>
            <w:tcBorders>
              <w:top w:val="single" w:sz="6" w:space="0" w:color="000000"/>
              <w:left w:val="single" w:sz="6" w:space="0" w:color="000000"/>
              <w:bottom w:val="single" w:sz="6" w:space="0" w:color="000000"/>
              <w:right w:val="single" w:sz="6" w:space="0" w:color="000000"/>
            </w:tcBorders>
            <w:hideMark/>
          </w:tcPr>
          <w:p w14:paraId="488B569D" w14:textId="1692D2B0" w:rsidR="00D93616" w:rsidRPr="00D43281" w:rsidRDefault="00914E28"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xml:space="preserve">Хорошие </w:t>
            </w:r>
          </w:p>
        </w:tc>
        <w:tc>
          <w:tcPr>
            <w:tcW w:w="0" w:type="auto"/>
            <w:tcBorders>
              <w:top w:val="single" w:sz="6" w:space="0" w:color="000000"/>
              <w:left w:val="single" w:sz="6" w:space="0" w:color="000000"/>
              <w:bottom w:val="single" w:sz="6" w:space="0" w:color="000000"/>
              <w:right w:val="single" w:sz="6" w:space="0" w:color="000000"/>
            </w:tcBorders>
            <w:hideMark/>
          </w:tcPr>
          <w:p w14:paraId="2486A16C" w14:textId="0FD2618C" w:rsidR="00D93616" w:rsidRPr="00D43281" w:rsidRDefault="00914E28"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Удовлетворительные</w:t>
            </w:r>
          </w:p>
        </w:tc>
        <w:tc>
          <w:tcPr>
            <w:tcW w:w="0" w:type="auto"/>
            <w:tcBorders>
              <w:top w:val="single" w:sz="6" w:space="0" w:color="000000"/>
              <w:left w:val="single" w:sz="6" w:space="0" w:color="000000"/>
              <w:bottom w:val="single" w:sz="6" w:space="0" w:color="000000"/>
              <w:right w:val="single" w:sz="6" w:space="0" w:color="000000"/>
            </w:tcBorders>
            <w:hideMark/>
          </w:tcPr>
          <w:p w14:paraId="5BEB84A6" w14:textId="0D5E5699" w:rsidR="00D93616" w:rsidRPr="00D43281" w:rsidRDefault="005347EC"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Недостаточные</w:t>
            </w:r>
          </w:p>
        </w:tc>
      </w:tr>
      <w:tr w:rsidR="00D93616" w:rsidRPr="00D43281" w14:paraId="7E19105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55"/>
            </w:tblGrid>
            <w:tr w:rsidR="00D93616" w:rsidRPr="00D43281" w14:paraId="04842CF2" w14:textId="77777777" w:rsidTr="00DF083B">
              <w:tc>
                <w:tcPr>
                  <w:tcW w:w="0" w:type="auto"/>
                  <w:hideMark/>
                </w:tcPr>
                <w:p w14:paraId="1BAFFCDF" w14:textId="3775B41C" w:rsidR="00D93616" w:rsidRPr="00D43281" w:rsidRDefault="002B2CC8" w:rsidP="00637724">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3.</w:t>
                  </w:r>
                </w:p>
              </w:tc>
              <w:tc>
                <w:tcPr>
                  <w:tcW w:w="0" w:type="auto"/>
                  <w:hideMark/>
                </w:tcPr>
                <w:p w14:paraId="4984BE45" w14:textId="62FDE1EC" w:rsidR="00D93616" w:rsidRPr="00D43281" w:rsidRDefault="00F5210D" w:rsidP="00637724">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операционный риск</w:t>
                  </w:r>
                </w:p>
              </w:tc>
            </w:tr>
          </w:tbl>
          <w:p w14:paraId="5DBCE527" w14:textId="77777777" w:rsidR="00D93616" w:rsidRPr="00D43281" w:rsidRDefault="00D93616" w:rsidP="00637724">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2AFED93"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239E32A"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1CC9608"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40A4673B"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r>
      <w:tr w:rsidR="00D93616" w:rsidRPr="00D43281" w14:paraId="36DC176E"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829"/>
            </w:tblGrid>
            <w:tr w:rsidR="00D93616" w:rsidRPr="00D43281" w14:paraId="74108898" w14:textId="77777777" w:rsidTr="00871A75">
              <w:trPr>
                <w:trHeight w:val="1647"/>
              </w:trPr>
              <w:tc>
                <w:tcPr>
                  <w:tcW w:w="0" w:type="auto"/>
                  <w:hideMark/>
                </w:tcPr>
                <w:p w14:paraId="22956FAB" w14:textId="6A57D93C" w:rsidR="00D93616" w:rsidRPr="00D43281" w:rsidRDefault="00D93616" w:rsidP="00637724">
                  <w:pPr>
                    <w:spacing w:before="120" w:after="0" w:line="240" w:lineRule="auto"/>
                    <w:rPr>
                      <w:rFonts w:ascii="Times New Roman" w:eastAsia="Times New Roman" w:hAnsi="Times New Roman" w:cs="Times New Roman"/>
                      <w:sz w:val="24"/>
                      <w:szCs w:val="24"/>
                      <w:lang w:val="ru-MD" w:eastAsia="ro-MD"/>
                    </w:rPr>
                  </w:pPr>
                </w:p>
              </w:tc>
              <w:tc>
                <w:tcPr>
                  <w:tcW w:w="0" w:type="auto"/>
                  <w:hideMark/>
                </w:tcPr>
                <w:p w14:paraId="59E9A94B" w14:textId="1442AD56" w:rsidR="00D93616" w:rsidRPr="00D43281" w:rsidRDefault="002B2CC8" w:rsidP="00637724">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3.1.</w:t>
                  </w:r>
                  <w:r w:rsidR="00F5210D" w:rsidRPr="00D43281">
                    <w:rPr>
                      <w:sz w:val="24"/>
                      <w:szCs w:val="24"/>
                      <w:lang w:val="ru-MD"/>
                    </w:rPr>
                    <w:t xml:space="preserve"> </w:t>
                  </w:r>
                  <w:r w:rsidR="00F5210D" w:rsidRPr="00D43281">
                    <w:rPr>
                      <w:rFonts w:ascii="Times New Roman" w:eastAsia="Times New Roman" w:hAnsi="Times New Roman" w:cs="Times New Roman"/>
                      <w:sz w:val="24"/>
                      <w:szCs w:val="24"/>
                      <w:lang w:val="ru-MD" w:eastAsia="ro-MD"/>
                    </w:rPr>
                    <w:t xml:space="preserve">Объем, характер и сложность договоров на эксплуатацию и техническое обслуживание </w:t>
                  </w:r>
                  <w:r w:rsidR="00D93616" w:rsidRPr="00D43281">
                    <w:rPr>
                      <w:rFonts w:ascii="Times New Roman" w:eastAsia="Times New Roman" w:hAnsi="Times New Roman" w:cs="Times New Roman"/>
                      <w:sz w:val="24"/>
                      <w:szCs w:val="24"/>
                      <w:lang w:val="ru-MD" w:eastAsia="ro-MD"/>
                    </w:rPr>
                    <w:t>(</w:t>
                  </w:r>
                  <w:proofErr w:type="spellStart"/>
                  <w:r w:rsidR="00D93616" w:rsidRPr="00D43281">
                    <w:rPr>
                      <w:rFonts w:ascii="Times New Roman" w:eastAsia="Times New Roman" w:hAnsi="Times New Roman" w:cs="Times New Roman"/>
                      <w:i/>
                      <w:iCs/>
                      <w:sz w:val="24"/>
                      <w:szCs w:val="24"/>
                      <w:lang w:val="ru-MD" w:eastAsia="ro-MD"/>
                    </w:rPr>
                    <w:t>operations</w:t>
                  </w:r>
                  <w:proofErr w:type="spellEnd"/>
                  <w:r w:rsidR="00D93616" w:rsidRPr="00D43281">
                    <w:rPr>
                      <w:rFonts w:ascii="Times New Roman" w:eastAsia="Times New Roman" w:hAnsi="Times New Roman" w:cs="Times New Roman"/>
                      <w:i/>
                      <w:iCs/>
                      <w:sz w:val="24"/>
                      <w:szCs w:val="24"/>
                      <w:lang w:val="ru-MD" w:eastAsia="ro-MD"/>
                    </w:rPr>
                    <w:t xml:space="preserve"> </w:t>
                  </w:r>
                  <w:proofErr w:type="spellStart"/>
                  <w:r w:rsidR="00D93616" w:rsidRPr="00D43281">
                    <w:rPr>
                      <w:rFonts w:ascii="Times New Roman" w:eastAsia="Times New Roman" w:hAnsi="Times New Roman" w:cs="Times New Roman"/>
                      <w:i/>
                      <w:iCs/>
                      <w:sz w:val="24"/>
                      <w:szCs w:val="24"/>
                      <w:lang w:val="ru-MD" w:eastAsia="ro-MD"/>
                    </w:rPr>
                    <w:t>and</w:t>
                  </w:r>
                  <w:proofErr w:type="spellEnd"/>
                  <w:r w:rsidR="00D93616" w:rsidRPr="00D43281">
                    <w:rPr>
                      <w:rFonts w:ascii="Times New Roman" w:eastAsia="Times New Roman" w:hAnsi="Times New Roman" w:cs="Times New Roman"/>
                      <w:i/>
                      <w:iCs/>
                      <w:sz w:val="24"/>
                      <w:szCs w:val="24"/>
                      <w:lang w:val="ru-MD" w:eastAsia="ro-MD"/>
                    </w:rPr>
                    <w:t xml:space="preserve"> </w:t>
                  </w:r>
                  <w:proofErr w:type="spellStart"/>
                  <w:r w:rsidR="00D93616" w:rsidRPr="00D43281">
                    <w:rPr>
                      <w:rFonts w:ascii="Times New Roman" w:eastAsia="Times New Roman" w:hAnsi="Times New Roman" w:cs="Times New Roman"/>
                      <w:i/>
                      <w:iCs/>
                      <w:sz w:val="24"/>
                      <w:szCs w:val="24"/>
                      <w:lang w:val="ru-MD" w:eastAsia="ro-MD"/>
                    </w:rPr>
                    <w:t>maintenance</w:t>
                  </w:r>
                  <w:proofErr w:type="spellEnd"/>
                  <w:r w:rsidR="00D93616" w:rsidRPr="00D43281">
                    <w:rPr>
                      <w:rFonts w:ascii="Times New Roman" w:eastAsia="Times New Roman" w:hAnsi="Times New Roman" w:cs="Times New Roman"/>
                      <w:sz w:val="24"/>
                      <w:szCs w:val="24"/>
                      <w:lang w:val="ru-MD" w:eastAsia="ro-MD"/>
                    </w:rPr>
                    <w:t> – O&amp;M) (</w:t>
                  </w:r>
                  <w:proofErr w:type="spellStart"/>
                  <w:r w:rsidR="00F5210D" w:rsidRPr="00D43281">
                    <w:rPr>
                      <w:rFonts w:ascii="Times New Roman" w:eastAsia="Times New Roman" w:hAnsi="Times New Roman" w:cs="Times New Roman"/>
                      <w:sz w:val="24"/>
                      <w:szCs w:val="24"/>
                      <w:lang w:val="ru-MD" w:eastAsia="ro-MD"/>
                    </w:rPr>
                    <w:t>подфакторный</w:t>
                  </w:r>
                  <w:proofErr w:type="spellEnd"/>
                  <w:r w:rsidR="00F5210D" w:rsidRPr="00D43281">
                    <w:rPr>
                      <w:rFonts w:ascii="Times New Roman" w:eastAsia="Times New Roman" w:hAnsi="Times New Roman" w:cs="Times New Roman"/>
                      <w:sz w:val="24"/>
                      <w:szCs w:val="24"/>
                      <w:lang w:val="ru-MD" w:eastAsia="ro-MD"/>
                    </w:rPr>
                    <w:t xml:space="preserve"> компонент</w:t>
                  </w:r>
                  <w:r w:rsidR="00D93616" w:rsidRPr="00D43281">
                    <w:rPr>
                      <w:rFonts w:ascii="Times New Roman" w:eastAsia="Times New Roman" w:hAnsi="Times New Roman" w:cs="Times New Roman"/>
                      <w:sz w:val="24"/>
                      <w:szCs w:val="24"/>
                      <w:lang w:val="ru-MD" w:eastAsia="ro-MD"/>
                    </w:rPr>
                    <w:t>)</w:t>
                  </w:r>
                </w:p>
              </w:tc>
            </w:tr>
          </w:tbl>
          <w:p w14:paraId="39553411" w14:textId="77777777" w:rsidR="00D93616" w:rsidRPr="00D43281" w:rsidRDefault="00D93616" w:rsidP="00637724">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14BB4BF7" w14:textId="1379A09A" w:rsidR="00D93616" w:rsidRPr="00D43281" w:rsidRDefault="00243BE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Долгосрочный договор на эксплуатацию и техническое обслуживание, предпочтительно с договорными поощрительными выплатами и/или резервными счетами для эксплуатации и технического обслуживания, хотя такой договор не является строго необходимым для проведения необходимого технического обслуживания, поскольку деятельность по эксплуатации и техническому обслуживанию проста и прозрачна.</w:t>
            </w:r>
          </w:p>
        </w:tc>
        <w:tc>
          <w:tcPr>
            <w:tcW w:w="0" w:type="auto"/>
            <w:tcBorders>
              <w:top w:val="single" w:sz="6" w:space="0" w:color="000000"/>
              <w:left w:val="single" w:sz="6" w:space="0" w:color="000000"/>
              <w:bottom w:val="single" w:sz="6" w:space="0" w:color="000000"/>
              <w:right w:val="single" w:sz="6" w:space="0" w:color="000000"/>
            </w:tcBorders>
            <w:hideMark/>
          </w:tcPr>
          <w:p w14:paraId="705E09C3" w14:textId="317479E4" w:rsidR="00D93616" w:rsidRPr="00D43281" w:rsidRDefault="00243BE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Эксплуатация и техническое обслуживание осуществляются в относительно простом и прозрачном режиме, и имеется долгосрочный договор на эксплуатацию и техническое обслуживание и/или резервный счет для эксплуатации и технического обслуживания.</w:t>
            </w:r>
          </w:p>
        </w:tc>
        <w:tc>
          <w:tcPr>
            <w:tcW w:w="0" w:type="auto"/>
            <w:tcBorders>
              <w:top w:val="single" w:sz="6" w:space="0" w:color="000000"/>
              <w:left w:val="single" w:sz="6" w:space="0" w:color="000000"/>
              <w:bottom w:val="single" w:sz="6" w:space="0" w:color="000000"/>
              <w:right w:val="single" w:sz="6" w:space="0" w:color="000000"/>
            </w:tcBorders>
            <w:hideMark/>
          </w:tcPr>
          <w:p w14:paraId="62A95F2B" w14:textId="41740F19" w:rsidR="00D93616" w:rsidRPr="00D43281" w:rsidRDefault="00F64BE6"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Эксплуатация и техническое обслуживание являются сложными процессами, требующими заключения договора на эксплуатацию и техническое обслуживание. Необходим долгосрочный договор на эксплуатацию и техническое обслуживание и/или ограниченный резервный счет.</w:t>
            </w:r>
          </w:p>
        </w:tc>
        <w:tc>
          <w:tcPr>
            <w:tcW w:w="0" w:type="auto"/>
            <w:tcBorders>
              <w:top w:val="single" w:sz="6" w:space="0" w:color="000000"/>
              <w:left w:val="single" w:sz="6" w:space="0" w:color="000000"/>
              <w:bottom w:val="single" w:sz="6" w:space="0" w:color="000000"/>
              <w:right w:val="single" w:sz="6" w:space="0" w:color="000000"/>
            </w:tcBorders>
            <w:hideMark/>
          </w:tcPr>
          <w:p w14:paraId="16B4F307" w14:textId="49871404" w:rsidR="00D93616" w:rsidRPr="00D43281" w:rsidRDefault="00F64BE6"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Эксплуатация и техническое обслуживание являются сложными процессами, и заключение договора на эксплуатацию и техническое обслуживание абсолютно необходимо. В настоящее время такого договора нет. Следовательно, существует риск значительного перерасхода средств на эксплуатацию, превышающего уровень, покрываемый факторами снижения рисков.</w:t>
            </w:r>
          </w:p>
        </w:tc>
      </w:tr>
      <w:tr w:rsidR="00D93616" w:rsidRPr="00D43281" w14:paraId="7A03F66F"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829"/>
            </w:tblGrid>
            <w:tr w:rsidR="00D93616" w:rsidRPr="00D43281" w14:paraId="255CE31B" w14:textId="77777777" w:rsidTr="00DF083B">
              <w:tc>
                <w:tcPr>
                  <w:tcW w:w="0" w:type="auto"/>
                  <w:hideMark/>
                </w:tcPr>
                <w:p w14:paraId="347BA02B" w14:textId="495C9C6B" w:rsidR="00D93616" w:rsidRPr="00D43281" w:rsidRDefault="00D93616" w:rsidP="00637724">
                  <w:pPr>
                    <w:spacing w:before="120" w:after="0" w:line="240" w:lineRule="auto"/>
                    <w:rPr>
                      <w:rFonts w:ascii="Times New Roman" w:eastAsia="Times New Roman" w:hAnsi="Times New Roman" w:cs="Times New Roman"/>
                      <w:sz w:val="24"/>
                      <w:szCs w:val="24"/>
                      <w:lang w:val="ru-RU" w:eastAsia="ro-MD"/>
                    </w:rPr>
                  </w:pPr>
                </w:p>
              </w:tc>
              <w:tc>
                <w:tcPr>
                  <w:tcW w:w="0" w:type="auto"/>
                  <w:hideMark/>
                </w:tcPr>
                <w:p w14:paraId="05BC56DC" w14:textId="413F5EA8" w:rsidR="00D93616" w:rsidRPr="00D43281" w:rsidRDefault="002B2CC8" w:rsidP="00637724">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3.2.</w:t>
                  </w:r>
                  <w:r w:rsidR="00AB2D86" w:rsidRPr="00D43281">
                    <w:rPr>
                      <w:sz w:val="24"/>
                      <w:szCs w:val="24"/>
                      <w:lang w:val="ru-RU"/>
                    </w:rPr>
                    <w:t xml:space="preserve"> </w:t>
                  </w:r>
                  <w:r w:rsidR="00AB2D86" w:rsidRPr="00D43281">
                    <w:rPr>
                      <w:rFonts w:ascii="Times New Roman" w:eastAsia="Times New Roman" w:hAnsi="Times New Roman" w:cs="Times New Roman"/>
                      <w:sz w:val="24"/>
                      <w:szCs w:val="24"/>
                      <w:lang w:val="ru-RU" w:eastAsia="ro-MD"/>
                    </w:rPr>
                    <w:t xml:space="preserve">Опыт, история и финансовая устойчивость оператора (компонент </w:t>
                  </w:r>
                  <w:proofErr w:type="spellStart"/>
                  <w:r w:rsidR="00AB2D86" w:rsidRPr="00D43281">
                    <w:rPr>
                      <w:rFonts w:ascii="Times New Roman" w:eastAsia="Times New Roman" w:hAnsi="Times New Roman" w:cs="Times New Roman"/>
                      <w:sz w:val="24"/>
                      <w:szCs w:val="24"/>
                      <w:lang w:val="ru-RU" w:eastAsia="ro-MD"/>
                    </w:rPr>
                    <w:t>подфактора</w:t>
                  </w:r>
                  <w:proofErr w:type="spellEnd"/>
                  <w:r w:rsidR="00AB2D86" w:rsidRPr="00D43281">
                    <w:rPr>
                      <w:rFonts w:ascii="Times New Roman" w:eastAsia="Times New Roman" w:hAnsi="Times New Roman" w:cs="Times New Roman"/>
                      <w:sz w:val="24"/>
                      <w:szCs w:val="24"/>
                      <w:lang w:val="ru-RU" w:eastAsia="ro-MD"/>
                    </w:rPr>
                    <w:t>)</w:t>
                  </w:r>
                </w:p>
              </w:tc>
            </w:tr>
          </w:tbl>
          <w:p w14:paraId="77814A96" w14:textId="77777777" w:rsidR="00D93616" w:rsidRPr="00D43281" w:rsidRDefault="00D93616" w:rsidP="00637724">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6175D25" w14:textId="14303A07" w:rsidR="00D93616" w:rsidRPr="00D43281" w:rsidRDefault="00AB2D86"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Очень высокий уровень технической помощи или обязательства спонсоров по предоставлению технической помощи.</w:t>
            </w:r>
          </w:p>
        </w:tc>
        <w:tc>
          <w:tcPr>
            <w:tcW w:w="0" w:type="auto"/>
            <w:tcBorders>
              <w:top w:val="single" w:sz="6" w:space="0" w:color="000000"/>
              <w:left w:val="single" w:sz="6" w:space="0" w:color="000000"/>
              <w:bottom w:val="single" w:sz="6" w:space="0" w:color="000000"/>
              <w:right w:val="single" w:sz="6" w:space="0" w:color="000000"/>
            </w:tcBorders>
            <w:hideMark/>
          </w:tcPr>
          <w:p w14:paraId="395D29A3" w14:textId="3157AD60" w:rsidR="00D93616" w:rsidRPr="00D43281" w:rsidRDefault="00E220A8"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xml:space="preserve">Сильные </w:t>
            </w:r>
          </w:p>
        </w:tc>
        <w:tc>
          <w:tcPr>
            <w:tcW w:w="0" w:type="auto"/>
            <w:tcBorders>
              <w:top w:val="single" w:sz="6" w:space="0" w:color="000000"/>
              <w:left w:val="single" w:sz="6" w:space="0" w:color="000000"/>
              <w:bottom w:val="single" w:sz="6" w:space="0" w:color="000000"/>
              <w:right w:val="single" w:sz="6" w:space="0" w:color="000000"/>
            </w:tcBorders>
            <w:hideMark/>
          </w:tcPr>
          <w:p w14:paraId="461319D9" w14:textId="4406EEF6" w:rsidR="00D93616" w:rsidRPr="00D43281" w:rsidRDefault="00AB2D86"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Приемлемые</w:t>
            </w:r>
          </w:p>
        </w:tc>
        <w:tc>
          <w:tcPr>
            <w:tcW w:w="0" w:type="auto"/>
            <w:tcBorders>
              <w:top w:val="single" w:sz="6" w:space="0" w:color="000000"/>
              <w:left w:val="single" w:sz="6" w:space="0" w:color="000000"/>
              <w:bottom w:val="single" w:sz="6" w:space="0" w:color="000000"/>
              <w:right w:val="single" w:sz="6" w:space="0" w:color="000000"/>
            </w:tcBorders>
            <w:hideMark/>
          </w:tcPr>
          <w:p w14:paraId="65D3662F" w14:textId="26597F15" w:rsidR="00D93616" w:rsidRPr="00D43281" w:rsidRDefault="00E220A8"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Ограниченные/недостаточные возможности или местный оператор зависит от местных властей</w:t>
            </w:r>
          </w:p>
        </w:tc>
      </w:tr>
      <w:tr w:rsidR="00D93616" w:rsidRPr="00D43281" w14:paraId="343F1834"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55"/>
            </w:tblGrid>
            <w:tr w:rsidR="00D93616" w:rsidRPr="00D43281" w14:paraId="17EB6393" w14:textId="77777777" w:rsidTr="00DF083B">
              <w:tc>
                <w:tcPr>
                  <w:tcW w:w="0" w:type="auto"/>
                  <w:hideMark/>
                </w:tcPr>
                <w:p w14:paraId="0511E69B" w14:textId="7BC6B7F1" w:rsidR="00D93616" w:rsidRPr="00D43281" w:rsidRDefault="002B2CC8" w:rsidP="00637724">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4.</w:t>
                  </w:r>
                </w:p>
              </w:tc>
              <w:tc>
                <w:tcPr>
                  <w:tcW w:w="0" w:type="auto"/>
                  <w:hideMark/>
                </w:tcPr>
                <w:p w14:paraId="1AC8798A" w14:textId="1AABDBCD" w:rsidR="00D93616" w:rsidRPr="00D43281" w:rsidRDefault="00EC763C" w:rsidP="00637724">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оценка выручки, включая риск закупок</w:t>
                  </w:r>
                  <w:r w:rsidR="00D93616" w:rsidRPr="00D43281">
                    <w:rPr>
                      <w:rFonts w:ascii="Times New Roman" w:eastAsia="Times New Roman" w:hAnsi="Times New Roman" w:cs="Times New Roman"/>
                      <w:sz w:val="24"/>
                      <w:szCs w:val="24"/>
                      <w:lang w:val="ru-RU" w:eastAsia="ro-MD"/>
                    </w:rPr>
                    <w:t xml:space="preserve"> („</w:t>
                  </w:r>
                  <w:proofErr w:type="spellStart"/>
                  <w:r w:rsidR="00D93616" w:rsidRPr="00D43281">
                    <w:rPr>
                      <w:rFonts w:ascii="Times New Roman" w:eastAsia="Times New Roman" w:hAnsi="Times New Roman" w:cs="Times New Roman"/>
                      <w:sz w:val="24"/>
                      <w:szCs w:val="24"/>
                      <w:lang w:val="ru-RU" w:eastAsia="ro-MD"/>
                    </w:rPr>
                    <w:t>off-take</w:t>
                  </w:r>
                  <w:proofErr w:type="spellEnd"/>
                  <w:r w:rsidR="00D93616" w:rsidRPr="00D43281">
                    <w:rPr>
                      <w:rFonts w:ascii="Times New Roman" w:eastAsia="Times New Roman" w:hAnsi="Times New Roman" w:cs="Times New Roman"/>
                      <w:sz w:val="24"/>
                      <w:szCs w:val="24"/>
                      <w:lang w:val="ru-RU" w:eastAsia="ro-MD"/>
                    </w:rPr>
                    <w:t>”)</w:t>
                  </w:r>
                  <w:r w:rsidR="002B2CC8" w:rsidRPr="00D43281">
                    <w:rPr>
                      <w:rFonts w:ascii="Times New Roman" w:eastAsia="Times New Roman" w:hAnsi="Times New Roman" w:cs="Times New Roman"/>
                      <w:sz w:val="24"/>
                      <w:szCs w:val="24"/>
                      <w:lang w:val="ru-RU" w:eastAsia="ro-MD"/>
                    </w:rPr>
                    <w:t xml:space="preserve"> </w:t>
                  </w:r>
                </w:p>
              </w:tc>
            </w:tr>
          </w:tbl>
          <w:p w14:paraId="3C57B9F9" w14:textId="77777777" w:rsidR="00D93616" w:rsidRPr="00D43281" w:rsidRDefault="00D93616" w:rsidP="00637724">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C864872"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695FFBA"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38052E5"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CF8EA3E"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r>
      <w:tr w:rsidR="00D93616" w:rsidRPr="00D43281" w14:paraId="53EDAA18"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829"/>
            </w:tblGrid>
            <w:tr w:rsidR="00D93616" w:rsidRPr="00D43281" w14:paraId="3CB16D18" w14:textId="77777777" w:rsidTr="00DF083B">
              <w:tc>
                <w:tcPr>
                  <w:tcW w:w="0" w:type="auto"/>
                  <w:hideMark/>
                </w:tcPr>
                <w:p w14:paraId="739047E6" w14:textId="50FC7815"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p>
              </w:tc>
              <w:tc>
                <w:tcPr>
                  <w:tcW w:w="0" w:type="auto"/>
                  <w:hideMark/>
                </w:tcPr>
                <w:p w14:paraId="01232790" w14:textId="08DAD5A0" w:rsidR="00D93616" w:rsidRPr="00D43281" w:rsidRDefault="002B2CC8" w:rsidP="00637724">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4.1.</w:t>
                  </w:r>
                  <w:r w:rsidR="001F5A69" w:rsidRPr="00D43281">
                    <w:rPr>
                      <w:sz w:val="24"/>
                      <w:szCs w:val="24"/>
                      <w:lang w:val="ru-RU"/>
                    </w:rPr>
                    <w:t xml:space="preserve"> </w:t>
                  </w:r>
                  <w:r w:rsidR="001F5A69" w:rsidRPr="00D43281">
                    <w:rPr>
                      <w:rFonts w:ascii="Times New Roman" w:eastAsia="Times New Roman" w:hAnsi="Times New Roman" w:cs="Times New Roman"/>
                      <w:sz w:val="24"/>
                      <w:szCs w:val="24"/>
                      <w:lang w:val="ru-RU" w:eastAsia="ro-MD"/>
                    </w:rPr>
                    <w:t xml:space="preserve">Насколько надёжны контракты, приносящие доход (например, договоры купли-продажи, концессионные соглашения, потоки доходов от государственно-частного партнерства и другие контракты, приносящие доход)? Каково качество положений о расторжении контракта? (компонент </w:t>
                  </w:r>
                  <w:proofErr w:type="spellStart"/>
                  <w:r w:rsidR="001F5A69" w:rsidRPr="00D43281">
                    <w:rPr>
                      <w:rFonts w:ascii="Times New Roman" w:eastAsia="Times New Roman" w:hAnsi="Times New Roman" w:cs="Times New Roman"/>
                      <w:sz w:val="24"/>
                      <w:szCs w:val="24"/>
                      <w:lang w:val="ru-RU" w:eastAsia="ro-MD"/>
                    </w:rPr>
                    <w:t>подфактора</w:t>
                  </w:r>
                  <w:proofErr w:type="spellEnd"/>
                  <w:r w:rsidR="001F5A69" w:rsidRPr="00D43281">
                    <w:rPr>
                      <w:rFonts w:ascii="Times New Roman" w:eastAsia="Times New Roman" w:hAnsi="Times New Roman" w:cs="Times New Roman"/>
                      <w:sz w:val="24"/>
                      <w:szCs w:val="24"/>
                      <w:lang w:val="ru-RU" w:eastAsia="ro-MD"/>
                    </w:rPr>
                    <w:t>)</w:t>
                  </w:r>
                </w:p>
              </w:tc>
            </w:tr>
          </w:tbl>
          <w:p w14:paraId="7DB30AE2"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8B56B3F" w14:textId="760B6EF6" w:rsidR="00D93616" w:rsidRPr="00D43281" w:rsidRDefault="001F5A6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Очень стабильный доход</w:t>
            </w:r>
          </w:p>
        </w:tc>
        <w:tc>
          <w:tcPr>
            <w:tcW w:w="0" w:type="auto"/>
            <w:tcBorders>
              <w:top w:val="single" w:sz="6" w:space="0" w:color="000000"/>
              <w:left w:val="single" w:sz="6" w:space="0" w:color="000000"/>
              <w:bottom w:val="single" w:sz="6" w:space="0" w:color="000000"/>
              <w:right w:val="single" w:sz="6" w:space="0" w:color="000000"/>
            </w:tcBorders>
            <w:hideMark/>
          </w:tcPr>
          <w:p w14:paraId="42E04680" w14:textId="0745BA33" w:rsidR="00D93616" w:rsidRPr="00D43281" w:rsidRDefault="001F5A6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Стабильный доход</w:t>
            </w:r>
          </w:p>
        </w:tc>
        <w:tc>
          <w:tcPr>
            <w:tcW w:w="0" w:type="auto"/>
            <w:tcBorders>
              <w:top w:val="single" w:sz="6" w:space="0" w:color="000000"/>
              <w:left w:val="single" w:sz="6" w:space="0" w:color="000000"/>
              <w:bottom w:val="single" w:sz="6" w:space="0" w:color="000000"/>
              <w:right w:val="single" w:sz="6" w:space="0" w:color="000000"/>
            </w:tcBorders>
            <w:hideMark/>
          </w:tcPr>
          <w:p w14:paraId="30FD6495" w14:textId="2AAB58A4" w:rsidR="00D93616" w:rsidRPr="00D43281" w:rsidRDefault="007A3A31"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Приемлемый стабильный доход</w:t>
            </w:r>
          </w:p>
        </w:tc>
        <w:tc>
          <w:tcPr>
            <w:tcW w:w="0" w:type="auto"/>
            <w:tcBorders>
              <w:top w:val="single" w:sz="6" w:space="0" w:color="000000"/>
              <w:left w:val="single" w:sz="6" w:space="0" w:color="000000"/>
              <w:bottom w:val="single" w:sz="6" w:space="0" w:color="000000"/>
              <w:right w:val="single" w:sz="6" w:space="0" w:color="000000"/>
            </w:tcBorders>
            <w:hideMark/>
          </w:tcPr>
          <w:p w14:paraId="040877EE" w14:textId="5F8BBE54" w:rsidR="00D93616" w:rsidRPr="00D43281" w:rsidRDefault="007A3A31"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xml:space="preserve">Получение доходов от проекта не гарантировано, и есть основания полагать, что часть </w:t>
            </w:r>
            <w:proofErr w:type="gramStart"/>
            <w:r w:rsidRPr="00D43281">
              <w:rPr>
                <w:rFonts w:ascii="Times New Roman" w:eastAsia="Times New Roman" w:hAnsi="Times New Roman" w:cs="Times New Roman"/>
                <w:sz w:val="24"/>
                <w:szCs w:val="24"/>
                <w:lang w:val="ru-RU" w:eastAsia="ro-MD"/>
              </w:rPr>
              <w:t>доходов может быть</w:t>
            </w:r>
            <w:proofErr w:type="gramEnd"/>
            <w:r w:rsidRPr="00D43281">
              <w:rPr>
                <w:rFonts w:ascii="Times New Roman" w:eastAsia="Times New Roman" w:hAnsi="Times New Roman" w:cs="Times New Roman"/>
                <w:sz w:val="24"/>
                <w:szCs w:val="24"/>
                <w:lang w:val="ru-RU" w:eastAsia="ro-MD"/>
              </w:rPr>
              <w:t xml:space="preserve"> не получена.</w:t>
            </w:r>
          </w:p>
        </w:tc>
      </w:tr>
      <w:tr w:rsidR="00D93616" w:rsidRPr="00D43281" w14:paraId="05DE6ABC"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55"/>
              <w:gridCol w:w="1780"/>
            </w:tblGrid>
            <w:tr w:rsidR="00D93616" w:rsidRPr="00D43281" w14:paraId="5A6076B8" w14:textId="77777777" w:rsidTr="002B2CC8">
              <w:tc>
                <w:tcPr>
                  <w:tcW w:w="150" w:type="pct"/>
                  <w:hideMark/>
                </w:tcPr>
                <w:p w14:paraId="5FA3433E" w14:textId="3313405D"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p>
              </w:tc>
              <w:tc>
                <w:tcPr>
                  <w:tcW w:w="4850" w:type="pct"/>
                  <w:hideMark/>
                </w:tcPr>
                <w:p w14:paraId="15578A47" w14:textId="35FBC1C3" w:rsidR="00D93616" w:rsidRPr="00D43281" w:rsidRDefault="002B2CC8" w:rsidP="00637724">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4.2.</w:t>
                  </w:r>
                  <w:r w:rsidR="00AE70FD" w:rsidRPr="00D43281">
                    <w:rPr>
                      <w:sz w:val="24"/>
                      <w:szCs w:val="24"/>
                      <w:lang w:val="ru-MD"/>
                    </w:rPr>
                    <w:t xml:space="preserve"> </w:t>
                  </w:r>
                  <w:r w:rsidR="00AE70FD" w:rsidRPr="00D43281">
                    <w:rPr>
                      <w:rFonts w:ascii="Times New Roman" w:eastAsia="Times New Roman" w:hAnsi="Times New Roman" w:cs="Times New Roman"/>
                      <w:sz w:val="24"/>
                      <w:szCs w:val="24"/>
                      <w:lang w:val="ru-MD" w:eastAsia="ro-MD"/>
                    </w:rPr>
                    <w:t xml:space="preserve">Наличие твердого контракта («бери или плати») или договора купли-продажи по фиксированной цене (компонент </w:t>
                  </w:r>
                  <w:proofErr w:type="spellStart"/>
                  <w:r w:rsidR="00AE70FD" w:rsidRPr="00D43281">
                    <w:rPr>
                      <w:rFonts w:ascii="Times New Roman" w:eastAsia="Times New Roman" w:hAnsi="Times New Roman" w:cs="Times New Roman"/>
                      <w:sz w:val="24"/>
                      <w:szCs w:val="24"/>
                      <w:lang w:val="ru-MD" w:eastAsia="ro-MD"/>
                    </w:rPr>
                    <w:t>подфактора</w:t>
                  </w:r>
                  <w:proofErr w:type="spellEnd"/>
                </w:p>
              </w:tc>
            </w:tr>
          </w:tbl>
          <w:p w14:paraId="41B76223"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33CA4C5" w14:textId="098BC231" w:rsidR="00D93616" w:rsidRPr="00D43281" w:rsidRDefault="00AE70F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Отличная кредитоспособность приобретающей стороны; надежные условия расторжения договора; срок действия контракта значительно превышает срок погашения долга.</w:t>
            </w:r>
          </w:p>
        </w:tc>
        <w:tc>
          <w:tcPr>
            <w:tcW w:w="0" w:type="auto"/>
            <w:tcBorders>
              <w:top w:val="single" w:sz="6" w:space="0" w:color="000000"/>
              <w:left w:val="single" w:sz="6" w:space="0" w:color="000000"/>
              <w:bottom w:val="single" w:sz="6" w:space="0" w:color="000000"/>
              <w:right w:val="single" w:sz="6" w:space="0" w:color="000000"/>
            </w:tcBorders>
            <w:hideMark/>
          </w:tcPr>
          <w:p w14:paraId="3889DB0E" w14:textId="5F4E8F48" w:rsidR="00D93616" w:rsidRPr="00D43281" w:rsidRDefault="0030097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Высокая кредитоспособность приобретающей стороны; надежные условия расторжения договора; срок действия договора превышает срок погашения долга.</w:t>
            </w:r>
          </w:p>
        </w:tc>
        <w:tc>
          <w:tcPr>
            <w:tcW w:w="0" w:type="auto"/>
            <w:tcBorders>
              <w:top w:val="single" w:sz="6" w:space="0" w:color="000000"/>
              <w:left w:val="single" w:sz="6" w:space="0" w:color="000000"/>
              <w:bottom w:val="single" w:sz="6" w:space="0" w:color="000000"/>
              <w:right w:val="single" w:sz="6" w:space="0" w:color="000000"/>
            </w:tcBorders>
            <w:hideMark/>
          </w:tcPr>
          <w:p w14:paraId="1BA5787D" w14:textId="459691C9" w:rsidR="00D93616" w:rsidRPr="00D43281" w:rsidRDefault="0030097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Высокая кредитоспособность приобретающей стороны; надежные условия расторжения договора; срок действия договора превышает срок погашения долга.</w:t>
            </w:r>
          </w:p>
        </w:tc>
        <w:tc>
          <w:tcPr>
            <w:tcW w:w="0" w:type="auto"/>
            <w:tcBorders>
              <w:top w:val="single" w:sz="6" w:space="0" w:color="000000"/>
              <w:left w:val="single" w:sz="6" w:space="0" w:color="000000"/>
              <w:bottom w:val="single" w:sz="6" w:space="0" w:color="000000"/>
              <w:right w:val="single" w:sz="6" w:space="0" w:color="000000"/>
            </w:tcBorders>
            <w:hideMark/>
          </w:tcPr>
          <w:p w14:paraId="360C0311" w14:textId="0CB2F54F" w:rsidR="00D93616" w:rsidRPr="00D43281" w:rsidRDefault="0030097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Ненадлежащий покупатель; ненадлежащие положения о расторжении договора; срок действия договора не превышает срок погашения долга.</w:t>
            </w:r>
          </w:p>
        </w:tc>
      </w:tr>
      <w:tr w:rsidR="00D93616" w:rsidRPr="00D43281" w14:paraId="7EA8DBA0"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829"/>
            </w:tblGrid>
            <w:tr w:rsidR="00D93616" w:rsidRPr="00D43281" w14:paraId="5AC05B34" w14:textId="77777777" w:rsidTr="00DF083B">
              <w:tc>
                <w:tcPr>
                  <w:tcW w:w="0" w:type="auto"/>
                  <w:hideMark/>
                </w:tcPr>
                <w:p w14:paraId="40B173AE" w14:textId="10D70F91"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p>
              </w:tc>
              <w:tc>
                <w:tcPr>
                  <w:tcW w:w="0" w:type="auto"/>
                  <w:hideMark/>
                </w:tcPr>
                <w:p w14:paraId="72AFBBB1" w14:textId="7F2934A9" w:rsidR="00D93616" w:rsidRPr="00D43281" w:rsidRDefault="002B2CC8" w:rsidP="00637724">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4.3.</w:t>
                  </w:r>
                  <w:r w:rsidR="00F81A0B" w:rsidRPr="00D43281">
                    <w:rPr>
                      <w:rFonts w:ascii="Times New Roman" w:eastAsia="Times New Roman" w:hAnsi="Times New Roman" w:cs="Times New Roman"/>
                      <w:sz w:val="24"/>
                      <w:szCs w:val="24"/>
                      <w:lang w:val="ru-MD" w:eastAsia="ro-MD"/>
                    </w:rPr>
                    <w:t xml:space="preserve"> </w:t>
                  </w:r>
                  <w:r w:rsidR="00D103C1" w:rsidRPr="00D43281">
                    <w:rPr>
                      <w:rFonts w:ascii="Times New Roman" w:eastAsia="Times New Roman" w:hAnsi="Times New Roman" w:cs="Times New Roman"/>
                      <w:sz w:val="24"/>
                      <w:szCs w:val="24"/>
                      <w:lang w:val="ru-MD" w:eastAsia="ro-MD"/>
                    </w:rPr>
                    <w:t xml:space="preserve">Если отсутствует твердый договор («бери или </w:t>
                  </w:r>
                  <w:r w:rsidR="00D103C1" w:rsidRPr="00D43281">
                    <w:rPr>
                      <w:rFonts w:ascii="Times New Roman" w:eastAsia="Times New Roman" w:hAnsi="Times New Roman" w:cs="Times New Roman"/>
                      <w:sz w:val="24"/>
                      <w:szCs w:val="24"/>
                      <w:lang w:val="ru-MD" w:eastAsia="ro-MD"/>
                    </w:rPr>
                    <w:lastRenderedPageBreak/>
                    <w:t xml:space="preserve">плати») или договор купли-продажи по фиксированной цене (компонент </w:t>
                  </w:r>
                  <w:proofErr w:type="spellStart"/>
                  <w:r w:rsidR="00AE70FD" w:rsidRPr="00D43281">
                    <w:rPr>
                      <w:rFonts w:ascii="Times New Roman" w:eastAsia="Times New Roman" w:hAnsi="Times New Roman" w:cs="Times New Roman"/>
                      <w:sz w:val="24"/>
                      <w:szCs w:val="24"/>
                      <w:lang w:val="ru-MD" w:eastAsia="ro-MD"/>
                    </w:rPr>
                    <w:t>под</w:t>
                  </w:r>
                  <w:r w:rsidR="00D103C1" w:rsidRPr="00D43281">
                    <w:rPr>
                      <w:rFonts w:ascii="Times New Roman" w:eastAsia="Times New Roman" w:hAnsi="Times New Roman" w:cs="Times New Roman"/>
                      <w:sz w:val="24"/>
                      <w:szCs w:val="24"/>
                      <w:lang w:val="ru-MD" w:eastAsia="ro-MD"/>
                    </w:rPr>
                    <w:t>фактора</w:t>
                  </w:r>
                  <w:proofErr w:type="spellEnd"/>
                </w:p>
              </w:tc>
            </w:tr>
          </w:tbl>
          <w:p w14:paraId="2077B4EE"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B64DC8A" w14:textId="4D7B87AF" w:rsidR="00D93616" w:rsidRPr="00D43281" w:rsidRDefault="00D103C1"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Проект производит товары или услуги первой </w:t>
            </w:r>
            <w:r w:rsidRPr="00D43281">
              <w:rPr>
                <w:rFonts w:ascii="Times New Roman" w:eastAsia="Times New Roman" w:hAnsi="Times New Roman" w:cs="Times New Roman"/>
                <w:sz w:val="24"/>
                <w:szCs w:val="24"/>
                <w:lang w:val="ru-MD" w:eastAsia="ro-MD"/>
              </w:rPr>
              <w:lastRenderedPageBreak/>
              <w:t>необходимости, реализуемые в больших масштабах на глобальном рынке; объемы производства легко осваиваются по прогнозируемым ценам, даже в условиях более низких, чем исторические, темпов роста рынка.</w:t>
            </w:r>
          </w:p>
        </w:tc>
        <w:tc>
          <w:tcPr>
            <w:tcW w:w="0" w:type="auto"/>
            <w:tcBorders>
              <w:top w:val="single" w:sz="6" w:space="0" w:color="000000"/>
              <w:left w:val="single" w:sz="6" w:space="0" w:color="000000"/>
              <w:bottom w:val="single" w:sz="6" w:space="0" w:color="000000"/>
              <w:right w:val="single" w:sz="6" w:space="0" w:color="000000"/>
            </w:tcBorders>
            <w:hideMark/>
          </w:tcPr>
          <w:p w14:paraId="576D57F3" w14:textId="40A30CE5" w:rsidR="00D93616" w:rsidRPr="00D43281" w:rsidRDefault="00AE1C33"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Проект предусматривает производство товаров или </w:t>
            </w:r>
            <w:r w:rsidRPr="00D43281">
              <w:rPr>
                <w:rFonts w:ascii="Times New Roman" w:eastAsia="Times New Roman" w:hAnsi="Times New Roman" w:cs="Times New Roman"/>
                <w:sz w:val="24"/>
                <w:szCs w:val="24"/>
                <w:lang w:val="ru-MD" w:eastAsia="ro-MD"/>
              </w:rPr>
              <w:lastRenderedPageBreak/>
              <w:t>услуг первой необходимости, реализуемых в больших масштабах на региональном рынке, который сможет поглотить продукцию по прогнозируемым ценам при условии сохранения исторических темпов роста.</w:t>
            </w:r>
          </w:p>
        </w:tc>
        <w:tc>
          <w:tcPr>
            <w:tcW w:w="0" w:type="auto"/>
            <w:tcBorders>
              <w:top w:val="single" w:sz="6" w:space="0" w:color="000000"/>
              <w:left w:val="single" w:sz="6" w:space="0" w:color="000000"/>
              <w:bottom w:val="single" w:sz="6" w:space="0" w:color="000000"/>
              <w:right w:val="single" w:sz="6" w:space="0" w:color="000000"/>
            </w:tcBorders>
            <w:hideMark/>
          </w:tcPr>
          <w:p w14:paraId="18D3D980" w14:textId="0D5E0A44" w:rsidR="00D93616" w:rsidRPr="00D43281" w:rsidRDefault="00AE1C33"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Товар продается на ограниченном рынке, который </w:t>
            </w:r>
            <w:r w:rsidRPr="00D43281">
              <w:rPr>
                <w:rFonts w:ascii="Times New Roman" w:eastAsia="Times New Roman" w:hAnsi="Times New Roman" w:cs="Times New Roman"/>
                <w:sz w:val="24"/>
                <w:szCs w:val="24"/>
                <w:lang w:val="ru-MD" w:eastAsia="ro-MD"/>
              </w:rPr>
              <w:lastRenderedPageBreak/>
              <w:t>может его приобрести только по ценам ниже прогнозируемых.</w:t>
            </w:r>
          </w:p>
        </w:tc>
        <w:tc>
          <w:tcPr>
            <w:tcW w:w="0" w:type="auto"/>
            <w:tcBorders>
              <w:top w:val="single" w:sz="6" w:space="0" w:color="000000"/>
              <w:left w:val="single" w:sz="6" w:space="0" w:color="000000"/>
              <w:bottom w:val="single" w:sz="6" w:space="0" w:color="000000"/>
              <w:right w:val="single" w:sz="6" w:space="0" w:color="000000"/>
            </w:tcBorders>
            <w:hideMark/>
          </w:tcPr>
          <w:p w14:paraId="124BBD46" w14:textId="7DDE131C" w:rsidR="00D93616" w:rsidRPr="00D43281" w:rsidRDefault="00AE1C33"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Продукция проекта востребована лишь одним или несколькими </w:t>
            </w:r>
            <w:r w:rsidRPr="00D43281">
              <w:rPr>
                <w:rFonts w:ascii="Times New Roman" w:eastAsia="Times New Roman" w:hAnsi="Times New Roman" w:cs="Times New Roman"/>
                <w:sz w:val="24"/>
                <w:szCs w:val="24"/>
                <w:lang w:val="ru-MD" w:eastAsia="ro-MD"/>
              </w:rPr>
              <w:lastRenderedPageBreak/>
              <w:t>покупателями, либо, как правило, не продается на организованном рынке.</w:t>
            </w:r>
          </w:p>
        </w:tc>
      </w:tr>
      <w:tr w:rsidR="00D93616" w:rsidRPr="00D43281" w14:paraId="48A6AE63"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55"/>
            </w:tblGrid>
            <w:tr w:rsidR="00D93616" w:rsidRPr="00D43281" w14:paraId="7FCCD1AA" w14:textId="77777777" w:rsidTr="00DF083B">
              <w:tc>
                <w:tcPr>
                  <w:tcW w:w="0" w:type="auto"/>
                  <w:hideMark/>
                </w:tcPr>
                <w:p w14:paraId="2EFE87FB" w14:textId="6A03503F" w:rsidR="00D93616" w:rsidRPr="00D43281" w:rsidRDefault="002B2CC8"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5.</w:t>
                  </w:r>
                </w:p>
              </w:tc>
              <w:tc>
                <w:tcPr>
                  <w:tcW w:w="0" w:type="auto"/>
                  <w:hideMark/>
                </w:tcPr>
                <w:p w14:paraId="75B36F96" w14:textId="0942912E" w:rsidR="00D93616" w:rsidRPr="00D43281" w:rsidRDefault="00F0122B" w:rsidP="00DF083B">
                  <w:pPr>
                    <w:spacing w:before="120" w:after="0" w:line="240" w:lineRule="auto"/>
                    <w:jc w:val="both"/>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риск поставок</w:t>
                  </w:r>
                </w:p>
              </w:tc>
            </w:tr>
          </w:tbl>
          <w:p w14:paraId="6F94507B"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7E063EA"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665CAC4"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A20BB56"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4BFAEEF"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r>
      <w:tr w:rsidR="00D93616" w:rsidRPr="00D43281" w14:paraId="09164798"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829"/>
            </w:tblGrid>
            <w:tr w:rsidR="00D93616" w:rsidRPr="00D43281" w14:paraId="200C36DE" w14:textId="77777777" w:rsidTr="00DF083B">
              <w:tc>
                <w:tcPr>
                  <w:tcW w:w="0" w:type="auto"/>
                  <w:hideMark/>
                </w:tcPr>
                <w:p w14:paraId="3D7CE235" w14:textId="23168491"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p>
              </w:tc>
              <w:tc>
                <w:tcPr>
                  <w:tcW w:w="0" w:type="auto"/>
                  <w:hideMark/>
                </w:tcPr>
                <w:p w14:paraId="7AFEE7B6" w14:textId="72116D57" w:rsidR="00D93616" w:rsidRPr="00D43281" w:rsidRDefault="002B2CC8" w:rsidP="00637724">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5.1.</w:t>
                  </w:r>
                  <w:r w:rsidR="00F0122B" w:rsidRPr="00D43281">
                    <w:rPr>
                      <w:sz w:val="24"/>
                      <w:szCs w:val="24"/>
                      <w:lang w:val="ru-MD"/>
                    </w:rPr>
                    <w:t xml:space="preserve"> </w:t>
                  </w:r>
                  <w:r w:rsidR="00F0122B" w:rsidRPr="00D43281">
                    <w:rPr>
                      <w:rFonts w:ascii="Times New Roman" w:eastAsia="Times New Roman" w:hAnsi="Times New Roman" w:cs="Times New Roman"/>
                      <w:sz w:val="24"/>
                      <w:szCs w:val="24"/>
                      <w:lang w:val="ru-MD" w:eastAsia="ro-MD"/>
                    </w:rPr>
                    <w:t xml:space="preserve">Риски, связанные с ценой сырья, объемом и транспортировкой; финансовая история и надежность поставщика (компонент </w:t>
                  </w:r>
                  <w:proofErr w:type="spellStart"/>
                  <w:r w:rsidR="00F0122B" w:rsidRPr="00D43281">
                    <w:rPr>
                      <w:rFonts w:ascii="Times New Roman" w:eastAsia="Times New Roman" w:hAnsi="Times New Roman" w:cs="Times New Roman"/>
                      <w:sz w:val="24"/>
                      <w:szCs w:val="24"/>
                      <w:lang w:val="ru-MD" w:eastAsia="ro-MD"/>
                    </w:rPr>
                    <w:t>подфактора</w:t>
                  </w:r>
                  <w:proofErr w:type="spellEnd"/>
                </w:p>
              </w:tc>
            </w:tr>
          </w:tbl>
          <w:p w14:paraId="0FA19EF8"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465C4C09" w14:textId="3954D879" w:rsidR="00D93616" w:rsidRPr="00D43281" w:rsidRDefault="007E4400"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Долгосрочный договор поставки с поставщиком, обладающим отличными финансовыми возможностями.</w:t>
            </w:r>
          </w:p>
        </w:tc>
        <w:tc>
          <w:tcPr>
            <w:tcW w:w="0" w:type="auto"/>
            <w:tcBorders>
              <w:top w:val="single" w:sz="6" w:space="0" w:color="000000"/>
              <w:left w:val="single" w:sz="6" w:space="0" w:color="000000"/>
              <w:bottom w:val="single" w:sz="6" w:space="0" w:color="000000"/>
              <w:right w:val="single" w:sz="6" w:space="0" w:color="000000"/>
            </w:tcBorders>
            <w:hideMark/>
          </w:tcPr>
          <w:p w14:paraId="5DDDDB18" w14:textId="35A5F339" w:rsidR="00D93616" w:rsidRPr="00D43281" w:rsidRDefault="007E4400"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Долгосрочный договор поставки с поставщиком, обладающим хорошими финансовыми возможностями.</w:t>
            </w:r>
          </w:p>
        </w:tc>
        <w:tc>
          <w:tcPr>
            <w:tcW w:w="0" w:type="auto"/>
            <w:tcBorders>
              <w:top w:val="single" w:sz="6" w:space="0" w:color="000000"/>
              <w:left w:val="single" w:sz="6" w:space="0" w:color="000000"/>
              <w:bottom w:val="single" w:sz="6" w:space="0" w:color="000000"/>
              <w:right w:val="single" w:sz="6" w:space="0" w:color="000000"/>
            </w:tcBorders>
            <w:hideMark/>
          </w:tcPr>
          <w:p w14:paraId="232B2227" w14:textId="4CCF7B53" w:rsidR="00D93616" w:rsidRPr="00D43281" w:rsidRDefault="007E4400"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Долгосрочный договор поставки с поставщиком, обладающим хорошими финансовыми возможностями, – некоторый ценовой риск может сохраняться.</w:t>
            </w:r>
          </w:p>
        </w:tc>
        <w:tc>
          <w:tcPr>
            <w:tcW w:w="0" w:type="auto"/>
            <w:tcBorders>
              <w:top w:val="single" w:sz="6" w:space="0" w:color="000000"/>
              <w:left w:val="single" w:sz="6" w:space="0" w:color="000000"/>
              <w:bottom w:val="single" w:sz="6" w:space="0" w:color="000000"/>
              <w:right w:val="single" w:sz="6" w:space="0" w:color="000000"/>
            </w:tcBorders>
            <w:hideMark/>
          </w:tcPr>
          <w:p w14:paraId="48CA045D" w14:textId="626852A0" w:rsidR="00D93616" w:rsidRPr="00D43281" w:rsidRDefault="00A53788"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Краткосрочный или долгосрочный договор поставки с финансово несостоятельным поставщиком – безусловно, существует определенный ценовой риск.</w:t>
            </w:r>
          </w:p>
        </w:tc>
      </w:tr>
      <w:tr w:rsidR="00D93616" w:rsidRPr="00D43281" w14:paraId="74EEF73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829"/>
            </w:tblGrid>
            <w:tr w:rsidR="00D93616" w:rsidRPr="00D43281" w14:paraId="65471AB1" w14:textId="77777777" w:rsidTr="00DF083B">
              <w:tc>
                <w:tcPr>
                  <w:tcW w:w="0" w:type="auto"/>
                  <w:hideMark/>
                </w:tcPr>
                <w:p w14:paraId="36C54399" w14:textId="4B079B6E"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p>
              </w:tc>
              <w:tc>
                <w:tcPr>
                  <w:tcW w:w="0" w:type="auto"/>
                  <w:hideMark/>
                </w:tcPr>
                <w:p w14:paraId="48BF12F5" w14:textId="035EB851" w:rsidR="00D93616" w:rsidRPr="00D43281" w:rsidRDefault="002B2CC8" w:rsidP="002B2CC8">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5.2.</w:t>
                  </w:r>
                  <w:r w:rsidR="00575B24" w:rsidRPr="00D43281">
                    <w:rPr>
                      <w:rFonts w:ascii="Times New Roman" w:eastAsia="Times New Roman" w:hAnsi="Times New Roman" w:cs="Times New Roman"/>
                      <w:sz w:val="24"/>
                      <w:szCs w:val="24"/>
                      <w:lang w:val="ru-RU" w:eastAsia="ro-MD"/>
                    </w:rPr>
                    <w:t xml:space="preserve"> Риски, связанные с запасами (например, связанные с разработкой природных ресурсов) (компонент </w:t>
                  </w:r>
                  <w:proofErr w:type="spellStart"/>
                  <w:r w:rsidR="00575B24" w:rsidRPr="00D43281">
                    <w:rPr>
                      <w:rFonts w:ascii="Times New Roman" w:eastAsia="Times New Roman" w:hAnsi="Times New Roman" w:cs="Times New Roman"/>
                      <w:sz w:val="24"/>
                      <w:szCs w:val="24"/>
                      <w:lang w:val="ru-RU" w:eastAsia="ro-MD"/>
                    </w:rPr>
                    <w:t>подфактора</w:t>
                  </w:r>
                  <w:proofErr w:type="spellEnd"/>
                  <w:r w:rsidR="00D93616" w:rsidRPr="00D43281">
                    <w:rPr>
                      <w:rFonts w:ascii="Times New Roman" w:eastAsia="Times New Roman" w:hAnsi="Times New Roman" w:cs="Times New Roman"/>
                      <w:sz w:val="24"/>
                      <w:szCs w:val="24"/>
                      <w:lang w:val="ru-RU" w:eastAsia="ro-MD"/>
                    </w:rPr>
                    <w:t>)</w:t>
                  </w:r>
                </w:p>
              </w:tc>
            </w:tr>
          </w:tbl>
          <w:p w14:paraId="73D7E265"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C1544B0" w14:textId="4CAC044E" w:rsidR="00D93616" w:rsidRPr="00D43281" w:rsidRDefault="00F860B4"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Проведена независимая проверка, продемонстрированы и разработаны резервы, значительно превышающие требования на протяжении всего проекта.</w:t>
            </w:r>
          </w:p>
        </w:tc>
        <w:tc>
          <w:tcPr>
            <w:tcW w:w="0" w:type="auto"/>
            <w:tcBorders>
              <w:top w:val="single" w:sz="6" w:space="0" w:color="000000"/>
              <w:left w:val="single" w:sz="6" w:space="0" w:color="000000"/>
              <w:bottom w:val="single" w:sz="6" w:space="0" w:color="000000"/>
              <w:right w:val="single" w:sz="6" w:space="0" w:color="000000"/>
            </w:tcBorders>
            <w:hideMark/>
          </w:tcPr>
          <w:p w14:paraId="16F8E17E" w14:textId="5B21C1B4" w:rsidR="00D93616" w:rsidRPr="00D43281" w:rsidRDefault="00F860B4"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Проведена независимая проверка, продемонстрированы и разработаны резервы, значительно превышающие требования на протяжении всего проекта.</w:t>
            </w:r>
          </w:p>
        </w:tc>
        <w:tc>
          <w:tcPr>
            <w:tcW w:w="0" w:type="auto"/>
            <w:tcBorders>
              <w:top w:val="single" w:sz="6" w:space="0" w:color="000000"/>
              <w:left w:val="single" w:sz="6" w:space="0" w:color="000000"/>
              <w:bottom w:val="single" w:sz="6" w:space="0" w:color="000000"/>
              <w:right w:val="single" w:sz="6" w:space="0" w:color="000000"/>
            </w:tcBorders>
            <w:hideMark/>
          </w:tcPr>
          <w:p w14:paraId="64EF522C" w14:textId="0845FD27" w:rsidR="00D93616" w:rsidRPr="00D43281" w:rsidRDefault="0077760A"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Демонстрируемые резервы, способные адекватно покрывать спрос, возникающий в связи с проектом, до наступления срока погашения долга.</w:t>
            </w:r>
          </w:p>
        </w:tc>
        <w:tc>
          <w:tcPr>
            <w:tcW w:w="0" w:type="auto"/>
            <w:tcBorders>
              <w:top w:val="single" w:sz="6" w:space="0" w:color="000000"/>
              <w:left w:val="single" w:sz="6" w:space="0" w:color="000000"/>
              <w:bottom w:val="single" w:sz="6" w:space="0" w:color="000000"/>
              <w:right w:val="single" w:sz="6" w:space="0" w:color="000000"/>
            </w:tcBorders>
            <w:hideMark/>
          </w:tcPr>
          <w:p w14:paraId="4C30530D" w14:textId="268DC028" w:rsidR="00D93616" w:rsidRPr="00D43281" w:rsidRDefault="0077760A"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Проект в определенной степени опирается на потенциальные и неразработанные резервы.</w:t>
            </w:r>
          </w:p>
        </w:tc>
      </w:tr>
      <w:tr w:rsidR="00D93616" w:rsidRPr="00D43281" w14:paraId="1C7A501E"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0E8F86A7" w14:textId="04AA7567" w:rsidR="00D93616" w:rsidRPr="00D43281" w:rsidRDefault="00E72144"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b/>
                <w:bCs/>
                <w:sz w:val="24"/>
                <w:szCs w:val="24"/>
                <w:lang w:val="ru-MD" w:eastAsia="ro-MD"/>
              </w:rPr>
              <w:t>Фактор: надежность спонсора (включая любое государственно-частное партнерство)</w:t>
            </w:r>
          </w:p>
        </w:tc>
        <w:tc>
          <w:tcPr>
            <w:tcW w:w="0" w:type="auto"/>
            <w:tcBorders>
              <w:top w:val="single" w:sz="6" w:space="0" w:color="000000"/>
              <w:left w:val="single" w:sz="6" w:space="0" w:color="000000"/>
              <w:bottom w:val="single" w:sz="6" w:space="0" w:color="000000"/>
              <w:right w:val="single" w:sz="6" w:space="0" w:color="000000"/>
            </w:tcBorders>
            <w:hideMark/>
          </w:tcPr>
          <w:p w14:paraId="332D5DA8"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E6EB737"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877BA3C"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4305003"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r>
      <w:tr w:rsidR="00D93616" w:rsidRPr="00D43281" w14:paraId="77F36F97"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55"/>
            </w:tblGrid>
            <w:tr w:rsidR="00D93616" w:rsidRPr="00D43281" w14:paraId="095B6994" w14:textId="77777777" w:rsidTr="00DF083B">
              <w:tc>
                <w:tcPr>
                  <w:tcW w:w="0" w:type="auto"/>
                  <w:hideMark/>
                </w:tcPr>
                <w:p w14:paraId="1B605E40" w14:textId="6F7BA332" w:rsidR="00D93616" w:rsidRPr="00D43281" w:rsidRDefault="002B2CC8"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1.</w:t>
                  </w:r>
                </w:p>
              </w:tc>
              <w:tc>
                <w:tcPr>
                  <w:tcW w:w="0" w:type="auto"/>
                  <w:hideMark/>
                </w:tcPr>
                <w:p w14:paraId="5B0C7E70" w14:textId="29860732" w:rsidR="00D93616" w:rsidRPr="00D43281" w:rsidRDefault="00957A9B" w:rsidP="002B2CC8">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финансовая устойчивость спонсора</w:t>
                  </w:r>
                </w:p>
              </w:tc>
            </w:tr>
          </w:tbl>
          <w:p w14:paraId="12EE12E8"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2581457" w14:textId="20055F34" w:rsidR="00D93616" w:rsidRPr="00D43281" w:rsidRDefault="00957A9B"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Надежный спонсор с высокими финансовыми возможностями</w:t>
            </w:r>
          </w:p>
        </w:tc>
        <w:tc>
          <w:tcPr>
            <w:tcW w:w="0" w:type="auto"/>
            <w:tcBorders>
              <w:top w:val="single" w:sz="6" w:space="0" w:color="000000"/>
              <w:left w:val="single" w:sz="6" w:space="0" w:color="000000"/>
              <w:bottom w:val="single" w:sz="6" w:space="0" w:color="000000"/>
              <w:right w:val="single" w:sz="6" w:space="0" w:color="000000"/>
            </w:tcBorders>
            <w:hideMark/>
          </w:tcPr>
          <w:p w14:paraId="18112114" w14:textId="37D5263B" w:rsidR="00D93616" w:rsidRPr="00D43281" w:rsidRDefault="00864447"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Подходящий спонсор с хорошими финансовыми возможностями</w:t>
            </w:r>
          </w:p>
        </w:tc>
        <w:tc>
          <w:tcPr>
            <w:tcW w:w="0" w:type="auto"/>
            <w:tcBorders>
              <w:top w:val="single" w:sz="6" w:space="0" w:color="000000"/>
              <w:left w:val="single" w:sz="6" w:space="0" w:color="000000"/>
              <w:bottom w:val="single" w:sz="6" w:space="0" w:color="000000"/>
              <w:right w:val="single" w:sz="6" w:space="0" w:color="000000"/>
            </w:tcBorders>
            <w:hideMark/>
          </w:tcPr>
          <w:p w14:paraId="642EBD14" w14:textId="449F82E4" w:rsidR="00D93616" w:rsidRPr="00D43281" w:rsidRDefault="00864447"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Спонсор, обладающий достаточными финансовыми возможностями</w:t>
            </w:r>
          </w:p>
        </w:tc>
        <w:tc>
          <w:tcPr>
            <w:tcW w:w="0" w:type="auto"/>
            <w:tcBorders>
              <w:top w:val="single" w:sz="6" w:space="0" w:color="000000"/>
              <w:left w:val="single" w:sz="6" w:space="0" w:color="000000"/>
              <w:bottom w:val="single" w:sz="6" w:space="0" w:color="000000"/>
              <w:right w:val="single" w:sz="6" w:space="0" w:color="000000"/>
            </w:tcBorders>
            <w:hideMark/>
          </w:tcPr>
          <w:p w14:paraId="701886AC" w14:textId="5172D7C1" w:rsidR="00D93616" w:rsidRPr="00D43281" w:rsidRDefault="00DF2F8F"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Некомпетентный спонсор с очевидными финансовыми недостатками</w:t>
            </w:r>
          </w:p>
        </w:tc>
      </w:tr>
      <w:tr w:rsidR="00D93616" w:rsidRPr="00D43281" w14:paraId="761FB324"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69"/>
              <w:gridCol w:w="1666"/>
            </w:tblGrid>
            <w:tr w:rsidR="00D93616" w:rsidRPr="00D43281" w14:paraId="5C2BFF02" w14:textId="77777777" w:rsidTr="00DF083B">
              <w:tc>
                <w:tcPr>
                  <w:tcW w:w="0" w:type="auto"/>
                  <w:hideMark/>
                </w:tcPr>
                <w:p w14:paraId="510CDE7A" w14:textId="38072323" w:rsidR="00D93616" w:rsidRPr="00D43281" w:rsidRDefault="002B2CC8"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2.</w:t>
                  </w:r>
                </w:p>
              </w:tc>
              <w:tc>
                <w:tcPr>
                  <w:tcW w:w="0" w:type="auto"/>
                  <w:hideMark/>
                </w:tcPr>
                <w:p w14:paraId="75BFDA70" w14:textId="1C679B38" w:rsidR="00D93616" w:rsidRPr="00D43281" w:rsidRDefault="006B2167" w:rsidP="002B2CC8">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история и опыт спонсора в рассматриваемой стране/секторе</w:t>
                  </w:r>
                </w:p>
              </w:tc>
            </w:tr>
          </w:tbl>
          <w:p w14:paraId="1EE2E78A"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1D95D9F" w14:textId="3A327D97" w:rsidR="00D93616" w:rsidRPr="00D43281" w:rsidRDefault="006B2167"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Спонсор с безупречной репутацией и опытом работы в соответствующей стране/секторе</w:t>
            </w:r>
          </w:p>
        </w:tc>
        <w:tc>
          <w:tcPr>
            <w:tcW w:w="0" w:type="auto"/>
            <w:tcBorders>
              <w:top w:val="single" w:sz="6" w:space="0" w:color="000000"/>
              <w:left w:val="single" w:sz="6" w:space="0" w:color="000000"/>
              <w:bottom w:val="single" w:sz="6" w:space="0" w:color="000000"/>
              <w:right w:val="single" w:sz="6" w:space="0" w:color="000000"/>
            </w:tcBorders>
            <w:hideMark/>
          </w:tcPr>
          <w:p w14:paraId="0AE950FE" w14:textId="328A0A01" w:rsidR="00D93616" w:rsidRPr="00D43281" w:rsidRDefault="006B2167"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Спонсор с удовлетворительной репутацией и опытом работы в соответствующей стране/секторе</w:t>
            </w:r>
          </w:p>
        </w:tc>
        <w:tc>
          <w:tcPr>
            <w:tcW w:w="0" w:type="auto"/>
            <w:tcBorders>
              <w:top w:val="single" w:sz="6" w:space="0" w:color="000000"/>
              <w:left w:val="single" w:sz="6" w:space="0" w:color="000000"/>
              <w:bottom w:val="single" w:sz="6" w:space="0" w:color="000000"/>
              <w:right w:val="single" w:sz="6" w:space="0" w:color="000000"/>
            </w:tcBorders>
            <w:hideMark/>
          </w:tcPr>
          <w:p w14:paraId="33D4C48B" w14:textId="78907074" w:rsidR="00D93616" w:rsidRPr="00D43281" w:rsidRDefault="00CB02F9"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Спонсор с достаточным опытом и послужным списком в соответствующей стране/секторе</w:t>
            </w:r>
          </w:p>
        </w:tc>
        <w:tc>
          <w:tcPr>
            <w:tcW w:w="0" w:type="auto"/>
            <w:tcBorders>
              <w:top w:val="single" w:sz="6" w:space="0" w:color="000000"/>
              <w:left w:val="single" w:sz="6" w:space="0" w:color="000000"/>
              <w:bottom w:val="single" w:sz="6" w:space="0" w:color="000000"/>
              <w:right w:val="single" w:sz="6" w:space="0" w:color="000000"/>
            </w:tcBorders>
            <w:hideMark/>
          </w:tcPr>
          <w:p w14:paraId="0484CFAC" w14:textId="2985984B" w:rsidR="00D93616" w:rsidRPr="00D43281" w:rsidRDefault="00CB02F9"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Спонсор, не имеющий опыта или послужного списка в соответствующей стране/секторе, или имеющий сомнительную репутацию</w:t>
            </w:r>
          </w:p>
        </w:tc>
      </w:tr>
      <w:tr w:rsidR="00D93616" w:rsidRPr="00D43281" w14:paraId="1646C167"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74"/>
              <w:gridCol w:w="1661"/>
            </w:tblGrid>
            <w:tr w:rsidR="00D93616" w:rsidRPr="00D43281" w14:paraId="4AC9F4F0" w14:textId="77777777" w:rsidTr="00DF083B">
              <w:tc>
                <w:tcPr>
                  <w:tcW w:w="0" w:type="auto"/>
                  <w:hideMark/>
                </w:tcPr>
                <w:p w14:paraId="3928505F" w14:textId="07AE33A5" w:rsidR="00D93616" w:rsidRPr="00D43281" w:rsidRDefault="002B2CC8"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3.</w:t>
                  </w:r>
                </w:p>
              </w:tc>
              <w:tc>
                <w:tcPr>
                  <w:tcW w:w="0" w:type="auto"/>
                  <w:hideMark/>
                </w:tcPr>
                <w:p w14:paraId="5AA0181D" w14:textId="7BEDC388" w:rsidR="00D93616" w:rsidRPr="00D43281" w:rsidRDefault="002A4113" w:rsidP="002B2CC8">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поддержка спонсора, подтвержденная наличием акций, пунктом о долевом участии и стимулами для вложения дополнительных средств, если таковые имеются</w:t>
                  </w:r>
                </w:p>
              </w:tc>
            </w:tr>
          </w:tbl>
          <w:p w14:paraId="40C68450"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1ACEC4D6" w14:textId="4DD32526" w:rsidR="00D93616" w:rsidRPr="00D43281" w:rsidRDefault="00EF19CE"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Надежный проект. Он имеет стратегическое значение для спонсора (основная деятельность – долгосрочная стратегия</w:t>
            </w:r>
            <w:r w:rsidR="00D93616" w:rsidRPr="00D43281">
              <w:rPr>
                <w:rFonts w:ascii="Times New Roman" w:eastAsia="Times New Roman" w:hAnsi="Times New Roman" w:cs="Times New Roman"/>
                <w:sz w:val="24"/>
                <w:szCs w:val="24"/>
                <w:lang w:val="ru-RU" w:eastAsia="ro-MD"/>
              </w:rPr>
              <w:t>).</w:t>
            </w:r>
          </w:p>
        </w:tc>
        <w:tc>
          <w:tcPr>
            <w:tcW w:w="0" w:type="auto"/>
            <w:tcBorders>
              <w:top w:val="single" w:sz="6" w:space="0" w:color="000000"/>
              <w:left w:val="single" w:sz="6" w:space="0" w:color="000000"/>
              <w:bottom w:val="single" w:sz="6" w:space="0" w:color="000000"/>
              <w:right w:val="single" w:sz="6" w:space="0" w:color="000000"/>
            </w:tcBorders>
            <w:hideMark/>
          </w:tcPr>
          <w:p w14:paraId="0961FC12" w14:textId="3171E2A2" w:rsidR="00D93616" w:rsidRPr="00D43281" w:rsidRDefault="00EF19CE"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Соответствует требованиям. Проект имеет стратегическое значение для спонсора (основная деятельность – долгосрочная стратегия).</w:t>
            </w:r>
          </w:p>
        </w:tc>
        <w:tc>
          <w:tcPr>
            <w:tcW w:w="0" w:type="auto"/>
            <w:tcBorders>
              <w:top w:val="single" w:sz="6" w:space="0" w:color="000000"/>
              <w:left w:val="single" w:sz="6" w:space="0" w:color="000000"/>
              <w:bottom w:val="single" w:sz="6" w:space="0" w:color="000000"/>
              <w:right w:val="single" w:sz="6" w:space="0" w:color="000000"/>
            </w:tcBorders>
            <w:hideMark/>
          </w:tcPr>
          <w:p w14:paraId="0F0FE61B" w14:textId="36FDACBC" w:rsidR="00D93616" w:rsidRPr="00D43281" w:rsidRDefault="00EF19CE"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Приемлемый. Проект считается важным для спонсора (основная деятельность</w:t>
            </w:r>
            <w:r w:rsidR="00D93616" w:rsidRPr="00D43281">
              <w:rPr>
                <w:rFonts w:ascii="Times New Roman" w:eastAsia="Times New Roman" w:hAnsi="Times New Roman" w:cs="Times New Roman"/>
                <w:sz w:val="24"/>
                <w:szCs w:val="24"/>
                <w:lang w:val="ru-RU" w:eastAsia="ro-MD"/>
              </w:rPr>
              <w:t>).</w:t>
            </w:r>
          </w:p>
        </w:tc>
        <w:tc>
          <w:tcPr>
            <w:tcW w:w="0" w:type="auto"/>
            <w:tcBorders>
              <w:top w:val="single" w:sz="6" w:space="0" w:color="000000"/>
              <w:left w:val="single" w:sz="6" w:space="0" w:color="000000"/>
              <w:bottom w:val="single" w:sz="6" w:space="0" w:color="000000"/>
              <w:right w:val="single" w:sz="6" w:space="0" w:color="000000"/>
            </w:tcBorders>
            <w:hideMark/>
          </w:tcPr>
          <w:p w14:paraId="6FFB49AF" w14:textId="131A7F97" w:rsidR="00D93616" w:rsidRPr="00D43281" w:rsidRDefault="00D912B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Проект ограничен. Данный проект не является необходимым для долгосрочной стратегии или основной деятельности спонсора.</w:t>
            </w:r>
          </w:p>
        </w:tc>
      </w:tr>
      <w:tr w:rsidR="00D93616" w:rsidRPr="00D43281" w14:paraId="69C324E5"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33764597" w14:textId="6B3FAE5C" w:rsidR="00D93616" w:rsidRPr="00D43281" w:rsidRDefault="00F0374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b/>
                <w:bCs/>
                <w:sz w:val="24"/>
                <w:szCs w:val="24"/>
                <w:lang w:val="ru-MD" w:eastAsia="ro-MD"/>
              </w:rPr>
              <w:t>Фактор: механизмы гарантий</w:t>
            </w:r>
          </w:p>
        </w:tc>
        <w:tc>
          <w:tcPr>
            <w:tcW w:w="0" w:type="auto"/>
            <w:tcBorders>
              <w:top w:val="single" w:sz="6" w:space="0" w:color="000000"/>
              <w:left w:val="single" w:sz="6" w:space="0" w:color="000000"/>
              <w:bottom w:val="single" w:sz="6" w:space="0" w:color="000000"/>
              <w:right w:val="single" w:sz="6" w:space="0" w:color="000000"/>
            </w:tcBorders>
            <w:hideMark/>
          </w:tcPr>
          <w:p w14:paraId="5B587C08"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C9B385D"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9CE327C"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6738BB4"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r>
      <w:tr w:rsidR="00D93616" w:rsidRPr="00D43281" w14:paraId="1B56D49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55"/>
            </w:tblGrid>
            <w:tr w:rsidR="00D93616" w:rsidRPr="00D43281" w14:paraId="3E836414" w14:textId="77777777" w:rsidTr="00DF083B">
              <w:tc>
                <w:tcPr>
                  <w:tcW w:w="0" w:type="auto"/>
                  <w:hideMark/>
                </w:tcPr>
                <w:p w14:paraId="7E6B6158" w14:textId="4046258B" w:rsidR="00D93616" w:rsidRPr="00D43281" w:rsidRDefault="002B2CC8"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1.</w:t>
                  </w:r>
                </w:p>
              </w:tc>
              <w:tc>
                <w:tcPr>
                  <w:tcW w:w="0" w:type="auto"/>
                  <w:hideMark/>
                </w:tcPr>
                <w:p w14:paraId="78826C58" w14:textId="495F7FA2" w:rsidR="00D93616" w:rsidRPr="00D43281" w:rsidRDefault="00F0374C" w:rsidP="002B2CC8">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распределение контрактов и счетов</w:t>
                  </w:r>
                </w:p>
              </w:tc>
            </w:tr>
          </w:tbl>
          <w:p w14:paraId="51A333B3"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D032B19" w14:textId="5B3D4417" w:rsidR="00D93616" w:rsidRPr="00D43281" w:rsidRDefault="00F0374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Очень исчерпывающие</w:t>
            </w:r>
          </w:p>
        </w:tc>
        <w:tc>
          <w:tcPr>
            <w:tcW w:w="0" w:type="auto"/>
            <w:tcBorders>
              <w:top w:val="single" w:sz="6" w:space="0" w:color="000000"/>
              <w:left w:val="single" w:sz="6" w:space="0" w:color="000000"/>
              <w:bottom w:val="single" w:sz="6" w:space="0" w:color="000000"/>
              <w:right w:val="single" w:sz="6" w:space="0" w:color="000000"/>
            </w:tcBorders>
            <w:hideMark/>
          </w:tcPr>
          <w:p w14:paraId="7D994C73" w14:textId="017E1A73" w:rsidR="00D93616" w:rsidRPr="00D43281" w:rsidRDefault="009C77E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Исчерпывающие</w:t>
            </w:r>
          </w:p>
        </w:tc>
        <w:tc>
          <w:tcPr>
            <w:tcW w:w="0" w:type="auto"/>
            <w:tcBorders>
              <w:top w:val="single" w:sz="6" w:space="0" w:color="000000"/>
              <w:left w:val="single" w:sz="6" w:space="0" w:color="000000"/>
              <w:bottom w:val="single" w:sz="6" w:space="0" w:color="000000"/>
              <w:right w:val="single" w:sz="6" w:space="0" w:color="000000"/>
            </w:tcBorders>
            <w:hideMark/>
          </w:tcPr>
          <w:p w14:paraId="7D16C70B" w14:textId="0554AB86" w:rsidR="00D93616" w:rsidRPr="00D43281" w:rsidRDefault="009C77E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Приемлемый</w:t>
            </w:r>
          </w:p>
        </w:tc>
        <w:tc>
          <w:tcPr>
            <w:tcW w:w="0" w:type="auto"/>
            <w:tcBorders>
              <w:top w:val="single" w:sz="6" w:space="0" w:color="000000"/>
              <w:left w:val="single" w:sz="6" w:space="0" w:color="000000"/>
              <w:bottom w:val="single" w:sz="6" w:space="0" w:color="000000"/>
              <w:right w:val="single" w:sz="6" w:space="0" w:color="000000"/>
            </w:tcBorders>
            <w:hideMark/>
          </w:tcPr>
          <w:p w14:paraId="6DDEE728" w14:textId="1610B680" w:rsidR="00D93616" w:rsidRPr="00D43281" w:rsidRDefault="009C77E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Недостаточный</w:t>
            </w:r>
          </w:p>
        </w:tc>
      </w:tr>
      <w:tr w:rsidR="00D93616" w:rsidRPr="00D43281" w14:paraId="6EA7BD34"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55"/>
            </w:tblGrid>
            <w:tr w:rsidR="00D93616" w:rsidRPr="00D43281" w14:paraId="07A4BCFC" w14:textId="77777777" w:rsidTr="002B2CC8">
              <w:trPr>
                <w:trHeight w:val="904"/>
              </w:trPr>
              <w:tc>
                <w:tcPr>
                  <w:tcW w:w="0" w:type="auto"/>
                  <w:hideMark/>
                </w:tcPr>
                <w:p w14:paraId="6D270783" w14:textId="76891EC5" w:rsidR="00D93616" w:rsidRPr="00D43281" w:rsidRDefault="002B2CC8"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2.</w:t>
                  </w:r>
                </w:p>
              </w:tc>
              <w:tc>
                <w:tcPr>
                  <w:tcW w:w="0" w:type="auto"/>
                  <w:hideMark/>
                </w:tcPr>
                <w:p w14:paraId="0D581831" w14:textId="466402F7" w:rsidR="00D93616" w:rsidRPr="00D43281" w:rsidRDefault="001A3B8C" w:rsidP="002B2CC8">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обременение активов с учетом качества, стоимости и ликвидности активов</w:t>
                  </w:r>
                </w:p>
              </w:tc>
            </w:tr>
          </w:tbl>
          <w:p w14:paraId="55F2D754"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03B8BCD" w14:textId="70DACE07" w:rsidR="00D93616" w:rsidRPr="00D43281" w:rsidRDefault="001A3B8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Первоочередное обеспечение, покрывающее все активы, контракты, разрешения и счета, связанные с проектом и необходимые для его реализации</w:t>
            </w:r>
          </w:p>
        </w:tc>
        <w:tc>
          <w:tcPr>
            <w:tcW w:w="0" w:type="auto"/>
            <w:tcBorders>
              <w:top w:val="single" w:sz="6" w:space="0" w:color="000000"/>
              <w:left w:val="single" w:sz="6" w:space="0" w:color="000000"/>
              <w:bottom w:val="single" w:sz="6" w:space="0" w:color="000000"/>
              <w:right w:val="single" w:sz="6" w:space="0" w:color="000000"/>
            </w:tcBorders>
            <w:hideMark/>
          </w:tcPr>
          <w:p w14:paraId="676F32F4" w14:textId="4544A69A" w:rsidR="00D93616" w:rsidRPr="00D43281" w:rsidRDefault="001A3B8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Возможен гарантийный залог, покрывающий все активы, контракты, разрешения и счета, связанные с проектом, необходимые для его реализации</w:t>
            </w:r>
          </w:p>
        </w:tc>
        <w:tc>
          <w:tcPr>
            <w:tcW w:w="0" w:type="auto"/>
            <w:tcBorders>
              <w:top w:val="single" w:sz="6" w:space="0" w:color="000000"/>
              <w:left w:val="single" w:sz="6" w:space="0" w:color="000000"/>
              <w:bottom w:val="single" w:sz="6" w:space="0" w:color="000000"/>
              <w:right w:val="single" w:sz="6" w:space="0" w:color="000000"/>
            </w:tcBorders>
            <w:hideMark/>
          </w:tcPr>
          <w:p w14:paraId="3002A1AB" w14:textId="0C5F40D4" w:rsidR="00D93616" w:rsidRPr="00D43281" w:rsidRDefault="00674F2B"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Приемлемое обеспечение, охватывающее все активы проекта, контракты, разрешения на реализацию проекта и проектную документацию, необходимые для реализации проекта</w:t>
            </w:r>
          </w:p>
        </w:tc>
        <w:tc>
          <w:tcPr>
            <w:tcW w:w="0" w:type="auto"/>
            <w:tcBorders>
              <w:top w:val="single" w:sz="6" w:space="0" w:color="000000"/>
              <w:left w:val="single" w:sz="6" w:space="0" w:color="000000"/>
              <w:bottom w:val="single" w:sz="6" w:space="0" w:color="000000"/>
              <w:right w:val="single" w:sz="6" w:space="0" w:color="000000"/>
            </w:tcBorders>
            <w:hideMark/>
          </w:tcPr>
          <w:p w14:paraId="7000ED97" w14:textId="7C485F93" w:rsidR="00D93616" w:rsidRPr="00D43281" w:rsidRDefault="00674F2B"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Незначительное или полное отсутствие залога для кредиторов; плохое отрицательное обеспечение</w:t>
            </w:r>
          </w:p>
        </w:tc>
      </w:tr>
      <w:tr w:rsidR="00D93616" w:rsidRPr="00D43281" w14:paraId="72DE34AF"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73"/>
              <w:gridCol w:w="1662"/>
            </w:tblGrid>
            <w:tr w:rsidR="00D93616" w:rsidRPr="00D43281" w14:paraId="0FFB082D" w14:textId="77777777" w:rsidTr="00DF083B">
              <w:tc>
                <w:tcPr>
                  <w:tcW w:w="0" w:type="auto"/>
                  <w:hideMark/>
                </w:tcPr>
                <w:p w14:paraId="34125DC4" w14:textId="43B5F47A" w:rsidR="00D93616" w:rsidRPr="00D43281" w:rsidRDefault="002B2CC8"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3.</w:t>
                  </w:r>
                </w:p>
              </w:tc>
              <w:tc>
                <w:tcPr>
                  <w:tcW w:w="0" w:type="auto"/>
                  <w:hideMark/>
                </w:tcPr>
                <w:p w14:paraId="3FA3F501" w14:textId="7E141B79" w:rsidR="00D93616" w:rsidRPr="00D43281" w:rsidRDefault="00D60C98" w:rsidP="002B2CC8">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контроль кредитора над денежными потоками (например, посредством автоматического перевода денежных средств, независимых эскроу-счето</w:t>
                  </w:r>
                  <w:r w:rsidR="006A6E2A" w:rsidRPr="00D43281">
                    <w:rPr>
                      <w:rFonts w:ascii="Times New Roman" w:eastAsia="Times New Roman" w:hAnsi="Times New Roman" w:cs="Times New Roman"/>
                      <w:sz w:val="24"/>
                      <w:szCs w:val="24"/>
                      <w:lang w:val="ru-MD" w:eastAsia="ro-MD"/>
                    </w:rPr>
                    <w:t>в</w:t>
                  </w:r>
                  <w:r w:rsidR="00D93616" w:rsidRPr="00D43281">
                    <w:rPr>
                      <w:rFonts w:ascii="Times New Roman" w:eastAsia="Times New Roman" w:hAnsi="Times New Roman" w:cs="Times New Roman"/>
                      <w:sz w:val="24"/>
                      <w:szCs w:val="24"/>
                      <w:lang w:val="ru-MD" w:eastAsia="ro-MD"/>
                    </w:rPr>
                    <w:t>)</w:t>
                  </w:r>
                </w:p>
              </w:tc>
            </w:tr>
          </w:tbl>
          <w:p w14:paraId="2C754D89"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B2C5A89" w14:textId="262053B8" w:rsidR="00D93616" w:rsidRPr="00D43281" w:rsidRDefault="009D5DB2"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Высокий</w:t>
            </w:r>
          </w:p>
        </w:tc>
        <w:tc>
          <w:tcPr>
            <w:tcW w:w="0" w:type="auto"/>
            <w:tcBorders>
              <w:top w:val="single" w:sz="6" w:space="0" w:color="000000"/>
              <w:left w:val="single" w:sz="6" w:space="0" w:color="000000"/>
              <w:bottom w:val="single" w:sz="6" w:space="0" w:color="000000"/>
              <w:right w:val="single" w:sz="6" w:space="0" w:color="000000"/>
            </w:tcBorders>
            <w:hideMark/>
          </w:tcPr>
          <w:p w14:paraId="5F9A0479" w14:textId="3ADB514D" w:rsidR="00D93616" w:rsidRPr="00D43281" w:rsidRDefault="009D5DB2"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Удовлетворительный</w:t>
            </w:r>
          </w:p>
        </w:tc>
        <w:tc>
          <w:tcPr>
            <w:tcW w:w="0" w:type="auto"/>
            <w:tcBorders>
              <w:top w:val="single" w:sz="6" w:space="0" w:color="000000"/>
              <w:left w:val="single" w:sz="6" w:space="0" w:color="000000"/>
              <w:bottom w:val="single" w:sz="6" w:space="0" w:color="000000"/>
              <w:right w:val="single" w:sz="6" w:space="0" w:color="000000"/>
            </w:tcBorders>
            <w:hideMark/>
          </w:tcPr>
          <w:p w14:paraId="32AA7378" w14:textId="2204444F" w:rsidR="00D93616" w:rsidRPr="00D43281" w:rsidRDefault="009D5DB2"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Приемлемый</w:t>
            </w:r>
          </w:p>
        </w:tc>
        <w:tc>
          <w:tcPr>
            <w:tcW w:w="0" w:type="auto"/>
            <w:tcBorders>
              <w:top w:val="single" w:sz="6" w:space="0" w:color="000000"/>
              <w:left w:val="single" w:sz="6" w:space="0" w:color="000000"/>
              <w:bottom w:val="single" w:sz="6" w:space="0" w:color="000000"/>
              <w:right w:val="single" w:sz="6" w:space="0" w:color="000000"/>
            </w:tcBorders>
            <w:hideMark/>
          </w:tcPr>
          <w:p w14:paraId="501C9072" w14:textId="60B880ED" w:rsidR="00D93616" w:rsidRPr="00D43281" w:rsidRDefault="00FC664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Неудовлетворительный</w:t>
            </w:r>
          </w:p>
        </w:tc>
      </w:tr>
      <w:tr w:rsidR="00D93616" w:rsidRPr="00D43281" w14:paraId="60E5D957"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70"/>
              <w:gridCol w:w="1665"/>
            </w:tblGrid>
            <w:tr w:rsidR="00D93616" w:rsidRPr="00D43281" w14:paraId="137CF327" w14:textId="77777777" w:rsidTr="00DF083B">
              <w:tc>
                <w:tcPr>
                  <w:tcW w:w="0" w:type="auto"/>
                  <w:hideMark/>
                </w:tcPr>
                <w:p w14:paraId="51982485" w14:textId="364F58D3" w:rsidR="00D93616" w:rsidRPr="00D43281" w:rsidRDefault="002B2CC8"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4.</w:t>
                  </w:r>
                </w:p>
              </w:tc>
              <w:tc>
                <w:tcPr>
                  <w:tcW w:w="0" w:type="auto"/>
                  <w:hideMark/>
                </w:tcPr>
                <w:p w14:paraId="54BDE166" w14:textId="0467D250" w:rsidR="00D93616" w:rsidRPr="00D43281" w:rsidRDefault="00AB7C15" w:rsidP="002B2CC8">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Дополнительный фактор: надежность пакета договорных положений (обязательные авансовые платежи, отсрочка платежей, платежное поручение, ограничения на дивиденды и т. д.)</w:t>
                  </w:r>
                </w:p>
              </w:tc>
            </w:tr>
          </w:tbl>
          <w:p w14:paraId="3B88E4A1"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BE4072F" w14:textId="7115AB8D" w:rsidR="00D93616" w:rsidRPr="00D43281" w:rsidRDefault="006A6E2A"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Для проекта такого типа пакет договорных положений является достаточно надежным. Проект не может выпускать дополнительные долговые инструменты.</w:t>
            </w:r>
          </w:p>
        </w:tc>
        <w:tc>
          <w:tcPr>
            <w:tcW w:w="0" w:type="auto"/>
            <w:tcBorders>
              <w:top w:val="single" w:sz="6" w:space="0" w:color="000000"/>
              <w:left w:val="single" w:sz="6" w:space="0" w:color="000000"/>
              <w:bottom w:val="single" w:sz="6" w:space="0" w:color="000000"/>
              <w:right w:val="single" w:sz="6" w:space="0" w:color="000000"/>
            </w:tcBorders>
            <w:hideMark/>
          </w:tcPr>
          <w:p w14:paraId="1DB292F7" w14:textId="76ACE0C0" w:rsidR="00D93616" w:rsidRPr="00D43281" w:rsidRDefault="006A6E2A"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Предложенный пакет договорных положений является удовлетворительным для данного типа проекта. Проект может выпускать долговые инструменты лишь в очень ограниченном объеме.</w:t>
            </w:r>
          </w:p>
        </w:tc>
        <w:tc>
          <w:tcPr>
            <w:tcW w:w="0" w:type="auto"/>
            <w:tcBorders>
              <w:top w:val="single" w:sz="6" w:space="0" w:color="000000"/>
              <w:left w:val="single" w:sz="6" w:space="0" w:color="000000"/>
              <w:bottom w:val="single" w:sz="6" w:space="0" w:color="000000"/>
              <w:right w:val="single" w:sz="6" w:space="0" w:color="000000"/>
            </w:tcBorders>
            <w:hideMark/>
          </w:tcPr>
          <w:p w14:paraId="7682CF6D" w14:textId="30613499" w:rsidR="00D93616" w:rsidRPr="00D43281" w:rsidRDefault="0087660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Пакет договорных положений является приемлемым для данного типа проекта. Проект может выпускать долговые инструменты в ограниченном объеме.</w:t>
            </w:r>
          </w:p>
        </w:tc>
        <w:tc>
          <w:tcPr>
            <w:tcW w:w="0" w:type="auto"/>
            <w:tcBorders>
              <w:top w:val="single" w:sz="6" w:space="0" w:color="000000"/>
              <w:left w:val="single" w:sz="6" w:space="0" w:color="000000"/>
              <w:bottom w:val="single" w:sz="6" w:space="0" w:color="000000"/>
              <w:right w:val="single" w:sz="6" w:space="0" w:color="000000"/>
            </w:tcBorders>
            <w:hideMark/>
          </w:tcPr>
          <w:p w14:paraId="5E46E5AC" w14:textId="3B150BDF" w:rsidR="00D93616" w:rsidRPr="00D43281" w:rsidRDefault="0087660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Пакет договорных положений недостаточен для данного типа проекта. Проект может выпускать долговые инструменты в неограниченном количестве.</w:t>
            </w:r>
          </w:p>
        </w:tc>
      </w:tr>
      <w:tr w:rsidR="00D93616" w:rsidRPr="00D43281" w14:paraId="1DFAF5DF"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74"/>
              <w:gridCol w:w="1661"/>
            </w:tblGrid>
            <w:tr w:rsidR="00D93616" w:rsidRPr="00D43281" w14:paraId="1281AFEC" w14:textId="77777777" w:rsidTr="00DF083B">
              <w:tc>
                <w:tcPr>
                  <w:tcW w:w="0" w:type="auto"/>
                  <w:hideMark/>
                </w:tcPr>
                <w:p w14:paraId="6CCFC0FC" w14:textId="54BDA371" w:rsidR="00D93616" w:rsidRPr="00D43281" w:rsidRDefault="002B2CC8"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5.</w:t>
                  </w:r>
                </w:p>
              </w:tc>
              <w:tc>
                <w:tcPr>
                  <w:tcW w:w="0" w:type="auto"/>
                  <w:hideMark/>
                </w:tcPr>
                <w:p w14:paraId="792B7057" w14:textId="70B240B3" w:rsidR="00D93616" w:rsidRPr="00D43281" w:rsidRDefault="00316E4A" w:rsidP="002B2CC8">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резервные фонды (для обслуживания долга, эксплуатации и технического обслуживания, обновления и замены, непредвиденных обстоятельств и т. д.)</w:t>
                  </w:r>
                </w:p>
              </w:tc>
            </w:tr>
          </w:tbl>
          <w:p w14:paraId="14469D05"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40289B4" w14:textId="4467EB13" w:rsidR="00D93616" w:rsidRPr="00D43281" w:rsidRDefault="00316E4A"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Более длительный, чем в среднем, период покрытия, все резервные фонды полностью финансируются за счет денежных средств или аккредитивов от банка с высоким кредитным рейтингом</w:t>
            </w:r>
          </w:p>
        </w:tc>
        <w:tc>
          <w:tcPr>
            <w:tcW w:w="0" w:type="auto"/>
            <w:tcBorders>
              <w:top w:val="single" w:sz="6" w:space="0" w:color="000000"/>
              <w:left w:val="single" w:sz="6" w:space="0" w:color="000000"/>
              <w:bottom w:val="single" w:sz="6" w:space="0" w:color="000000"/>
              <w:right w:val="single" w:sz="6" w:space="0" w:color="000000"/>
            </w:tcBorders>
            <w:hideMark/>
          </w:tcPr>
          <w:p w14:paraId="2069A3C5" w14:textId="64DE6BE2" w:rsidR="00D93616" w:rsidRPr="00D43281" w:rsidRDefault="00316E4A"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Средний период покрытия, все резервные фонды полностью сформированы</w:t>
            </w:r>
          </w:p>
        </w:tc>
        <w:tc>
          <w:tcPr>
            <w:tcW w:w="0" w:type="auto"/>
            <w:tcBorders>
              <w:top w:val="single" w:sz="6" w:space="0" w:color="000000"/>
              <w:left w:val="single" w:sz="6" w:space="0" w:color="000000"/>
              <w:bottom w:val="single" w:sz="6" w:space="0" w:color="000000"/>
              <w:right w:val="single" w:sz="6" w:space="0" w:color="000000"/>
            </w:tcBorders>
            <w:hideMark/>
          </w:tcPr>
          <w:p w14:paraId="0FBC8D44" w14:textId="3FC4DE47" w:rsidR="00D93616" w:rsidRPr="00D43281" w:rsidRDefault="001D042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Средний период покрытия, все резервные фонды полностью сформированы</w:t>
            </w:r>
          </w:p>
        </w:tc>
        <w:tc>
          <w:tcPr>
            <w:tcW w:w="0" w:type="auto"/>
            <w:tcBorders>
              <w:top w:val="single" w:sz="6" w:space="0" w:color="000000"/>
              <w:left w:val="single" w:sz="6" w:space="0" w:color="000000"/>
              <w:bottom w:val="single" w:sz="6" w:space="0" w:color="000000"/>
              <w:right w:val="single" w:sz="6" w:space="0" w:color="000000"/>
            </w:tcBorders>
            <w:hideMark/>
          </w:tcPr>
          <w:p w14:paraId="4F84353B" w14:textId="02F56DA1" w:rsidR="00D93616" w:rsidRPr="00D43281" w:rsidRDefault="001D042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Более короткий, чем в среднем, период покрытия, резервные фонды финансируются за счет денежных потоков от операционной деятельности</w:t>
            </w:r>
          </w:p>
        </w:tc>
      </w:tr>
    </w:tbl>
    <w:p w14:paraId="4034AC6B" w14:textId="77777777" w:rsidR="00BE06D9" w:rsidRDefault="00BE06D9" w:rsidP="0007215A">
      <w:pPr>
        <w:shd w:val="clear" w:color="auto" w:fill="FFFFFF"/>
        <w:spacing w:before="240" w:after="120" w:line="240" w:lineRule="auto"/>
        <w:jc w:val="right"/>
        <w:rPr>
          <w:rFonts w:ascii="Times New Roman" w:eastAsia="Times New Roman" w:hAnsi="Times New Roman" w:cs="Times New Roman"/>
          <w:b/>
          <w:bCs/>
          <w:i/>
          <w:iCs/>
          <w:color w:val="000000"/>
          <w:sz w:val="24"/>
          <w:szCs w:val="24"/>
          <w:lang w:val="ru-RU" w:eastAsia="ro-MD"/>
        </w:rPr>
      </w:pPr>
    </w:p>
    <w:p w14:paraId="5C61569E" w14:textId="77777777" w:rsidR="00BE06D9" w:rsidRDefault="00BE06D9" w:rsidP="0007215A">
      <w:pPr>
        <w:shd w:val="clear" w:color="auto" w:fill="FFFFFF"/>
        <w:spacing w:before="240" w:after="120" w:line="240" w:lineRule="auto"/>
        <w:jc w:val="right"/>
        <w:rPr>
          <w:rFonts w:ascii="Times New Roman" w:eastAsia="Times New Roman" w:hAnsi="Times New Roman" w:cs="Times New Roman"/>
          <w:b/>
          <w:bCs/>
          <w:i/>
          <w:iCs/>
          <w:color w:val="000000"/>
          <w:sz w:val="24"/>
          <w:szCs w:val="24"/>
          <w:lang w:val="ru-RU" w:eastAsia="ro-MD"/>
        </w:rPr>
      </w:pPr>
    </w:p>
    <w:p w14:paraId="51D5A072" w14:textId="3FC75053" w:rsidR="00D93616" w:rsidRPr="00D43281" w:rsidRDefault="001D042D" w:rsidP="0007215A">
      <w:pPr>
        <w:shd w:val="clear" w:color="auto" w:fill="FFFFFF"/>
        <w:spacing w:before="240" w:after="120" w:line="240" w:lineRule="auto"/>
        <w:jc w:val="right"/>
        <w:rPr>
          <w:rFonts w:ascii="Times New Roman" w:eastAsia="Times New Roman" w:hAnsi="Times New Roman" w:cs="Times New Roman"/>
          <w:b/>
          <w:bCs/>
          <w:i/>
          <w:iCs/>
          <w:color w:val="000000"/>
          <w:sz w:val="24"/>
          <w:szCs w:val="24"/>
          <w:lang w:eastAsia="ro-MD"/>
        </w:rPr>
      </w:pPr>
      <w:r w:rsidRPr="00D43281">
        <w:rPr>
          <w:rFonts w:ascii="Times New Roman" w:eastAsia="Times New Roman" w:hAnsi="Times New Roman" w:cs="Times New Roman"/>
          <w:b/>
          <w:bCs/>
          <w:i/>
          <w:iCs/>
          <w:color w:val="000000"/>
          <w:sz w:val="24"/>
          <w:szCs w:val="24"/>
          <w:lang w:val="ru-RU" w:eastAsia="ro-MD"/>
        </w:rPr>
        <w:lastRenderedPageBreak/>
        <w:t xml:space="preserve">Таблица № </w:t>
      </w:r>
      <w:r w:rsidR="0007215A" w:rsidRPr="00D43281">
        <w:rPr>
          <w:rFonts w:ascii="Times New Roman" w:eastAsia="Times New Roman" w:hAnsi="Times New Roman" w:cs="Times New Roman"/>
          <w:b/>
          <w:bCs/>
          <w:i/>
          <w:iCs/>
          <w:color w:val="000000"/>
          <w:sz w:val="24"/>
          <w:szCs w:val="24"/>
          <w:lang w:eastAsia="ro-MD"/>
        </w:rPr>
        <w:t>2</w:t>
      </w:r>
    </w:p>
    <w:p w14:paraId="0B792031" w14:textId="2D1A1755" w:rsidR="00D93616" w:rsidRPr="00D43281" w:rsidRDefault="006E4F50" w:rsidP="00D93616">
      <w:pPr>
        <w:shd w:val="clear" w:color="auto" w:fill="FFFFFF"/>
        <w:spacing w:before="240" w:after="120" w:line="240" w:lineRule="auto"/>
        <w:jc w:val="center"/>
        <w:rPr>
          <w:rFonts w:ascii="Times New Roman" w:eastAsia="Times New Roman" w:hAnsi="Times New Roman" w:cs="Times New Roman"/>
          <w:b/>
          <w:bCs/>
          <w:color w:val="000000"/>
          <w:sz w:val="24"/>
          <w:szCs w:val="24"/>
          <w:lang w:val="ru-MD" w:eastAsia="ro-MD"/>
        </w:rPr>
      </w:pPr>
      <w:r w:rsidRPr="00D43281">
        <w:rPr>
          <w:rFonts w:ascii="Times New Roman" w:eastAsia="Times New Roman" w:hAnsi="Times New Roman" w:cs="Times New Roman"/>
          <w:b/>
          <w:bCs/>
          <w:color w:val="000000"/>
          <w:sz w:val="24"/>
          <w:szCs w:val="24"/>
          <w:lang w:val="ru-MD" w:eastAsia="ro-MD"/>
        </w:rPr>
        <w:t>Критерии оценки подверженностей из недвижимости</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76"/>
        <w:gridCol w:w="1869"/>
        <w:gridCol w:w="1820"/>
        <w:gridCol w:w="1859"/>
        <w:gridCol w:w="1914"/>
      </w:tblGrid>
      <w:tr w:rsidR="00C87050" w:rsidRPr="00D43281" w14:paraId="0820F881"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40D4A50F"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8CCFF33" w14:textId="37154B25" w:rsidR="00D93616" w:rsidRPr="00D43281" w:rsidRDefault="006E4F50" w:rsidP="00DF083B">
            <w:pPr>
              <w:spacing w:before="60" w:after="60" w:line="240" w:lineRule="auto"/>
              <w:ind w:right="195"/>
              <w:jc w:val="center"/>
              <w:rPr>
                <w:rFonts w:ascii="Times New Roman" w:eastAsia="Times New Roman" w:hAnsi="Times New Roman" w:cs="Times New Roman"/>
                <w:b/>
                <w:bCs/>
                <w:sz w:val="24"/>
                <w:szCs w:val="24"/>
                <w:lang w:val="ru-MD" w:eastAsia="ro-MD"/>
              </w:rPr>
            </w:pPr>
            <w:r w:rsidRPr="00D43281">
              <w:rPr>
                <w:rFonts w:ascii="Times New Roman" w:eastAsia="Times New Roman" w:hAnsi="Times New Roman" w:cs="Times New Roman"/>
                <w:b/>
                <w:bCs/>
                <w:sz w:val="24"/>
                <w:szCs w:val="24"/>
                <w:lang w:val="ru-MD" w:eastAsia="ro-MD"/>
              </w:rPr>
              <w:t xml:space="preserve">Категория </w:t>
            </w:r>
            <w:r w:rsidR="00D93616" w:rsidRPr="00D43281">
              <w:rPr>
                <w:rFonts w:ascii="Times New Roman" w:eastAsia="Times New Roman" w:hAnsi="Times New Roman" w:cs="Times New Roman"/>
                <w:b/>
                <w:bCs/>
                <w:sz w:val="24"/>
                <w:szCs w:val="24"/>
                <w:lang w:val="ru-MD" w:eastAsia="ro-MD"/>
              </w:rPr>
              <w:t>1</w:t>
            </w:r>
          </w:p>
        </w:tc>
        <w:tc>
          <w:tcPr>
            <w:tcW w:w="0" w:type="auto"/>
            <w:tcBorders>
              <w:top w:val="single" w:sz="6" w:space="0" w:color="000000"/>
              <w:left w:val="single" w:sz="6" w:space="0" w:color="000000"/>
              <w:bottom w:val="single" w:sz="6" w:space="0" w:color="000000"/>
              <w:right w:val="single" w:sz="6" w:space="0" w:color="000000"/>
            </w:tcBorders>
            <w:hideMark/>
          </w:tcPr>
          <w:p w14:paraId="2B671DB2" w14:textId="18471A56" w:rsidR="00D93616" w:rsidRPr="00D43281" w:rsidRDefault="006E4F50" w:rsidP="00DF083B">
            <w:pPr>
              <w:spacing w:before="60" w:after="60" w:line="240" w:lineRule="auto"/>
              <w:ind w:right="195"/>
              <w:jc w:val="center"/>
              <w:rPr>
                <w:rFonts w:ascii="Times New Roman" w:eastAsia="Times New Roman" w:hAnsi="Times New Roman" w:cs="Times New Roman"/>
                <w:b/>
                <w:bCs/>
                <w:sz w:val="24"/>
                <w:szCs w:val="24"/>
                <w:lang w:val="ru-MD" w:eastAsia="ro-MD"/>
              </w:rPr>
            </w:pPr>
            <w:r w:rsidRPr="00D43281">
              <w:rPr>
                <w:rFonts w:ascii="Times New Roman" w:eastAsia="Times New Roman" w:hAnsi="Times New Roman" w:cs="Times New Roman"/>
                <w:b/>
                <w:bCs/>
                <w:sz w:val="24"/>
                <w:szCs w:val="24"/>
                <w:lang w:val="ru-MD" w:eastAsia="ro-MD"/>
              </w:rPr>
              <w:t>Категория</w:t>
            </w:r>
            <w:r w:rsidR="00D93616" w:rsidRPr="00D43281">
              <w:rPr>
                <w:rFonts w:ascii="Times New Roman" w:eastAsia="Times New Roman" w:hAnsi="Times New Roman" w:cs="Times New Roman"/>
                <w:b/>
                <w:bCs/>
                <w:sz w:val="24"/>
                <w:szCs w:val="24"/>
                <w:lang w:val="ru-MD" w:eastAsia="ro-MD"/>
              </w:rPr>
              <w:t xml:space="preserve"> 2</w:t>
            </w:r>
          </w:p>
        </w:tc>
        <w:tc>
          <w:tcPr>
            <w:tcW w:w="0" w:type="auto"/>
            <w:tcBorders>
              <w:top w:val="single" w:sz="6" w:space="0" w:color="000000"/>
              <w:left w:val="single" w:sz="6" w:space="0" w:color="000000"/>
              <w:bottom w:val="single" w:sz="6" w:space="0" w:color="000000"/>
              <w:right w:val="single" w:sz="6" w:space="0" w:color="000000"/>
            </w:tcBorders>
            <w:hideMark/>
          </w:tcPr>
          <w:p w14:paraId="2DEB0B29" w14:textId="361EB119" w:rsidR="00D93616" w:rsidRPr="00D43281" w:rsidRDefault="006E4F50" w:rsidP="00DF083B">
            <w:pPr>
              <w:spacing w:before="60" w:after="60" w:line="240" w:lineRule="auto"/>
              <w:ind w:right="195"/>
              <w:jc w:val="center"/>
              <w:rPr>
                <w:rFonts w:ascii="Times New Roman" w:eastAsia="Times New Roman" w:hAnsi="Times New Roman" w:cs="Times New Roman"/>
                <w:b/>
                <w:bCs/>
                <w:sz w:val="24"/>
                <w:szCs w:val="24"/>
                <w:lang w:val="ru-MD" w:eastAsia="ro-MD"/>
              </w:rPr>
            </w:pPr>
            <w:r w:rsidRPr="00D43281">
              <w:rPr>
                <w:rFonts w:ascii="Times New Roman" w:eastAsia="Times New Roman" w:hAnsi="Times New Roman" w:cs="Times New Roman"/>
                <w:b/>
                <w:bCs/>
                <w:sz w:val="24"/>
                <w:szCs w:val="24"/>
                <w:lang w:val="ru-MD" w:eastAsia="ro-MD"/>
              </w:rPr>
              <w:t>Категория</w:t>
            </w:r>
            <w:r w:rsidR="00D93616" w:rsidRPr="00D43281">
              <w:rPr>
                <w:rFonts w:ascii="Times New Roman" w:eastAsia="Times New Roman" w:hAnsi="Times New Roman" w:cs="Times New Roman"/>
                <w:b/>
                <w:bCs/>
                <w:sz w:val="24"/>
                <w:szCs w:val="24"/>
                <w:lang w:val="ru-MD" w:eastAsia="ro-MD"/>
              </w:rPr>
              <w:t xml:space="preserve"> 3</w:t>
            </w:r>
          </w:p>
        </w:tc>
        <w:tc>
          <w:tcPr>
            <w:tcW w:w="0" w:type="auto"/>
            <w:tcBorders>
              <w:top w:val="single" w:sz="6" w:space="0" w:color="000000"/>
              <w:left w:val="single" w:sz="6" w:space="0" w:color="000000"/>
              <w:bottom w:val="single" w:sz="6" w:space="0" w:color="000000"/>
              <w:right w:val="single" w:sz="6" w:space="0" w:color="000000"/>
            </w:tcBorders>
            <w:hideMark/>
          </w:tcPr>
          <w:p w14:paraId="2D17E10A" w14:textId="1DCF51ED" w:rsidR="00D93616" w:rsidRPr="00D43281" w:rsidRDefault="006E4F50" w:rsidP="00DF083B">
            <w:pPr>
              <w:spacing w:before="60" w:after="60" w:line="240" w:lineRule="auto"/>
              <w:ind w:right="195"/>
              <w:jc w:val="center"/>
              <w:rPr>
                <w:rFonts w:ascii="Times New Roman" w:eastAsia="Times New Roman" w:hAnsi="Times New Roman" w:cs="Times New Roman"/>
                <w:b/>
                <w:bCs/>
                <w:sz w:val="24"/>
                <w:szCs w:val="24"/>
                <w:lang w:val="ru-MD" w:eastAsia="ro-MD"/>
              </w:rPr>
            </w:pPr>
            <w:r w:rsidRPr="00D43281">
              <w:rPr>
                <w:rFonts w:ascii="Times New Roman" w:eastAsia="Times New Roman" w:hAnsi="Times New Roman" w:cs="Times New Roman"/>
                <w:b/>
                <w:bCs/>
                <w:sz w:val="24"/>
                <w:szCs w:val="24"/>
                <w:lang w:val="ru-MD" w:eastAsia="ro-MD"/>
              </w:rPr>
              <w:t>Категория</w:t>
            </w:r>
            <w:r w:rsidR="00D93616" w:rsidRPr="00D43281">
              <w:rPr>
                <w:rFonts w:ascii="Times New Roman" w:eastAsia="Times New Roman" w:hAnsi="Times New Roman" w:cs="Times New Roman"/>
                <w:b/>
                <w:bCs/>
                <w:sz w:val="24"/>
                <w:szCs w:val="24"/>
                <w:lang w:val="ru-MD" w:eastAsia="ro-MD"/>
              </w:rPr>
              <w:t xml:space="preserve"> 4</w:t>
            </w:r>
          </w:p>
        </w:tc>
      </w:tr>
      <w:tr w:rsidR="00C87050" w:rsidRPr="00D43281" w14:paraId="13540660"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73EA255B" w14:textId="2684A790" w:rsidR="00D93616" w:rsidRPr="00D43281" w:rsidRDefault="00F47A0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b/>
                <w:bCs/>
                <w:sz w:val="24"/>
                <w:szCs w:val="24"/>
                <w:lang w:val="ru-MD" w:eastAsia="ro-MD"/>
              </w:rPr>
              <w:t>Фактор: финансовая устойчивость</w:t>
            </w:r>
          </w:p>
        </w:tc>
        <w:tc>
          <w:tcPr>
            <w:tcW w:w="0" w:type="auto"/>
            <w:tcBorders>
              <w:top w:val="single" w:sz="6" w:space="0" w:color="000000"/>
              <w:left w:val="single" w:sz="6" w:space="0" w:color="000000"/>
              <w:bottom w:val="single" w:sz="6" w:space="0" w:color="000000"/>
              <w:right w:val="single" w:sz="6" w:space="0" w:color="000000"/>
            </w:tcBorders>
            <w:hideMark/>
          </w:tcPr>
          <w:p w14:paraId="78A8129C"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2DEE2EE"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BB4B2D5"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E3D5E35"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r>
      <w:tr w:rsidR="00C87050" w:rsidRPr="00D43281" w14:paraId="5ECF1A3A"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81"/>
            </w:tblGrid>
            <w:tr w:rsidR="00D93616" w:rsidRPr="00D43281" w14:paraId="38E3148C" w14:textId="77777777" w:rsidTr="00DF083B">
              <w:tc>
                <w:tcPr>
                  <w:tcW w:w="0" w:type="auto"/>
                  <w:hideMark/>
                </w:tcPr>
                <w:p w14:paraId="198552BD" w14:textId="1845B523" w:rsidR="00D93616" w:rsidRPr="00D43281" w:rsidRDefault="002B2CC8" w:rsidP="00DF083B">
                  <w:pPr>
                    <w:spacing w:before="120" w:after="0" w:line="240" w:lineRule="auto"/>
                    <w:ind w:right="-15"/>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1.</w:t>
                  </w:r>
                </w:p>
              </w:tc>
              <w:tc>
                <w:tcPr>
                  <w:tcW w:w="0" w:type="auto"/>
                  <w:hideMark/>
                </w:tcPr>
                <w:p w14:paraId="2AC3E98A" w14:textId="1E0EB40A" w:rsidR="00D93616" w:rsidRPr="00D43281" w:rsidRDefault="005F5321" w:rsidP="00DF083B">
                  <w:pPr>
                    <w:spacing w:before="120" w:after="0" w:line="240" w:lineRule="auto"/>
                    <w:ind w:right="-15"/>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рыночные условия</w:t>
                  </w:r>
                </w:p>
              </w:tc>
            </w:tr>
          </w:tbl>
          <w:p w14:paraId="7A980849"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582D906" w14:textId="4B10F5CB" w:rsidR="00D93616" w:rsidRPr="00D43281" w:rsidRDefault="00257303" w:rsidP="00DF083B">
            <w:pPr>
              <w:tabs>
                <w:tab w:val="left" w:pos="1787"/>
              </w:tabs>
              <w:spacing w:before="60" w:after="60" w:line="240" w:lineRule="auto"/>
              <w:ind w:left="87"/>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В настоящее время спрос и предложение на данный тип проекта и местоположение находятся в равновесии. Количество конкурирующих товаров, поступающих на рынок, меньше или равно прогнозируемому спросу.</w:t>
            </w:r>
          </w:p>
        </w:tc>
        <w:tc>
          <w:tcPr>
            <w:tcW w:w="0" w:type="auto"/>
            <w:tcBorders>
              <w:top w:val="single" w:sz="6" w:space="0" w:color="000000"/>
              <w:left w:val="single" w:sz="6" w:space="0" w:color="000000"/>
              <w:bottom w:val="single" w:sz="6" w:space="0" w:color="000000"/>
              <w:right w:val="single" w:sz="6" w:space="0" w:color="000000"/>
            </w:tcBorders>
            <w:hideMark/>
          </w:tcPr>
          <w:p w14:paraId="77CC826F" w14:textId="2267D476" w:rsidR="00D93616" w:rsidRPr="00D43281" w:rsidRDefault="0025730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В настоящее время спрос и предложение на данный тип проекта и местоположение находятся в равновесии. Количество конкурирующих товаров, поступающих на рынок, приблизительно равно прогнозируемому спросу.</w:t>
            </w:r>
          </w:p>
        </w:tc>
        <w:tc>
          <w:tcPr>
            <w:tcW w:w="0" w:type="auto"/>
            <w:tcBorders>
              <w:top w:val="single" w:sz="6" w:space="0" w:color="000000"/>
              <w:left w:val="single" w:sz="6" w:space="0" w:color="000000"/>
              <w:bottom w:val="single" w:sz="6" w:space="0" w:color="000000"/>
              <w:right w:val="single" w:sz="6" w:space="0" w:color="000000"/>
            </w:tcBorders>
            <w:hideMark/>
          </w:tcPr>
          <w:p w14:paraId="7BB4D28F" w14:textId="2F6695F3" w:rsidR="00D93616" w:rsidRPr="00D43281" w:rsidRDefault="0025730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Рыночные условия в целом находятся в равновесии. На рынок выходят конкурирующие товары, а другие товары находятся на стадии планирования. Конструкция и возможности существующих аналогичных товаров не так технологически развиты, как новые проекты.</w:t>
            </w:r>
          </w:p>
        </w:tc>
        <w:tc>
          <w:tcPr>
            <w:tcW w:w="0" w:type="auto"/>
            <w:tcBorders>
              <w:top w:val="single" w:sz="6" w:space="0" w:color="000000"/>
              <w:left w:val="single" w:sz="6" w:space="0" w:color="000000"/>
              <w:bottom w:val="single" w:sz="6" w:space="0" w:color="000000"/>
              <w:right w:val="single" w:sz="6" w:space="0" w:color="000000"/>
            </w:tcBorders>
            <w:hideMark/>
          </w:tcPr>
          <w:p w14:paraId="62FEAA10" w14:textId="0298DF26" w:rsidR="00D93616" w:rsidRPr="00D43281" w:rsidRDefault="0072649D"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Рыночная ситуация неблагоприятна. Сроки улучшения ситуации и возвращения к равновесию неопределенны. Аналогичные объекты недвижимости теряют арендаторов по мере истечения сроков аренды. Условия новых договоров аренды аналогичных объектов менее выгодны по сравнению с существующими.</w:t>
            </w:r>
          </w:p>
        </w:tc>
      </w:tr>
      <w:tr w:rsidR="00C87050" w:rsidRPr="00D43281" w14:paraId="47175173"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59"/>
              <w:gridCol w:w="1702"/>
            </w:tblGrid>
            <w:tr w:rsidR="00D93616" w:rsidRPr="00D43281" w14:paraId="53EE7E5E" w14:textId="77777777" w:rsidTr="00637724">
              <w:trPr>
                <w:trHeight w:val="1939"/>
              </w:trPr>
              <w:tc>
                <w:tcPr>
                  <w:tcW w:w="0" w:type="auto"/>
                  <w:hideMark/>
                </w:tcPr>
                <w:p w14:paraId="4A2E0AEC" w14:textId="03CD320D" w:rsidR="00D93616" w:rsidRPr="00D43281" w:rsidRDefault="002E7A8D" w:rsidP="002E7A8D">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2.</w:t>
                  </w:r>
                </w:p>
              </w:tc>
              <w:tc>
                <w:tcPr>
                  <w:tcW w:w="0" w:type="auto"/>
                  <w:hideMark/>
                </w:tcPr>
                <w:p w14:paraId="6365D021" w14:textId="4E7A3F1E" w:rsidR="00D93616" w:rsidRPr="00D43281" w:rsidRDefault="00F84724" w:rsidP="00637724">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финансовые показатели, то есть индикаторы, демонстрирующие способность должника погашать свои долги</w:t>
                  </w:r>
                </w:p>
              </w:tc>
            </w:tr>
          </w:tbl>
          <w:p w14:paraId="7F72CA11"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1BED9EC" w14:textId="1E394793" w:rsidR="00D93616" w:rsidRPr="00D43281" w:rsidRDefault="00F84724" w:rsidP="00DF083B">
            <w:pPr>
              <w:tabs>
                <w:tab w:val="left" w:pos="1787"/>
              </w:tabs>
              <w:spacing w:before="60" w:after="60" w:line="240" w:lineRule="auto"/>
              <w:ind w:firstLine="87"/>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Финансовые показатели актива, представленные коэффициентом покрытия обслуживания долга (DSCR) или коэффициентом покрытия процентных платежей (ICR), считаются высокими и, как ожидается, останутся таковыми, учитывая прошлые результаты этих показателей. </w:t>
            </w:r>
            <w:r w:rsidRPr="00D43281">
              <w:rPr>
                <w:rFonts w:ascii="Times New Roman" w:eastAsia="Times New Roman" w:hAnsi="Times New Roman" w:cs="Times New Roman"/>
                <w:sz w:val="24"/>
                <w:szCs w:val="24"/>
                <w:lang w:val="ru-MD" w:eastAsia="ro-MD"/>
              </w:rPr>
              <w:lastRenderedPageBreak/>
              <w:t>DSCR или ICR не имеют отношения к рассматриваемым активам и не должны рассчитываться для активов, находящихся в стадии строительства.</w:t>
            </w:r>
          </w:p>
        </w:tc>
        <w:tc>
          <w:tcPr>
            <w:tcW w:w="0" w:type="auto"/>
            <w:tcBorders>
              <w:top w:val="single" w:sz="6" w:space="0" w:color="000000"/>
              <w:left w:val="single" w:sz="6" w:space="0" w:color="000000"/>
              <w:bottom w:val="single" w:sz="6" w:space="0" w:color="000000"/>
              <w:right w:val="single" w:sz="6" w:space="0" w:color="000000"/>
            </w:tcBorders>
            <w:hideMark/>
          </w:tcPr>
          <w:p w14:paraId="41BB145E" w14:textId="7F2313CD" w:rsidR="00D93616" w:rsidRPr="00D43281" w:rsidRDefault="00F84724"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Финансовые показатели актива, представленные коэффициентами DSCR или ICR, считаются адекватными и, как ожидается, останутся таковыми, учитывая прошлую динамику финансовых показателей. Коэффициенты DSCR или ICR неактуальны и не должны рассчитываться </w:t>
            </w:r>
            <w:r w:rsidRPr="00D43281">
              <w:rPr>
                <w:rFonts w:ascii="Times New Roman" w:eastAsia="Times New Roman" w:hAnsi="Times New Roman" w:cs="Times New Roman"/>
                <w:sz w:val="24"/>
                <w:szCs w:val="24"/>
                <w:lang w:val="ru-MD" w:eastAsia="ro-MD"/>
              </w:rPr>
              <w:lastRenderedPageBreak/>
              <w:t>для активов, находящихся в стадии строительства.</w:t>
            </w:r>
          </w:p>
        </w:tc>
        <w:tc>
          <w:tcPr>
            <w:tcW w:w="0" w:type="auto"/>
            <w:tcBorders>
              <w:top w:val="single" w:sz="6" w:space="0" w:color="000000"/>
              <w:left w:val="single" w:sz="6" w:space="0" w:color="000000"/>
              <w:bottom w:val="single" w:sz="6" w:space="0" w:color="000000"/>
              <w:right w:val="single" w:sz="6" w:space="0" w:color="000000"/>
            </w:tcBorders>
            <w:hideMark/>
          </w:tcPr>
          <w:p w14:paraId="410927B3" w14:textId="3B32018C" w:rsidR="00D93616" w:rsidRPr="00D43281" w:rsidRDefault="00A6322B"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Финансовые показатели актива, представленные коэффициентами DSCR или ICR, считаются удовлетворительными и, как ожидается, останутся таковыми, учитывая прошлую динамику финансовых показателей. Коэффициенты DSCR или ICR неактуальны и не должны </w:t>
            </w:r>
            <w:r w:rsidRPr="00D43281">
              <w:rPr>
                <w:rFonts w:ascii="Times New Roman" w:eastAsia="Times New Roman" w:hAnsi="Times New Roman" w:cs="Times New Roman"/>
                <w:sz w:val="24"/>
                <w:szCs w:val="24"/>
                <w:lang w:val="ru-MD" w:eastAsia="ro-MD"/>
              </w:rPr>
              <w:lastRenderedPageBreak/>
              <w:t>рассчитываться для активов, находящихся в стадии строительства.</w:t>
            </w:r>
          </w:p>
        </w:tc>
        <w:tc>
          <w:tcPr>
            <w:tcW w:w="0" w:type="auto"/>
            <w:tcBorders>
              <w:top w:val="single" w:sz="6" w:space="0" w:color="000000"/>
              <w:left w:val="single" w:sz="6" w:space="0" w:color="000000"/>
              <w:bottom w:val="single" w:sz="6" w:space="0" w:color="000000"/>
              <w:right w:val="single" w:sz="6" w:space="0" w:color="000000"/>
            </w:tcBorders>
            <w:hideMark/>
          </w:tcPr>
          <w:p w14:paraId="1744D7CB" w14:textId="190F5451" w:rsidR="00D93616" w:rsidRPr="00D43281" w:rsidRDefault="00A6322B"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Финансовые показатели актива, представленные коэффициентами DSCR или ICR, считаются неудовлетворительными и, как ожидается, останутся таковыми, учитывая прошлую динамику финансовых показателей. Коэффициенты DSCR или ICR неактуальны и не должны </w:t>
            </w:r>
            <w:r w:rsidRPr="00D43281">
              <w:rPr>
                <w:rFonts w:ascii="Times New Roman" w:eastAsia="Times New Roman" w:hAnsi="Times New Roman" w:cs="Times New Roman"/>
                <w:sz w:val="24"/>
                <w:szCs w:val="24"/>
                <w:lang w:val="ru-MD" w:eastAsia="ro-MD"/>
              </w:rPr>
              <w:lastRenderedPageBreak/>
              <w:t>рассчитываться для активов, находящихся в стадии строительства.</w:t>
            </w:r>
          </w:p>
        </w:tc>
      </w:tr>
      <w:tr w:rsidR="00C87050" w:rsidRPr="00D43281" w14:paraId="65AA9FEC"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81"/>
            </w:tblGrid>
            <w:tr w:rsidR="00D93616" w:rsidRPr="00D43281" w14:paraId="06820593" w14:textId="77777777" w:rsidTr="002E7A8D">
              <w:tc>
                <w:tcPr>
                  <w:tcW w:w="0" w:type="auto"/>
                  <w:hideMark/>
                </w:tcPr>
                <w:p w14:paraId="649C8649" w14:textId="6712F6B5" w:rsidR="00D93616" w:rsidRPr="00D43281" w:rsidRDefault="002E7A8D"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3.</w:t>
                  </w:r>
                </w:p>
              </w:tc>
              <w:tc>
                <w:tcPr>
                  <w:tcW w:w="0" w:type="auto"/>
                  <w:hideMark/>
                </w:tcPr>
                <w:p w14:paraId="63D892BB" w14:textId="083A4166" w:rsidR="00D93616" w:rsidRPr="00D43281" w:rsidRDefault="00DD0C08" w:rsidP="002E7A8D">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коэффициент авансирования, то есть отношение суммы выданного кредита к стоимости залога по кредиту (LTV), которое указывает на готовность заемщика к погашению</w:t>
                  </w:r>
                </w:p>
              </w:tc>
            </w:tr>
          </w:tbl>
          <w:p w14:paraId="451C929F"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431BCC5" w14:textId="114967D8" w:rsidR="00D93616" w:rsidRPr="00D43281" w:rsidRDefault="00DD0C08" w:rsidP="00DF083B">
            <w:pPr>
              <w:tabs>
                <w:tab w:val="left" w:pos="1787"/>
              </w:tabs>
              <w:spacing w:before="60" w:after="60" w:line="240" w:lineRule="auto"/>
              <w:ind w:firstLine="87"/>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Коэффициент LTV актива считается низким, учитывая его тип. При наличии вторичного рынка сделка оценивается по рыночным стандартам.</w:t>
            </w:r>
          </w:p>
        </w:tc>
        <w:tc>
          <w:tcPr>
            <w:tcW w:w="0" w:type="auto"/>
            <w:tcBorders>
              <w:top w:val="single" w:sz="6" w:space="0" w:color="000000"/>
              <w:left w:val="single" w:sz="6" w:space="0" w:color="000000"/>
              <w:bottom w:val="single" w:sz="6" w:space="0" w:color="000000"/>
              <w:right w:val="single" w:sz="6" w:space="0" w:color="000000"/>
            </w:tcBorders>
            <w:hideMark/>
          </w:tcPr>
          <w:p w14:paraId="3323B7B2" w14:textId="07186122" w:rsidR="00D93616" w:rsidRPr="00D43281" w:rsidRDefault="00DD0C08"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Соотношение суммы кредита к стоимости залога (LTV) считается удовлетворительным, учитывая тип актива. При наличии вторичного рынка сделка осуществляется в соответствии с рыночными стандартами.</w:t>
            </w:r>
          </w:p>
        </w:tc>
        <w:tc>
          <w:tcPr>
            <w:tcW w:w="0" w:type="auto"/>
            <w:tcBorders>
              <w:top w:val="single" w:sz="6" w:space="0" w:color="000000"/>
              <w:left w:val="single" w:sz="6" w:space="0" w:color="000000"/>
              <w:bottom w:val="single" w:sz="6" w:space="0" w:color="000000"/>
              <w:right w:val="single" w:sz="6" w:space="0" w:color="000000"/>
            </w:tcBorders>
            <w:hideMark/>
          </w:tcPr>
          <w:p w14:paraId="7C4AF151" w14:textId="2437EF07" w:rsidR="00D93616" w:rsidRPr="00D43281" w:rsidRDefault="005E10DB"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Показатель LTV актива считается относительно высоким, учитывая его тип.</w:t>
            </w:r>
          </w:p>
        </w:tc>
        <w:tc>
          <w:tcPr>
            <w:tcW w:w="0" w:type="auto"/>
            <w:tcBorders>
              <w:top w:val="single" w:sz="6" w:space="0" w:color="000000"/>
              <w:left w:val="single" w:sz="6" w:space="0" w:color="000000"/>
              <w:bottom w:val="single" w:sz="6" w:space="0" w:color="000000"/>
              <w:right w:val="single" w:sz="6" w:space="0" w:color="000000"/>
            </w:tcBorders>
            <w:hideMark/>
          </w:tcPr>
          <w:p w14:paraId="62189F78" w14:textId="27D98645" w:rsidR="00D93616" w:rsidRPr="00D43281" w:rsidRDefault="005E10DB"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Показатель LTV актива значительно превышает стандарты андеррайтинга для новых кредитов.</w:t>
            </w:r>
          </w:p>
        </w:tc>
      </w:tr>
      <w:tr w:rsidR="00C87050" w:rsidRPr="00D43281" w14:paraId="35CD8A6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68"/>
              <w:gridCol w:w="1693"/>
            </w:tblGrid>
            <w:tr w:rsidR="00D93616" w:rsidRPr="00D43281" w14:paraId="3AE5420C" w14:textId="77777777" w:rsidTr="00DF083B">
              <w:tc>
                <w:tcPr>
                  <w:tcW w:w="0" w:type="auto"/>
                  <w:hideMark/>
                </w:tcPr>
                <w:p w14:paraId="5DC61F10" w14:textId="72CF6361" w:rsidR="00D93616" w:rsidRPr="00D43281" w:rsidRDefault="002E7A8D"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4.</w:t>
                  </w:r>
                </w:p>
              </w:tc>
              <w:tc>
                <w:tcPr>
                  <w:tcW w:w="0" w:type="auto"/>
                  <w:hideMark/>
                </w:tcPr>
                <w:p w14:paraId="14A28C18" w14:textId="576D3570" w:rsidR="00D93616" w:rsidRPr="00D43281" w:rsidRDefault="000F501E" w:rsidP="002E7A8D">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чувствительность к стрессовым факторам, основанная на доходе, полученном за весь срок действия кредита</w:t>
                  </w:r>
                </w:p>
              </w:tc>
            </w:tr>
          </w:tbl>
          <w:p w14:paraId="08238B39"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6A0BA69" w14:textId="6D66F088" w:rsidR="00D93616" w:rsidRPr="00D43281" w:rsidRDefault="000F501E" w:rsidP="00DF083B">
            <w:pPr>
              <w:tabs>
                <w:tab w:val="left" w:pos="1787"/>
              </w:tabs>
              <w:spacing w:before="60" w:after="60" w:line="240" w:lineRule="auto"/>
              <w:ind w:firstLine="87"/>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Ресурсы активов, резервы и структура задолженности позволяют ей выполнять свои финансовые обязательства в период сильного финансового стресса (например, в плане процентных ставок, экономического роста).</w:t>
            </w:r>
          </w:p>
        </w:tc>
        <w:tc>
          <w:tcPr>
            <w:tcW w:w="0" w:type="auto"/>
            <w:tcBorders>
              <w:top w:val="single" w:sz="6" w:space="0" w:color="000000"/>
              <w:left w:val="single" w:sz="6" w:space="0" w:color="000000"/>
              <w:bottom w:val="single" w:sz="6" w:space="0" w:color="000000"/>
              <w:right w:val="single" w:sz="6" w:space="0" w:color="000000"/>
            </w:tcBorders>
            <w:hideMark/>
          </w:tcPr>
          <w:p w14:paraId="6F1C2A87" w14:textId="55B17851" w:rsidR="00D93616" w:rsidRPr="00D43281" w:rsidRDefault="000F501E"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Актив способен выполнять свои финансовые обязательства в период длительной финансовой нестабильности (например, в плане процентных ставок, экономического роста). Вероятность дефолта по активу высока только в очень сложных экономических условиях.</w:t>
            </w:r>
          </w:p>
        </w:tc>
        <w:tc>
          <w:tcPr>
            <w:tcW w:w="0" w:type="auto"/>
            <w:tcBorders>
              <w:top w:val="single" w:sz="6" w:space="0" w:color="000000"/>
              <w:left w:val="single" w:sz="6" w:space="0" w:color="000000"/>
              <w:bottom w:val="single" w:sz="6" w:space="0" w:color="000000"/>
              <w:right w:val="single" w:sz="6" w:space="0" w:color="000000"/>
            </w:tcBorders>
            <w:hideMark/>
          </w:tcPr>
          <w:p w14:paraId="26987BD3" w14:textId="0D551BB7" w:rsidR="00D93616" w:rsidRPr="00D43281" w:rsidRDefault="00210701"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В период экономического спада доходность актива снизится, что значительно повысит риск неплатежеспособности.</w:t>
            </w:r>
          </w:p>
        </w:tc>
        <w:tc>
          <w:tcPr>
            <w:tcW w:w="0" w:type="auto"/>
            <w:tcBorders>
              <w:top w:val="single" w:sz="6" w:space="0" w:color="000000"/>
              <w:left w:val="single" w:sz="6" w:space="0" w:color="000000"/>
              <w:bottom w:val="single" w:sz="6" w:space="0" w:color="000000"/>
              <w:right w:val="single" w:sz="6" w:space="0" w:color="000000"/>
            </w:tcBorders>
            <w:hideMark/>
          </w:tcPr>
          <w:p w14:paraId="42D30E04" w14:textId="2C8699A1" w:rsidR="00D93616" w:rsidRPr="00D43281" w:rsidRDefault="00210701"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Финансовое положение актива напряженное, и существует вероятность дефолта, если ситуация в ближайшее время не улучшится.</w:t>
            </w:r>
          </w:p>
        </w:tc>
      </w:tr>
      <w:tr w:rsidR="00C87050" w:rsidRPr="00D43281" w14:paraId="2BA531A2"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76"/>
              <w:gridCol w:w="1685"/>
            </w:tblGrid>
            <w:tr w:rsidR="00D93616" w:rsidRPr="00D43281" w14:paraId="54BD351B" w14:textId="77777777" w:rsidTr="00DF083B">
              <w:tc>
                <w:tcPr>
                  <w:tcW w:w="0" w:type="auto"/>
                  <w:hideMark/>
                </w:tcPr>
                <w:p w14:paraId="2943F1FB" w14:textId="1F9D9EED" w:rsidR="00D93616" w:rsidRPr="00D43281" w:rsidRDefault="002E7A8D"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5.</w:t>
                  </w:r>
                </w:p>
              </w:tc>
              <w:tc>
                <w:tcPr>
                  <w:tcW w:w="0" w:type="auto"/>
                  <w:hideMark/>
                </w:tcPr>
                <w:p w14:paraId="2EA6EC1F" w14:textId="046959EC" w:rsidR="00D93616" w:rsidRPr="00D43281" w:rsidRDefault="004238BB" w:rsidP="00637724">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предсказуемост</w:t>
                  </w:r>
                  <w:r w:rsidRPr="00D43281">
                    <w:rPr>
                      <w:rFonts w:ascii="Times New Roman" w:eastAsia="Times New Roman" w:hAnsi="Times New Roman" w:cs="Times New Roman"/>
                      <w:sz w:val="24"/>
                      <w:szCs w:val="24"/>
                      <w:lang w:val="ru-MD" w:eastAsia="ro-MD"/>
                    </w:rPr>
                    <w:lastRenderedPageBreak/>
                    <w:t>ь денежных потоков</w:t>
                  </w:r>
                </w:p>
              </w:tc>
            </w:tr>
          </w:tbl>
          <w:p w14:paraId="79AB3076"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376F0F09" w14:textId="77777777" w:rsidR="00D93616" w:rsidRPr="00D43281" w:rsidRDefault="00D93616" w:rsidP="00DF083B">
            <w:pPr>
              <w:tabs>
                <w:tab w:val="left" w:pos="1787"/>
              </w:tabs>
              <w:spacing w:before="120" w:after="0" w:line="240" w:lineRule="auto"/>
              <w:ind w:firstLine="87"/>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w:t>
            </w:r>
          </w:p>
        </w:tc>
        <w:tc>
          <w:tcPr>
            <w:tcW w:w="0" w:type="auto"/>
            <w:tcBorders>
              <w:top w:val="single" w:sz="6" w:space="0" w:color="000000"/>
              <w:left w:val="single" w:sz="6" w:space="0" w:color="000000"/>
              <w:bottom w:val="single" w:sz="6" w:space="0" w:color="000000"/>
              <w:right w:val="single" w:sz="6" w:space="0" w:color="000000"/>
            </w:tcBorders>
            <w:hideMark/>
          </w:tcPr>
          <w:p w14:paraId="3AA0A2F6"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F989747"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5BF04573"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r>
      <w:tr w:rsidR="00C87050" w:rsidRPr="00D43281" w14:paraId="046C350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855"/>
            </w:tblGrid>
            <w:tr w:rsidR="00D93616" w:rsidRPr="00D43281" w14:paraId="579E7A7E" w14:textId="77777777" w:rsidTr="00DF083B">
              <w:tc>
                <w:tcPr>
                  <w:tcW w:w="0" w:type="auto"/>
                  <w:hideMark/>
                </w:tcPr>
                <w:p w14:paraId="7B6DDA0E" w14:textId="39ACE285"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p>
              </w:tc>
              <w:tc>
                <w:tcPr>
                  <w:tcW w:w="0" w:type="auto"/>
                  <w:hideMark/>
                </w:tcPr>
                <w:p w14:paraId="405352DB" w14:textId="02CD8930" w:rsidR="00D93616" w:rsidRPr="00D43281" w:rsidRDefault="00871A75" w:rsidP="0056419D">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5.1.</w:t>
                  </w:r>
                  <w:r w:rsidR="004238BB" w:rsidRPr="00D43281">
                    <w:rPr>
                      <w:sz w:val="24"/>
                      <w:szCs w:val="24"/>
                      <w:lang w:val="ru-MD"/>
                    </w:rPr>
                    <w:t xml:space="preserve"> </w:t>
                  </w:r>
                  <w:r w:rsidR="004238BB" w:rsidRPr="00D43281">
                    <w:rPr>
                      <w:rFonts w:ascii="Times New Roman" w:eastAsia="Times New Roman" w:hAnsi="Times New Roman" w:cs="Times New Roman"/>
                      <w:sz w:val="24"/>
                      <w:szCs w:val="24"/>
                      <w:lang w:val="ru-MD" w:eastAsia="ro-MD"/>
                    </w:rPr>
                    <w:t>Для полного актива, ситуация которого стабилизировалась (</w:t>
                  </w:r>
                  <w:proofErr w:type="spellStart"/>
                  <w:r w:rsidR="004238BB" w:rsidRPr="00D43281">
                    <w:rPr>
                      <w:rFonts w:ascii="Times New Roman" w:eastAsia="Times New Roman" w:hAnsi="Times New Roman" w:cs="Times New Roman"/>
                      <w:sz w:val="24"/>
                      <w:szCs w:val="24"/>
                      <w:lang w:val="ru-MD" w:eastAsia="ro-MD"/>
                    </w:rPr>
                    <w:t>подфакторная</w:t>
                  </w:r>
                  <w:proofErr w:type="spellEnd"/>
                  <w:r w:rsidR="004238BB" w:rsidRPr="00D43281">
                    <w:rPr>
                      <w:rFonts w:ascii="Times New Roman" w:eastAsia="Times New Roman" w:hAnsi="Times New Roman" w:cs="Times New Roman"/>
                      <w:sz w:val="24"/>
                      <w:szCs w:val="24"/>
                      <w:lang w:val="ru-MD" w:eastAsia="ro-MD"/>
                    </w:rPr>
                    <w:t xml:space="preserve"> составляющая)</w:t>
                  </w:r>
                </w:p>
              </w:tc>
            </w:tr>
          </w:tbl>
          <w:p w14:paraId="75CE12EE"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176C9709" w14:textId="77777777" w:rsidR="00F15F2E" w:rsidRPr="00D43281" w:rsidRDefault="00F15F2E" w:rsidP="00DF083B">
            <w:pPr>
              <w:tabs>
                <w:tab w:val="left" w:pos="1787"/>
              </w:tabs>
              <w:spacing w:before="60" w:after="60" w:line="240" w:lineRule="auto"/>
              <w:ind w:firstLine="87"/>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Договоры аренды, касающиеся недвижимости, заключаются на долгосрочной основе с платежеспособными арендаторами, а сроки погашения договоров распределяются поровну, или значительная часть договоров аренды гарантируется государственно-частным партнерством.</w:t>
            </w:r>
          </w:p>
          <w:p w14:paraId="43548475" w14:textId="10CC5EF7" w:rsidR="00D93616" w:rsidRPr="00D43281" w:rsidRDefault="00F15F2E" w:rsidP="00F15F2E">
            <w:pPr>
              <w:tabs>
                <w:tab w:val="left" w:pos="1787"/>
              </w:tabs>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Объект недвижимости имеет историю сохранения арендаторов после истечения сроков аренды. Уровень заполняемости высок. Расходы (техническое обслуживание, страхование, охрана и налоги на недвижимость) предсказуемы.</w:t>
            </w:r>
          </w:p>
        </w:tc>
        <w:tc>
          <w:tcPr>
            <w:tcW w:w="0" w:type="auto"/>
            <w:tcBorders>
              <w:top w:val="single" w:sz="6" w:space="0" w:color="000000"/>
              <w:left w:val="single" w:sz="6" w:space="0" w:color="000000"/>
              <w:bottom w:val="single" w:sz="6" w:space="0" w:color="000000"/>
              <w:right w:val="single" w:sz="6" w:space="0" w:color="000000"/>
            </w:tcBorders>
            <w:hideMark/>
          </w:tcPr>
          <w:p w14:paraId="39253B9A" w14:textId="77777777" w:rsidR="00715BBD" w:rsidRPr="00D43281" w:rsidRDefault="00715BB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В большинстве случаев недвижимость сдается в долгосрочную аренду нескольким арендаторам, которые в среднем обладают высокой кредитоспособностью, а сроки погашения распределены равномерно. Часть договоров аренды может гарантировать государственно-частное партнерство. Если недвижимость сдается в аренду одному арендатору или значительная часть дохода, получаемого от недвижимости, поступает от одного арендатора, то этот арендатор обладает отличной кредитоспособностью, и договор включает пункты, гарантирующие арендные платежи до конца срока эксплуатации объекта или даже дольше.</w:t>
            </w:r>
          </w:p>
          <w:p w14:paraId="340C9BD6" w14:textId="63EEAED5" w:rsidR="00D93616" w:rsidRPr="00D43281" w:rsidRDefault="00715BB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В данном объекте недвижимости наблюдается нормальный уровень текучести арендаторов после истечения срока аренды. Уровень заполняемости высокий. Расходы предсказуемы.</w:t>
            </w:r>
          </w:p>
        </w:tc>
        <w:tc>
          <w:tcPr>
            <w:tcW w:w="0" w:type="auto"/>
            <w:tcBorders>
              <w:top w:val="single" w:sz="6" w:space="0" w:color="000000"/>
              <w:left w:val="single" w:sz="6" w:space="0" w:color="000000"/>
              <w:bottom w:val="single" w:sz="6" w:space="0" w:color="000000"/>
              <w:right w:val="single" w:sz="6" w:space="0" w:color="000000"/>
            </w:tcBorders>
            <w:hideMark/>
          </w:tcPr>
          <w:p w14:paraId="044F61DC" w14:textId="77777777" w:rsidR="00493B4C" w:rsidRPr="00D43281" w:rsidRDefault="00493B4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Большинство договоров аренды на недвижимость заключены на среднесрочную, а не долгосрочную перспективу, и кредитоспособность арендаторов варьируется. Государственно-частное партнерство может гарантировать лишь небольшую часть договоров аренды. В случаях, когда недвижимость сдана в аренду одному арендатору или значительная часть дохода, получаемого от недвижимости, поступает от одного арендатора, договор включает пункты, гарантирующие арендные платежи до конца срока реализации проекта или даже дольше, но при этом арендатор обладает умеренной кредитоспособностью.</w:t>
            </w:r>
          </w:p>
          <w:p w14:paraId="73415F1D" w14:textId="75EF9EEE" w:rsidR="00D93616" w:rsidRPr="00D43281" w:rsidRDefault="00493B4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В данном объекте недвижимости наблюдается умеренная текучесть </w:t>
            </w:r>
            <w:r w:rsidRPr="00D43281">
              <w:rPr>
                <w:rFonts w:ascii="Times New Roman" w:eastAsia="Times New Roman" w:hAnsi="Times New Roman" w:cs="Times New Roman"/>
                <w:sz w:val="24"/>
                <w:szCs w:val="24"/>
                <w:lang w:val="ru-MD" w:eastAsia="ro-MD"/>
              </w:rPr>
              <w:lastRenderedPageBreak/>
              <w:t>арендаторов после истечения срока действия договоров аренды. Уровень заполняемости умеренный. Расходы относительно предсказуемы, но варьируются в зависимости от доходов.</w:t>
            </w:r>
          </w:p>
        </w:tc>
        <w:tc>
          <w:tcPr>
            <w:tcW w:w="0" w:type="auto"/>
            <w:tcBorders>
              <w:top w:val="single" w:sz="6" w:space="0" w:color="000000"/>
              <w:left w:val="single" w:sz="6" w:space="0" w:color="000000"/>
              <w:bottom w:val="single" w:sz="6" w:space="0" w:color="000000"/>
              <w:right w:val="single" w:sz="6" w:space="0" w:color="000000"/>
            </w:tcBorders>
            <w:hideMark/>
          </w:tcPr>
          <w:p w14:paraId="7D343EE5" w14:textId="77777777" w:rsidR="004A7810" w:rsidRPr="00D43281" w:rsidRDefault="004A7810"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Значительная доля краткосрочных договоров аренды с арендаторами с разной кредитоспособностью; наличие одного арендатора или получение значительной части дохода от объекта от одного арендатора; низкая кредитоспособность арендатора и/или отсутствие в договоре необходимых положений, гарантирующих выплату арендной платы до конца срока реализации проекта или после него.</w:t>
            </w:r>
          </w:p>
          <w:p w14:paraId="23F18AF2" w14:textId="498E89EB" w:rsidR="00D93616" w:rsidRPr="00D43281" w:rsidRDefault="004A7810"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В этом объекте недвижимости наблюдается очень высокая текучесть арендаторов после истечения сроков аренды. Уровень заполняемости низкий. Подготовка помещений для новых арендаторов сопряжена со значительными расходами.</w:t>
            </w:r>
          </w:p>
        </w:tc>
      </w:tr>
      <w:tr w:rsidR="00C87050" w:rsidRPr="00D43281" w14:paraId="647E18E9"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5"/>
              <w:gridCol w:w="1856"/>
            </w:tblGrid>
            <w:tr w:rsidR="00D93616" w:rsidRPr="00D43281" w14:paraId="3E8B7560" w14:textId="77777777" w:rsidTr="00DF083B">
              <w:tc>
                <w:tcPr>
                  <w:tcW w:w="0" w:type="auto"/>
                  <w:hideMark/>
                </w:tcPr>
                <w:p w14:paraId="463B9347" w14:textId="24D5D082"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p>
              </w:tc>
              <w:tc>
                <w:tcPr>
                  <w:tcW w:w="0" w:type="auto"/>
                  <w:hideMark/>
                </w:tcPr>
                <w:p w14:paraId="768DF20B" w14:textId="0145B99C" w:rsidR="00D93616" w:rsidRPr="00D43281" w:rsidRDefault="0056419D" w:rsidP="0056419D">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5.2.</w:t>
                  </w:r>
                  <w:r w:rsidR="002D0189" w:rsidRPr="00D43281">
                    <w:rPr>
                      <w:sz w:val="24"/>
                      <w:szCs w:val="24"/>
                      <w:lang w:val="ru-MD"/>
                    </w:rPr>
                    <w:t xml:space="preserve"> </w:t>
                  </w:r>
                  <w:r w:rsidR="002D0189" w:rsidRPr="00D43281">
                    <w:rPr>
                      <w:rFonts w:ascii="Times New Roman" w:eastAsia="Times New Roman" w:hAnsi="Times New Roman" w:cs="Times New Roman"/>
                      <w:sz w:val="24"/>
                      <w:szCs w:val="24"/>
                      <w:lang w:val="ru-MD" w:eastAsia="ro-MD"/>
                    </w:rPr>
                    <w:t>Для полного актива, но не стабилизированного (</w:t>
                  </w:r>
                  <w:proofErr w:type="spellStart"/>
                  <w:r w:rsidR="002D0189" w:rsidRPr="00D43281">
                    <w:rPr>
                      <w:rFonts w:ascii="Times New Roman" w:eastAsia="Times New Roman" w:hAnsi="Times New Roman" w:cs="Times New Roman"/>
                      <w:sz w:val="24"/>
                      <w:szCs w:val="24"/>
                      <w:lang w:val="ru-MD" w:eastAsia="ro-MD"/>
                    </w:rPr>
                    <w:t>подфакторная</w:t>
                  </w:r>
                  <w:proofErr w:type="spellEnd"/>
                  <w:r w:rsidR="002D0189" w:rsidRPr="00D43281">
                    <w:rPr>
                      <w:rFonts w:ascii="Times New Roman" w:eastAsia="Times New Roman" w:hAnsi="Times New Roman" w:cs="Times New Roman"/>
                      <w:sz w:val="24"/>
                      <w:szCs w:val="24"/>
                      <w:lang w:val="ru-MD" w:eastAsia="ro-MD"/>
                    </w:rPr>
                    <w:t xml:space="preserve"> составляющая)</w:t>
                  </w:r>
                </w:p>
              </w:tc>
            </w:tr>
          </w:tbl>
          <w:p w14:paraId="0722B494"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97636EE" w14:textId="20D3C071" w:rsidR="00D93616" w:rsidRPr="00D43281" w:rsidRDefault="005C7035" w:rsidP="00DF083B">
            <w:pPr>
              <w:tabs>
                <w:tab w:val="left" w:pos="1787"/>
              </w:tabs>
              <w:spacing w:before="60" w:after="60" w:line="240" w:lineRule="auto"/>
              <w:ind w:firstLine="87"/>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Денежные потоки от арендной деятельности, например, полученные в рамках государственно-частного партнерства, соответствуют или превышают ожидаемые денежные потоки, использованные при оценке актива. Проект должен стабилизироваться в ближайшем будущем.</w:t>
            </w:r>
          </w:p>
        </w:tc>
        <w:tc>
          <w:tcPr>
            <w:tcW w:w="0" w:type="auto"/>
            <w:tcBorders>
              <w:top w:val="single" w:sz="6" w:space="0" w:color="000000"/>
              <w:left w:val="single" w:sz="6" w:space="0" w:color="000000"/>
              <w:bottom w:val="single" w:sz="6" w:space="0" w:color="000000"/>
              <w:right w:val="single" w:sz="6" w:space="0" w:color="000000"/>
            </w:tcBorders>
            <w:hideMark/>
          </w:tcPr>
          <w:p w14:paraId="272625E6" w14:textId="4669FFFD" w:rsidR="00D93616" w:rsidRPr="00D43281" w:rsidRDefault="005C7035"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Денежные потоки от арендной деятельности, например, полученные в рамках государственно-частного партнерства, соответствуют или превышают ожидаемые денежные потоки, использованные при оценке актива. Проект должен стабилизироваться в ближайшем будущем.</w:t>
            </w:r>
          </w:p>
        </w:tc>
        <w:tc>
          <w:tcPr>
            <w:tcW w:w="0" w:type="auto"/>
            <w:tcBorders>
              <w:top w:val="single" w:sz="6" w:space="0" w:color="000000"/>
              <w:left w:val="single" w:sz="6" w:space="0" w:color="000000"/>
              <w:bottom w:val="single" w:sz="6" w:space="0" w:color="000000"/>
              <w:right w:val="single" w:sz="6" w:space="0" w:color="000000"/>
            </w:tcBorders>
            <w:hideMark/>
          </w:tcPr>
          <w:p w14:paraId="7D88AF6F" w14:textId="09639DC2" w:rsidR="00D93616" w:rsidRPr="00D43281" w:rsidRDefault="005C7035"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Большая часть денежных потоков от арендной деятельности соответствует ожидаемым денежным потокам, использованным при оценке актива; однако стабилизация наступит нескоро.</w:t>
            </w:r>
          </w:p>
        </w:tc>
        <w:tc>
          <w:tcPr>
            <w:tcW w:w="0" w:type="auto"/>
            <w:tcBorders>
              <w:top w:val="single" w:sz="6" w:space="0" w:color="000000"/>
              <w:left w:val="single" w:sz="6" w:space="0" w:color="000000"/>
              <w:bottom w:val="single" w:sz="6" w:space="0" w:color="000000"/>
              <w:right w:val="single" w:sz="6" w:space="0" w:color="000000"/>
            </w:tcBorders>
            <w:hideMark/>
          </w:tcPr>
          <w:p w14:paraId="7FBF2F14" w14:textId="443EA9FD" w:rsidR="00D93616" w:rsidRPr="00D43281" w:rsidRDefault="00874583"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Денежные потоки от арендной деятельности не соответствуют ожидаемым денежным потокам, использованным при оценке недвижимости. Несмотря на достижение целевого уровня заполняемости, коэффициент покрытия денежных потоков низкий из-за неудовлетворительных доходов.</w:t>
            </w:r>
          </w:p>
        </w:tc>
      </w:tr>
      <w:tr w:rsidR="00C87050" w:rsidRPr="00D43281" w14:paraId="6AFF1343"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855"/>
            </w:tblGrid>
            <w:tr w:rsidR="00D93616" w:rsidRPr="00D43281" w14:paraId="2DE2B346" w14:textId="77777777" w:rsidTr="00DF083B">
              <w:tc>
                <w:tcPr>
                  <w:tcW w:w="0" w:type="auto"/>
                  <w:hideMark/>
                </w:tcPr>
                <w:p w14:paraId="548E8C38" w14:textId="64DA46AA"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p>
              </w:tc>
              <w:tc>
                <w:tcPr>
                  <w:tcW w:w="0" w:type="auto"/>
                  <w:hideMark/>
                </w:tcPr>
                <w:p w14:paraId="7BA6178F" w14:textId="33E3373F" w:rsidR="00D93616" w:rsidRPr="00D43281" w:rsidRDefault="0056419D" w:rsidP="0056419D">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5.3.</w:t>
                  </w:r>
                  <w:r w:rsidR="00874583" w:rsidRPr="00D43281">
                    <w:rPr>
                      <w:sz w:val="24"/>
                      <w:szCs w:val="24"/>
                      <w:lang w:val="ru-MD"/>
                    </w:rPr>
                    <w:t xml:space="preserve"> </w:t>
                  </w:r>
                  <w:r w:rsidR="00874583" w:rsidRPr="00D43281">
                    <w:rPr>
                      <w:rFonts w:ascii="Times New Roman" w:eastAsia="Times New Roman" w:hAnsi="Times New Roman" w:cs="Times New Roman"/>
                      <w:sz w:val="24"/>
                      <w:szCs w:val="24"/>
                      <w:lang w:val="ru-MD" w:eastAsia="ro-MD"/>
                    </w:rPr>
                    <w:t xml:space="preserve">Для этапа строительства </w:t>
                  </w:r>
                  <w:r w:rsidR="00D93616" w:rsidRPr="00D43281">
                    <w:rPr>
                      <w:rFonts w:ascii="Times New Roman" w:eastAsia="Times New Roman" w:hAnsi="Times New Roman" w:cs="Times New Roman"/>
                      <w:sz w:val="24"/>
                      <w:szCs w:val="24"/>
                      <w:lang w:val="ru-MD" w:eastAsia="ro-MD"/>
                    </w:rPr>
                    <w:t>(</w:t>
                  </w:r>
                  <w:proofErr w:type="spellStart"/>
                  <w:r w:rsidR="00874583" w:rsidRPr="00D43281">
                    <w:rPr>
                      <w:rFonts w:ascii="Times New Roman" w:eastAsia="Times New Roman" w:hAnsi="Times New Roman" w:cs="Times New Roman"/>
                      <w:sz w:val="24"/>
                      <w:szCs w:val="24"/>
                      <w:lang w:val="ru-MD" w:eastAsia="ro-MD"/>
                    </w:rPr>
                    <w:t>подфакторная</w:t>
                  </w:r>
                  <w:proofErr w:type="spellEnd"/>
                  <w:r w:rsidR="00874583" w:rsidRPr="00D43281">
                    <w:rPr>
                      <w:rFonts w:ascii="Times New Roman" w:eastAsia="Times New Roman" w:hAnsi="Times New Roman" w:cs="Times New Roman"/>
                      <w:sz w:val="24"/>
                      <w:szCs w:val="24"/>
                      <w:lang w:val="ru-MD" w:eastAsia="ro-MD"/>
                    </w:rPr>
                    <w:t xml:space="preserve"> составляющая</w:t>
                  </w:r>
                  <w:r w:rsidR="00D93616" w:rsidRPr="00D43281">
                    <w:rPr>
                      <w:rFonts w:ascii="Times New Roman" w:eastAsia="Times New Roman" w:hAnsi="Times New Roman" w:cs="Times New Roman"/>
                      <w:sz w:val="24"/>
                      <w:szCs w:val="24"/>
                      <w:lang w:val="ru-MD" w:eastAsia="ro-MD"/>
                    </w:rPr>
                    <w:t>)</w:t>
                  </w:r>
                </w:p>
              </w:tc>
            </w:tr>
          </w:tbl>
          <w:p w14:paraId="6D0454AD"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A315F4A" w14:textId="38FC979E" w:rsidR="00D93616" w:rsidRPr="00D43281" w:rsidRDefault="007011BF" w:rsidP="00DF083B">
            <w:pPr>
              <w:tabs>
                <w:tab w:val="left" w:pos="1787"/>
              </w:tabs>
              <w:spacing w:before="60" w:after="60" w:line="240" w:lineRule="auto"/>
              <w:ind w:firstLine="87"/>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Актив полностью сдан в аренду на весь срок кредита или продан досрочно арендатору или покупателю с высокой кредитоспособностью, либо банк принимает на себя обязывающее обязательство </w:t>
            </w:r>
            <w:r w:rsidRPr="00D43281">
              <w:rPr>
                <w:rFonts w:ascii="Times New Roman" w:eastAsia="Times New Roman" w:hAnsi="Times New Roman" w:cs="Times New Roman"/>
                <w:sz w:val="24"/>
                <w:szCs w:val="24"/>
                <w:lang w:val="ru-MD" w:eastAsia="ro-MD"/>
              </w:rPr>
              <w:lastRenderedPageBreak/>
              <w:t>предоставить финансирование, которое принимает на себя арендатор или покупатель с высокой кредитоспособностью, например, в рамках государственно-частного партнерства.</w:t>
            </w:r>
          </w:p>
        </w:tc>
        <w:tc>
          <w:tcPr>
            <w:tcW w:w="0" w:type="auto"/>
            <w:tcBorders>
              <w:top w:val="single" w:sz="6" w:space="0" w:color="000000"/>
              <w:left w:val="single" w:sz="6" w:space="0" w:color="000000"/>
              <w:bottom w:val="single" w:sz="6" w:space="0" w:color="000000"/>
              <w:right w:val="single" w:sz="6" w:space="0" w:color="000000"/>
            </w:tcBorders>
            <w:hideMark/>
          </w:tcPr>
          <w:p w14:paraId="33219032" w14:textId="3F00A0A5" w:rsidR="00D93616" w:rsidRPr="00D43281" w:rsidRDefault="007011BF"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Объект недвижимости полностью сдан в аренду заранее или продан заранее платежеспособному арендатору или покупателю, либо банк имеет обязывающее обязательство предоставить долгосрочное </w:t>
            </w:r>
            <w:r w:rsidRPr="00D43281">
              <w:rPr>
                <w:rFonts w:ascii="Times New Roman" w:eastAsia="Times New Roman" w:hAnsi="Times New Roman" w:cs="Times New Roman"/>
                <w:sz w:val="24"/>
                <w:szCs w:val="24"/>
                <w:lang w:val="ru-MD" w:eastAsia="ro-MD"/>
              </w:rPr>
              <w:lastRenderedPageBreak/>
              <w:t>финансирование, которое принимает на себя платежеспособный кредитор, например, в рамках государственно-частного партнерства.</w:t>
            </w:r>
          </w:p>
        </w:tc>
        <w:tc>
          <w:tcPr>
            <w:tcW w:w="0" w:type="auto"/>
            <w:tcBorders>
              <w:top w:val="single" w:sz="6" w:space="0" w:color="000000"/>
              <w:left w:val="single" w:sz="6" w:space="0" w:color="000000"/>
              <w:bottom w:val="single" w:sz="6" w:space="0" w:color="000000"/>
              <w:right w:val="single" w:sz="6" w:space="0" w:color="000000"/>
            </w:tcBorders>
            <w:hideMark/>
          </w:tcPr>
          <w:p w14:paraId="29A5A0BD" w14:textId="389508BB" w:rsidR="00D93616" w:rsidRPr="00D43281" w:rsidRDefault="00C00E7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Показатели арендной активности находятся в пределах ожидаемых параметров, однако здание может не быть сдано в аренду заранее, и возможно отсутствие финансирования </w:t>
            </w:r>
            <w:r w:rsidRPr="00D43281">
              <w:rPr>
                <w:rFonts w:ascii="Times New Roman" w:eastAsia="Times New Roman" w:hAnsi="Times New Roman" w:cs="Times New Roman"/>
                <w:sz w:val="24"/>
                <w:szCs w:val="24"/>
                <w:lang w:val="ru-MD" w:eastAsia="ro-MD"/>
              </w:rPr>
              <w:lastRenderedPageBreak/>
              <w:t>за счет внешних источников. Банк может выступать в качестве постоянного кредитора.</w:t>
            </w:r>
          </w:p>
        </w:tc>
        <w:tc>
          <w:tcPr>
            <w:tcW w:w="0" w:type="auto"/>
            <w:tcBorders>
              <w:top w:val="single" w:sz="6" w:space="0" w:color="000000"/>
              <w:left w:val="single" w:sz="6" w:space="0" w:color="000000"/>
              <w:bottom w:val="single" w:sz="6" w:space="0" w:color="000000"/>
              <w:right w:val="single" w:sz="6" w:space="0" w:color="000000"/>
            </w:tcBorders>
            <w:hideMark/>
          </w:tcPr>
          <w:p w14:paraId="52142C94" w14:textId="22D91756" w:rsidR="00D93616" w:rsidRPr="00D43281" w:rsidRDefault="00C00E7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Состояние актива ухудшается из-за перерасхода средств, ухудшения рыночной конъюнктуры, расторжения договоров аренды арендаторами или других факторов. Может возникнуть спор со стороной, </w:t>
            </w:r>
            <w:r w:rsidRPr="00D43281">
              <w:rPr>
                <w:rFonts w:ascii="Times New Roman" w:eastAsia="Times New Roman" w:hAnsi="Times New Roman" w:cs="Times New Roman"/>
                <w:sz w:val="24"/>
                <w:szCs w:val="24"/>
                <w:lang w:val="ru-MD" w:eastAsia="ro-MD"/>
              </w:rPr>
              <w:lastRenderedPageBreak/>
              <w:t>предоставляющей текущее финансирование.</w:t>
            </w:r>
          </w:p>
        </w:tc>
      </w:tr>
      <w:tr w:rsidR="00C87050" w:rsidRPr="00D43281" w14:paraId="37C10A09"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5692E7F3" w14:textId="7EC5A009" w:rsidR="00D93616" w:rsidRPr="00D43281" w:rsidRDefault="00931B7F"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b/>
                <w:bCs/>
                <w:sz w:val="24"/>
                <w:szCs w:val="24"/>
                <w:lang w:val="ru-RU" w:eastAsia="ro-MD"/>
              </w:rPr>
              <w:lastRenderedPageBreak/>
              <w:t>Фактор: политическая и правовая среда</w:t>
            </w:r>
          </w:p>
        </w:tc>
        <w:tc>
          <w:tcPr>
            <w:tcW w:w="0" w:type="auto"/>
            <w:tcBorders>
              <w:top w:val="single" w:sz="6" w:space="0" w:color="000000"/>
              <w:left w:val="single" w:sz="6" w:space="0" w:color="000000"/>
              <w:bottom w:val="single" w:sz="6" w:space="0" w:color="000000"/>
              <w:right w:val="single" w:sz="6" w:space="0" w:color="000000"/>
            </w:tcBorders>
            <w:hideMark/>
          </w:tcPr>
          <w:p w14:paraId="5CD943CC" w14:textId="77777777" w:rsidR="00D93616" w:rsidRPr="00D43281" w:rsidRDefault="00D93616" w:rsidP="00DF083B">
            <w:pPr>
              <w:tabs>
                <w:tab w:val="left" w:pos="1787"/>
              </w:tabs>
              <w:spacing w:before="120" w:after="0" w:line="240" w:lineRule="auto"/>
              <w:ind w:firstLine="87"/>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60ABFE1"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56FDB41"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F3B0F27"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r>
      <w:tr w:rsidR="00C87050" w:rsidRPr="00D43281" w14:paraId="72E50B80"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81"/>
            </w:tblGrid>
            <w:tr w:rsidR="00D93616" w:rsidRPr="00D43281" w14:paraId="4731BBA5" w14:textId="77777777" w:rsidTr="00DF083B">
              <w:tc>
                <w:tcPr>
                  <w:tcW w:w="0" w:type="auto"/>
                  <w:hideMark/>
                </w:tcPr>
                <w:p w14:paraId="03AABDF6" w14:textId="4F4EB794" w:rsidR="00D93616" w:rsidRPr="00D43281" w:rsidRDefault="002E7A8D"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1.</w:t>
                  </w:r>
                </w:p>
              </w:tc>
              <w:tc>
                <w:tcPr>
                  <w:tcW w:w="0" w:type="auto"/>
                  <w:hideMark/>
                </w:tcPr>
                <w:p w14:paraId="48462CCE" w14:textId="75279325" w:rsidR="00D93616" w:rsidRPr="00D43281" w:rsidRDefault="00931B7F" w:rsidP="002E7A8D">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правовые и нормативные риски</w:t>
                  </w:r>
                </w:p>
              </w:tc>
            </w:tr>
          </w:tbl>
          <w:p w14:paraId="59F8767E"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BE6998A" w14:textId="4CB611D4" w:rsidR="00D93616" w:rsidRPr="00D43281" w:rsidRDefault="00F63F59" w:rsidP="00DF083B">
            <w:pPr>
              <w:tabs>
                <w:tab w:val="left" w:pos="1787"/>
              </w:tabs>
              <w:spacing w:before="60" w:after="60" w:line="240" w:lineRule="auto"/>
              <w:ind w:firstLine="87"/>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В данной юрисдикции крайне благосклонно относятся к изъятию имущества и принудительному исполнению договоров.</w:t>
            </w:r>
          </w:p>
        </w:tc>
        <w:tc>
          <w:tcPr>
            <w:tcW w:w="0" w:type="auto"/>
            <w:tcBorders>
              <w:top w:val="single" w:sz="6" w:space="0" w:color="000000"/>
              <w:left w:val="single" w:sz="6" w:space="0" w:color="000000"/>
              <w:bottom w:val="single" w:sz="6" w:space="0" w:color="000000"/>
              <w:right w:val="single" w:sz="6" w:space="0" w:color="000000"/>
            </w:tcBorders>
            <w:hideMark/>
          </w:tcPr>
          <w:p w14:paraId="489D0DD6" w14:textId="2B9FFFB4" w:rsidR="00D93616" w:rsidRPr="00D43281" w:rsidRDefault="00F63F5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В данной юрисдикции в целом благосклонно относятся к изъятию имущества и принудительному исполнению договоров.</w:t>
            </w:r>
          </w:p>
        </w:tc>
        <w:tc>
          <w:tcPr>
            <w:tcW w:w="0" w:type="auto"/>
            <w:tcBorders>
              <w:top w:val="single" w:sz="6" w:space="0" w:color="000000"/>
              <w:left w:val="single" w:sz="6" w:space="0" w:color="000000"/>
              <w:bottom w:val="single" w:sz="6" w:space="0" w:color="000000"/>
              <w:right w:val="single" w:sz="6" w:space="0" w:color="000000"/>
            </w:tcBorders>
            <w:hideMark/>
          </w:tcPr>
          <w:p w14:paraId="4C28A841" w14:textId="06930ED0" w:rsidR="00D93616" w:rsidRPr="00D43281" w:rsidRDefault="0011134E"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В данной юрисдикции, как правило, благосклонно относятся к изъятию имущества и принудительному исполнению договоров, однако изъятие имущества может занять много времени и/или быть затруднительным.</w:t>
            </w:r>
          </w:p>
        </w:tc>
        <w:tc>
          <w:tcPr>
            <w:tcW w:w="0" w:type="auto"/>
            <w:tcBorders>
              <w:top w:val="single" w:sz="6" w:space="0" w:color="000000"/>
              <w:left w:val="single" w:sz="6" w:space="0" w:color="000000"/>
              <w:bottom w:val="single" w:sz="6" w:space="0" w:color="000000"/>
              <w:right w:val="single" w:sz="6" w:space="0" w:color="000000"/>
            </w:tcBorders>
            <w:hideMark/>
          </w:tcPr>
          <w:p w14:paraId="4ECB9377" w14:textId="49CDCCA2" w:rsidR="00D93616" w:rsidRPr="00D43281" w:rsidRDefault="0011134E"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Слабая или нестабильная правовая и нормативная среда. Возврат имущества и исполнение договоров могут быть длительными или невозможными в данной юрисдикции.</w:t>
            </w:r>
          </w:p>
        </w:tc>
      </w:tr>
      <w:tr w:rsidR="00C87050" w:rsidRPr="00D43281" w14:paraId="5A5AD95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81"/>
            </w:tblGrid>
            <w:tr w:rsidR="00D93616" w:rsidRPr="00D43281" w14:paraId="45B56D3B" w14:textId="77777777" w:rsidTr="00DF083B">
              <w:tc>
                <w:tcPr>
                  <w:tcW w:w="0" w:type="auto"/>
                  <w:hideMark/>
                </w:tcPr>
                <w:p w14:paraId="57F73472" w14:textId="722FD9F5" w:rsidR="00D93616" w:rsidRPr="00D43281" w:rsidRDefault="002E7A8D"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2.</w:t>
                  </w:r>
                </w:p>
              </w:tc>
              <w:tc>
                <w:tcPr>
                  <w:tcW w:w="0" w:type="auto"/>
                  <w:hideMark/>
                </w:tcPr>
                <w:p w14:paraId="41A3D880" w14:textId="48656363" w:rsidR="00D93616" w:rsidRPr="00D43281" w:rsidRDefault="00AB0954" w:rsidP="002E7A8D">
                  <w:pPr>
                    <w:spacing w:before="120" w:after="0" w:line="240" w:lineRule="auto"/>
                    <w:ind w:right="182"/>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политический риск, включая риск передачи прав, с учетом типа собственности и факторов снижения риска</w:t>
                  </w:r>
                </w:p>
              </w:tc>
            </w:tr>
          </w:tbl>
          <w:p w14:paraId="5C2C5C41"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2CDC1211" w14:textId="6D50EAF0" w:rsidR="00D93616" w:rsidRPr="00D43281" w:rsidRDefault="00AB0954" w:rsidP="00DF083B">
            <w:pPr>
              <w:tabs>
                <w:tab w:val="left" w:pos="1787"/>
              </w:tabs>
              <w:spacing w:before="60" w:after="60" w:line="240" w:lineRule="auto"/>
              <w:ind w:firstLine="87"/>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Очень низкий уровень риска; при необходимости имеются надежные инструменты снижения рисков</w:t>
            </w:r>
          </w:p>
        </w:tc>
        <w:tc>
          <w:tcPr>
            <w:tcW w:w="0" w:type="auto"/>
            <w:tcBorders>
              <w:top w:val="single" w:sz="6" w:space="0" w:color="000000"/>
              <w:left w:val="single" w:sz="6" w:space="0" w:color="000000"/>
              <w:bottom w:val="single" w:sz="6" w:space="0" w:color="000000"/>
              <w:right w:val="single" w:sz="6" w:space="0" w:color="000000"/>
            </w:tcBorders>
            <w:hideMark/>
          </w:tcPr>
          <w:p w14:paraId="11ADD199" w14:textId="479446D2" w:rsidR="00D93616" w:rsidRPr="00D43281" w:rsidRDefault="00AB0954"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Низкий уровень риска; при необходимости — удовлетворительные инструменты снижения рисков</w:t>
            </w:r>
          </w:p>
        </w:tc>
        <w:tc>
          <w:tcPr>
            <w:tcW w:w="0" w:type="auto"/>
            <w:tcBorders>
              <w:top w:val="single" w:sz="6" w:space="0" w:color="000000"/>
              <w:left w:val="single" w:sz="6" w:space="0" w:color="000000"/>
              <w:bottom w:val="single" w:sz="6" w:space="0" w:color="000000"/>
              <w:right w:val="single" w:sz="6" w:space="0" w:color="000000"/>
            </w:tcBorders>
            <w:hideMark/>
          </w:tcPr>
          <w:p w14:paraId="544E8FA1" w14:textId="194D945F" w:rsidR="00D93616" w:rsidRPr="00D43281" w:rsidRDefault="00F20515"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Умеренный уровень риска; приемлемые инструменты снижения риска</w:t>
            </w:r>
          </w:p>
        </w:tc>
        <w:tc>
          <w:tcPr>
            <w:tcW w:w="0" w:type="auto"/>
            <w:tcBorders>
              <w:top w:val="single" w:sz="6" w:space="0" w:color="000000"/>
              <w:left w:val="single" w:sz="6" w:space="0" w:color="000000"/>
              <w:bottom w:val="single" w:sz="6" w:space="0" w:color="000000"/>
              <w:right w:val="single" w:sz="6" w:space="0" w:color="000000"/>
            </w:tcBorders>
            <w:hideMark/>
          </w:tcPr>
          <w:p w14:paraId="64E90467" w14:textId="023A2DF1" w:rsidR="00D93616" w:rsidRPr="00D43281" w:rsidRDefault="00F20515"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Высокая степень риска; слабые или отсутствующие инструменты снижения рисков</w:t>
            </w:r>
          </w:p>
        </w:tc>
      </w:tr>
      <w:tr w:rsidR="00C87050" w:rsidRPr="00D43281" w14:paraId="6F249D9C"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6A514E26" w14:textId="030489F5" w:rsidR="00D93616" w:rsidRPr="00D43281" w:rsidRDefault="007C6F5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b/>
                <w:bCs/>
                <w:sz w:val="24"/>
                <w:szCs w:val="24"/>
                <w:lang w:val="ru-MD" w:eastAsia="ro-MD"/>
              </w:rPr>
              <w:t>Фактор: характеристики актива/сделки</w:t>
            </w:r>
          </w:p>
        </w:tc>
        <w:tc>
          <w:tcPr>
            <w:tcW w:w="0" w:type="auto"/>
            <w:tcBorders>
              <w:top w:val="single" w:sz="6" w:space="0" w:color="000000"/>
              <w:left w:val="single" w:sz="6" w:space="0" w:color="000000"/>
              <w:bottom w:val="single" w:sz="6" w:space="0" w:color="000000"/>
              <w:right w:val="single" w:sz="6" w:space="0" w:color="000000"/>
            </w:tcBorders>
            <w:hideMark/>
          </w:tcPr>
          <w:p w14:paraId="4C2FFCB1" w14:textId="77777777" w:rsidR="00D93616" w:rsidRPr="00D43281" w:rsidRDefault="00D93616" w:rsidP="00DF083B">
            <w:pPr>
              <w:tabs>
                <w:tab w:val="left" w:pos="1787"/>
              </w:tabs>
              <w:spacing w:before="120" w:after="0" w:line="240" w:lineRule="auto"/>
              <w:ind w:firstLine="87"/>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7FDF9ED"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569DAF5"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901A506"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r>
      <w:tr w:rsidR="00C87050" w:rsidRPr="00D43281" w14:paraId="45B7B17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77"/>
              <w:gridCol w:w="1684"/>
            </w:tblGrid>
            <w:tr w:rsidR="00D93616" w:rsidRPr="00D43281" w14:paraId="791D540C" w14:textId="77777777" w:rsidTr="00DF083B">
              <w:tc>
                <w:tcPr>
                  <w:tcW w:w="0" w:type="auto"/>
                  <w:hideMark/>
                </w:tcPr>
                <w:p w14:paraId="6ABF5FFB" w14:textId="40206D57" w:rsidR="00D93616" w:rsidRPr="00D43281" w:rsidRDefault="002E7A8D" w:rsidP="00637724">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1.</w:t>
                  </w:r>
                </w:p>
              </w:tc>
              <w:tc>
                <w:tcPr>
                  <w:tcW w:w="0" w:type="auto"/>
                  <w:hideMark/>
                </w:tcPr>
                <w:p w14:paraId="4AD21931" w14:textId="1595CEE7" w:rsidR="00D93616" w:rsidRPr="00D43281" w:rsidRDefault="007C6F5C" w:rsidP="00637724">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местоположение</w:t>
                  </w:r>
                </w:p>
              </w:tc>
            </w:tr>
          </w:tbl>
          <w:p w14:paraId="752E5C19" w14:textId="77777777" w:rsidR="00D93616" w:rsidRPr="00D43281" w:rsidRDefault="00D93616" w:rsidP="00637724">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E902225" w14:textId="7772F9C1" w:rsidR="00D93616" w:rsidRPr="00D43281" w:rsidRDefault="007C6F5C" w:rsidP="00DF083B">
            <w:pPr>
              <w:tabs>
                <w:tab w:val="left" w:pos="1787"/>
              </w:tabs>
              <w:spacing w:before="60" w:after="60" w:line="240" w:lineRule="auto"/>
              <w:ind w:firstLine="87"/>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Объект недвижимости расположен в </w:t>
            </w:r>
            <w:r w:rsidRPr="00D43281">
              <w:rPr>
                <w:rFonts w:ascii="Times New Roman" w:eastAsia="Times New Roman" w:hAnsi="Times New Roman" w:cs="Times New Roman"/>
                <w:sz w:val="24"/>
                <w:szCs w:val="24"/>
                <w:lang w:val="ru-MD" w:eastAsia="ro-MD"/>
              </w:rPr>
              <w:lastRenderedPageBreak/>
              <w:t>очень привлекательном месте, удобно расположенном относительно необходимых арендаторам услуг.</w:t>
            </w:r>
          </w:p>
        </w:tc>
        <w:tc>
          <w:tcPr>
            <w:tcW w:w="0" w:type="auto"/>
            <w:tcBorders>
              <w:top w:val="single" w:sz="6" w:space="0" w:color="000000"/>
              <w:left w:val="single" w:sz="6" w:space="0" w:color="000000"/>
              <w:bottom w:val="single" w:sz="6" w:space="0" w:color="000000"/>
              <w:right w:val="single" w:sz="6" w:space="0" w:color="000000"/>
            </w:tcBorders>
            <w:hideMark/>
          </w:tcPr>
          <w:p w14:paraId="4A7AB10B" w14:textId="315328BB" w:rsidR="00D93616" w:rsidRPr="00D43281" w:rsidRDefault="007C6F5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Объект недвижимости расположен в </w:t>
            </w:r>
            <w:r w:rsidRPr="00D43281">
              <w:rPr>
                <w:rFonts w:ascii="Times New Roman" w:eastAsia="Times New Roman" w:hAnsi="Times New Roman" w:cs="Times New Roman"/>
                <w:sz w:val="24"/>
                <w:szCs w:val="24"/>
                <w:lang w:val="ru-MD" w:eastAsia="ro-MD"/>
              </w:rPr>
              <w:lastRenderedPageBreak/>
              <w:t>привлекательном месте, в непосредственной близости от всех необходимых арендаторам услуг.</w:t>
            </w:r>
          </w:p>
        </w:tc>
        <w:tc>
          <w:tcPr>
            <w:tcW w:w="0" w:type="auto"/>
            <w:tcBorders>
              <w:top w:val="single" w:sz="6" w:space="0" w:color="000000"/>
              <w:left w:val="single" w:sz="6" w:space="0" w:color="000000"/>
              <w:bottom w:val="single" w:sz="6" w:space="0" w:color="000000"/>
              <w:right w:val="single" w:sz="6" w:space="0" w:color="000000"/>
            </w:tcBorders>
            <w:hideMark/>
          </w:tcPr>
          <w:p w14:paraId="5FE6D766" w14:textId="35A53241" w:rsidR="00D93616" w:rsidRPr="00D43281" w:rsidRDefault="0008567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Местоположение актива не дает ему </w:t>
            </w:r>
            <w:r w:rsidRPr="00D43281">
              <w:rPr>
                <w:rFonts w:ascii="Times New Roman" w:eastAsia="Times New Roman" w:hAnsi="Times New Roman" w:cs="Times New Roman"/>
                <w:sz w:val="24"/>
                <w:szCs w:val="24"/>
                <w:lang w:val="ru-MD" w:eastAsia="ro-MD"/>
              </w:rPr>
              <w:lastRenderedPageBreak/>
              <w:t>конкурентного преимущества.</w:t>
            </w:r>
          </w:p>
        </w:tc>
        <w:tc>
          <w:tcPr>
            <w:tcW w:w="0" w:type="auto"/>
            <w:tcBorders>
              <w:top w:val="single" w:sz="6" w:space="0" w:color="000000"/>
              <w:left w:val="single" w:sz="6" w:space="0" w:color="000000"/>
              <w:bottom w:val="single" w:sz="6" w:space="0" w:color="000000"/>
              <w:right w:val="single" w:sz="6" w:space="0" w:color="000000"/>
            </w:tcBorders>
            <w:hideMark/>
          </w:tcPr>
          <w:p w14:paraId="35E24D2E" w14:textId="7B278DFC" w:rsidR="00D93616" w:rsidRPr="00D43281" w:rsidRDefault="0008567C" w:rsidP="00DF083B">
            <w:pPr>
              <w:spacing w:before="60" w:after="60" w:line="240" w:lineRule="auto"/>
              <w:rPr>
                <w:sz w:val="24"/>
                <w:szCs w:val="24"/>
                <w:lang w:val="ru-MD"/>
              </w:rPr>
            </w:pPr>
            <w:r w:rsidRPr="00D43281">
              <w:rPr>
                <w:rFonts w:ascii="Times New Roman" w:eastAsia="Times New Roman" w:hAnsi="Times New Roman" w:cs="Times New Roman"/>
                <w:sz w:val="24"/>
                <w:szCs w:val="24"/>
                <w:lang w:val="ru-MD" w:eastAsia="ro-MD"/>
              </w:rPr>
              <w:lastRenderedPageBreak/>
              <w:t xml:space="preserve">Объект недвижимости расположен в </w:t>
            </w:r>
            <w:r w:rsidRPr="00D43281">
              <w:rPr>
                <w:rFonts w:ascii="Times New Roman" w:eastAsia="Times New Roman" w:hAnsi="Times New Roman" w:cs="Times New Roman"/>
                <w:sz w:val="24"/>
                <w:szCs w:val="24"/>
                <w:lang w:val="ru-MD" w:eastAsia="ro-MD"/>
              </w:rPr>
              <w:lastRenderedPageBreak/>
              <w:t>непривлекательном месте.</w:t>
            </w:r>
          </w:p>
        </w:tc>
      </w:tr>
      <w:tr w:rsidR="00C87050" w:rsidRPr="00D43281" w14:paraId="6711FA03"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81"/>
            </w:tblGrid>
            <w:tr w:rsidR="00D93616" w:rsidRPr="00D43281" w14:paraId="143B98EF" w14:textId="77777777" w:rsidTr="00DF083B">
              <w:tc>
                <w:tcPr>
                  <w:tcW w:w="0" w:type="auto"/>
                  <w:hideMark/>
                </w:tcPr>
                <w:p w14:paraId="3320985F" w14:textId="415F01BF" w:rsidR="00D93616" w:rsidRPr="00D43281" w:rsidRDefault="002E7A8D" w:rsidP="00637724">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2.</w:t>
                  </w:r>
                </w:p>
              </w:tc>
              <w:tc>
                <w:tcPr>
                  <w:tcW w:w="0" w:type="auto"/>
                  <w:hideMark/>
                </w:tcPr>
                <w:p w14:paraId="04824271" w14:textId="15FCDB04" w:rsidR="00D93616" w:rsidRPr="00D43281" w:rsidRDefault="009A62A9" w:rsidP="00637724">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конструкция и состояние актива</w:t>
                  </w:r>
                </w:p>
              </w:tc>
            </w:tr>
          </w:tbl>
          <w:p w14:paraId="4D66BEEC" w14:textId="77777777" w:rsidR="00D93616" w:rsidRPr="00D43281" w:rsidRDefault="00D93616" w:rsidP="00637724">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9B7431D" w14:textId="750F5453" w:rsidR="00D93616" w:rsidRPr="00D43281" w:rsidRDefault="00C4303F" w:rsidP="00DF083B">
            <w:pPr>
              <w:tabs>
                <w:tab w:val="left" w:pos="1787"/>
              </w:tabs>
              <w:spacing w:before="60" w:after="60" w:line="240" w:lineRule="auto"/>
              <w:ind w:firstLine="87"/>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Актив пользуется предпочтением благодаря своему дизайну, конфигурации и простоте обслуживания, а также высокой конкурентоспособности по сравнению с новыми активами.</w:t>
            </w:r>
          </w:p>
        </w:tc>
        <w:tc>
          <w:tcPr>
            <w:tcW w:w="0" w:type="auto"/>
            <w:tcBorders>
              <w:top w:val="single" w:sz="6" w:space="0" w:color="000000"/>
              <w:left w:val="single" w:sz="6" w:space="0" w:color="000000"/>
              <w:bottom w:val="single" w:sz="6" w:space="0" w:color="000000"/>
              <w:right w:val="single" w:sz="6" w:space="0" w:color="000000"/>
            </w:tcBorders>
            <w:hideMark/>
          </w:tcPr>
          <w:p w14:paraId="0696B882" w14:textId="718028F4" w:rsidR="00D93616" w:rsidRPr="00D43281" w:rsidRDefault="00CF24BB"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Данный объект является адекватным с точки зрения конструкции, конфигурации и технического обслуживания. Конструкция и возможности объекта конкурентоспособны по сравнению с новыми объектами.</w:t>
            </w:r>
          </w:p>
        </w:tc>
        <w:tc>
          <w:tcPr>
            <w:tcW w:w="0" w:type="auto"/>
            <w:tcBorders>
              <w:top w:val="single" w:sz="6" w:space="0" w:color="000000"/>
              <w:left w:val="single" w:sz="6" w:space="0" w:color="000000"/>
              <w:bottom w:val="single" w:sz="6" w:space="0" w:color="000000"/>
              <w:right w:val="single" w:sz="6" w:space="0" w:color="000000"/>
            </w:tcBorders>
            <w:hideMark/>
          </w:tcPr>
          <w:p w14:paraId="5F310833" w14:textId="679C8BE8" w:rsidR="00D93616" w:rsidRPr="00D43281" w:rsidRDefault="00CF24BB"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Объект соответствует требованиям с точки зрения его конфигурации, конструкции и технического обслуживания.</w:t>
            </w:r>
          </w:p>
        </w:tc>
        <w:tc>
          <w:tcPr>
            <w:tcW w:w="0" w:type="auto"/>
            <w:tcBorders>
              <w:top w:val="single" w:sz="6" w:space="0" w:color="000000"/>
              <w:left w:val="single" w:sz="6" w:space="0" w:color="000000"/>
              <w:bottom w:val="single" w:sz="6" w:space="0" w:color="000000"/>
              <w:right w:val="single" w:sz="6" w:space="0" w:color="000000"/>
            </w:tcBorders>
            <w:hideMark/>
          </w:tcPr>
          <w:p w14:paraId="77147679" w14:textId="55B0B794" w:rsidR="00D93616" w:rsidRPr="00D43281" w:rsidRDefault="00CF24BB"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Конфигурация, проектирование и техническое обслуживание актива способствовали возникновению трудностей, связанных с его эксплуатацией. Конфигурация, проектирование или техническое обслуживание актива имеют недостатки.</w:t>
            </w:r>
          </w:p>
        </w:tc>
      </w:tr>
      <w:tr w:rsidR="00C87050" w:rsidRPr="00D43281" w14:paraId="0F7C0775"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81"/>
            </w:tblGrid>
            <w:tr w:rsidR="00D93616" w:rsidRPr="00D43281" w14:paraId="5746FDAA" w14:textId="77777777" w:rsidTr="00637724">
              <w:trPr>
                <w:trHeight w:val="745"/>
              </w:trPr>
              <w:tc>
                <w:tcPr>
                  <w:tcW w:w="0" w:type="auto"/>
                  <w:hideMark/>
                </w:tcPr>
                <w:p w14:paraId="37B1413F" w14:textId="6DE7E1AC" w:rsidR="00D93616" w:rsidRPr="00D43281" w:rsidRDefault="002E7A8D"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3.</w:t>
                  </w:r>
                </w:p>
              </w:tc>
              <w:tc>
                <w:tcPr>
                  <w:tcW w:w="0" w:type="auto"/>
                  <w:hideMark/>
                </w:tcPr>
                <w:p w14:paraId="2620E6E7" w14:textId="061F4FC9" w:rsidR="00D93616" w:rsidRPr="00D43281" w:rsidRDefault="00862661" w:rsidP="00637724">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объект находится в стадии строительства</w:t>
                  </w:r>
                </w:p>
              </w:tc>
            </w:tr>
          </w:tbl>
          <w:p w14:paraId="597E431D"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BE1A000" w14:textId="293BF6D4" w:rsidR="00D93616" w:rsidRPr="00D43281" w:rsidRDefault="00862661" w:rsidP="00DF083B">
            <w:pPr>
              <w:tabs>
                <w:tab w:val="left" w:pos="1787"/>
              </w:tabs>
              <w:spacing w:before="60" w:after="60" w:line="240" w:lineRule="auto"/>
              <w:ind w:firstLine="87"/>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Строительный бюджет умеренный, а технические риски ограничены. Подрядчики обладают высокой квалификацией и кредитоспособностью.</w:t>
            </w:r>
          </w:p>
        </w:tc>
        <w:tc>
          <w:tcPr>
            <w:tcW w:w="0" w:type="auto"/>
            <w:tcBorders>
              <w:top w:val="single" w:sz="6" w:space="0" w:color="000000"/>
              <w:left w:val="single" w:sz="6" w:space="0" w:color="000000"/>
              <w:bottom w:val="single" w:sz="6" w:space="0" w:color="000000"/>
              <w:right w:val="single" w:sz="6" w:space="0" w:color="000000"/>
            </w:tcBorders>
            <w:hideMark/>
          </w:tcPr>
          <w:p w14:paraId="79C4127D" w14:textId="4342A8DB" w:rsidR="00D93616" w:rsidRPr="00D43281" w:rsidRDefault="00862661"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Строительный бюджет умеренный, а технические риски ограничены. Подрядчики обладают высокой квалификацией и кредитоспособностью.</w:t>
            </w:r>
          </w:p>
        </w:tc>
        <w:tc>
          <w:tcPr>
            <w:tcW w:w="0" w:type="auto"/>
            <w:tcBorders>
              <w:top w:val="single" w:sz="6" w:space="0" w:color="000000"/>
              <w:left w:val="single" w:sz="6" w:space="0" w:color="000000"/>
              <w:bottom w:val="single" w:sz="6" w:space="0" w:color="000000"/>
              <w:right w:val="single" w:sz="6" w:space="0" w:color="000000"/>
            </w:tcBorders>
            <w:hideMark/>
          </w:tcPr>
          <w:p w14:paraId="7206343A" w14:textId="218F4D06" w:rsidR="00D93616" w:rsidRPr="00D43281" w:rsidRDefault="002B5EC7"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xml:space="preserve">Строительный бюджет достаточен, а подрядчики обладают обычным уровнем квалификации и средней </w:t>
            </w:r>
            <w:r w:rsidR="003421C4" w:rsidRPr="00D43281">
              <w:rPr>
                <w:rFonts w:ascii="Times New Roman" w:eastAsia="Times New Roman" w:hAnsi="Times New Roman" w:cs="Times New Roman"/>
                <w:sz w:val="24"/>
                <w:szCs w:val="24"/>
                <w:lang w:val="ru-RU" w:eastAsia="ro-MD"/>
              </w:rPr>
              <w:t>0</w:t>
            </w:r>
            <w:r w:rsidRPr="00D43281">
              <w:rPr>
                <w:rFonts w:ascii="Times New Roman" w:eastAsia="Times New Roman" w:hAnsi="Times New Roman" w:cs="Times New Roman"/>
                <w:sz w:val="24"/>
                <w:szCs w:val="24"/>
                <w:lang w:val="ru-RU" w:eastAsia="ro-MD"/>
              </w:rPr>
              <w:t>кредитоспособностью.</w:t>
            </w:r>
          </w:p>
        </w:tc>
        <w:tc>
          <w:tcPr>
            <w:tcW w:w="0" w:type="auto"/>
            <w:tcBorders>
              <w:top w:val="single" w:sz="6" w:space="0" w:color="000000"/>
              <w:left w:val="single" w:sz="6" w:space="0" w:color="000000"/>
              <w:bottom w:val="single" w:sz="6" w:space="0" w:color="000000"/>
              <w:right w:val="single" w:sz="6" w:space="0" w:color="000000"/>
            </w:tcBorders>
            <w:hideMark/>
          </w:tcPr>
          <w:p w14:paraId="730E87C8" w14:textId="043CE61A" w:rsidR="00D93616" w:rsidRPr="00D43281" w:rsidRDefault="002B5EC7"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Проект выходит за рамки бюджета или нереалистичен, учитывая технические риски. Подрядчики могут быть недостаточно квалифицированы и иметь плохую кредитную историю.</w:t>
            </w:r>
          </w:p>
        </w:tc>
      </w:tr>
      <w:tr w:rsidR="00C87050" w:rsidRPr="00D43281" w14:paraId="404A63EB"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81"/>
            </w:tblGrid>
            <w:tr w:rsidR="00D93616" w:rsidRPr="00D43281" w14:paraId="1186A286" w14:textId="77777777" w:rsidTr="00DF083B">
              <w:tc>
                <w:tcPr>
                  <w:tcW w:w="0" w:type="auto"/>
                  <w:hideMark/>
                </w:tcPr>
                <w:p w14:paraId="2436DA77" w14:textId="6DF6E29C" w:rsidR="00D93616" w:rsidRPr="00D43281" w:rsidRDefault="002E7A8D"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4.</w:t>
                  </w:r>
                </w:p>
              </w:tc>
              <w:tc>
                <w:tcPr>
                  <w:tcW w:w="0" w:type="auto"/>
                  <w:hideMark/>
                </w:tcPr>
                <w:p w14:paraId="6767BB3B" w14:textId="6308FFFB" w:rsidR="00D93616" w:rsidRPr="00D43281" w:rsidRDefault="00300B11" w:rsidP="00DF083B">
                  <w:pPr>
                    <w:spacing w:before="120" w:after="0" w:line="240" w:lineRule="auto"/>
                    <w:jc w:val="both"/>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финансовая структура:</w:t>
                  </w:r>
                </w:p>
              </w:tc>
            </w:tr>
          </w:tbl>
          <w:p w14:paraId="7515AB38"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B567A8E" w14:textId="77777777" w:rsidR="00D93616" w:rsidRPr="00D43281" w:rsidRDefault="00D93616" w:rsidP="00DF083B">
            <w:pPr>
              <w:tabs>
                <w:tab w:val="left" w:pos="1787"/>
              </w:tabs>
              <w:spacing w:before="120" w:after="0" w:line="240" w:lineRule="auto"/>
              <w:ind w:firstLine="87"/>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FA87321"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C556ECA"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487FEE5"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r>
      <w:tr w:rsidR="00C87050" w:rsidRPr="00D43281" w14:paraId="5F0FE4F6"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855"/>
            </w:tblGrid>
            <w:tr w:rsidR="00D93616" w:rsidRPr="00D43281" w14:paraId="085CDD47" w14:textId="77777777" w:rsidTr="00DF083B">
              <w:tc>
                <w:tcPr>
                  <w:tcW w:w="0" w:type="auto"/>
                  <w:hideMark/>
                </w:tcPr>
                <w:p w14:paraId="00E80837" w14:textId="521E3C55"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p>
              </w:tc>
              <w:tc>
                <w:tcPr>
                  <w:tcW w:w="0" w:type="auto"/>
                  <w:hideMark/>
                </w:tcPr>
                <w:p w14:paraId="608FD14A" w14:textId="49D510C9" w:rsidR="00D93616" w:rsidRPr="00D43281" w:rsidRDefault="0056419D" w:rsidP="00637724">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4.1.</w:t>
                  </w:r>
                  <w:r w:rsidR="002B27BD" w:rsidRPr="00D43281">
                    <w:rPr>
                      <w:sz w:val="24"/>
                      <w:szCs w:val="24"/>
                      <w:lang w:val="ru-RU"/>
                    </w:rPr>
                    <w:t xml:space="preserve"> </w:t>
                  </w:r>
                  <w:r w:rsidR="002B27BD" w:rsidRPr="00D43281">
                    <w:rPr>
                      <w:rFonts w:ascii="Times New Roman" w:eastAsia="Times New Roman" w:hAnsi="Times New Roman" w:cs="Times New Roman"/>
                      <w:sz w:val="24"/>
                      <w:szCs w:val="24"/>
                      <w:lang w:val="ru-RU" w:eastAsia="ro-MD"/>
                    </w:rPr>
                    <w:t>График амортизации (</w:t>
                  </w:r>
                  <w:proofErr w:type="spellStart"/>
                  <w:r w:rsidR="002B27BD" w:rsidRPr="00D43281">
                    <w:rPr>
                      <w:rFonts w:ascii="Times New Roman" w:eastAsia="Times New Roman" w:hAnsi="Times New Roman" w:cs="Times New Roman"/>
                      <w:sz w:val="24"/>
                      <w:szCs w:val="24"/>
                      <w:lang w:val="ru-RU" w:eastAsia="ro-MD"/>
                    </w:rPr>
                    <w:t>подфакторная</w:t>
                  </w:r>
                  <w:proofErr w:type="spellEnd"/>
                  <w:r w:rsidR="002B27BD" w:rsidRPr="00D43281">
                    <w:rPr>
                      <w:rFonts w:ascii="Times New Roman" w:eastAsia="Times New Roman" w:hAnsi="Times New Roman" w:cs="Times New Roman"/>
                      <w:sz w:val="24"/>
                      <w:szCs w:val="24"/>
                      <w:lang w:val="ru-RU" w:eastAsia="ro-MD"/>
                    </w:rPr>
                    <w:t xml:space="preserve"> составляющая</w:t>
                  </w:r>
                  <w:r w:rsidR="00D93616" w:rsidRPr="00D43281">
                    <w:rPr>
                      <w:rFonts w:ascii="Times New Roman" w:eastAsia="Times New Roman" w:hAnsi="Times New Roman" w:cs="Times New Roman"/>
                      <w:sz w:val="24"/>
                      <w:szCs w:val="24"/>
                      <w:lang w:val="ru-RU" w:eastAsia="ro-MD"/>
                    </w:rPr>
                    <w:t>)</w:t>
                  </w:r>
                </w:p>
              </w:tc>
            </w:tr>
          </w:tbl>
          <w:p w14:paraId="6DA1A01E"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C8888FF" w14:textId="223549BF" w:rsidR="00D93616" w:rsidRPr="00D43281" w:rsidRDefault="002B27BD" w:rsidP="00DF083B">
            <w:pPr>
              <w:tabs>
                <w:tab w:val="left" w:pos="1787"/>
              </w:tabs>
              <w:spacing w:before="60" w:after="60" w:line="240" w:lineRule="auto"/>
              <w:ind w:firstLine="87"/>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Амортизация долга без единовременного погашения</w:t>
            </w:r>
          </w:p>
        </w:tc>
        <w:tc>
          <w:tcPr>
            <w:tcW w:w="0" w:type="auto"/>
            <w:tcBorders>
              <w:top w:val="single" w:sz="6" w:space="0" w:color="000000"/>
              <w:left w:val="single" w:sz="6" w:space="0" w:color="000000"/>
              <w:bottom w:val="single" w:sz="6" w:space="0" w:color="000000"/>
              <w:right w:val="single" w:sz="6" w:space="0" w:color="000000"/>
            </w:tcBorders>
            <w:hideMark/>
          </w:tcPr>
          <w:p w14:paraId="4CFC8045" w14:textId="556AE125" w:rsidR="00D93616" w:rsidRPr="00D43281" w:rsidRDefault="00DA126A"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Амортизация долга без единовременного погашения или с единовременным погашением в незначительной сумме</w:t>
            </w:r>
          </w:p>
        </w:tc>
        <w:tc>
          <w:tcPr>
            <w:tcW w:w="0" w:type="auto"/>
            <w:tcBorders>
              <w:top w:val="single" w:sz="6" w:space="0" w:color="000000"/>
              <w:left w:val="single" w:sz="6" w:space="0" w:color="000000"/>
              <w:bottom w:val="single" w:sz="6" w:space="0" w:color="000000"/>
              <w:right w:val="single" w:sz="6" w:space="0" w:color="000000"/>
            </w:tcBorders>
            <w:hideMark/>
          </w:tcPr>
          <w:p w14:paraId="0DD1A49F" w14:textId="2F67473D" w:rsidR="00D93616" w:rsidRPr="00D43281" w:rsidRDefault="00DA126A"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Погашение задолженности с ограниченным количеством единовременных платежей</w:t>
            </w:r>
          </w:p>
        </w:tc>
        <w:tc>
          <w:tcPr>
            <w:tcW w:w="0" w:type="auto"/>
            <w:tcBorders>
              <w:top w:val="single" w:sz="6" w:space="0" w:color="000000"/>
              <w:left w:val="single" w:sz="6" w:space="0" w:color="000000"/>
              <w:bottom w:val="single" w:sz="6" w:space="0" w:color="000000"/>
              <w:right w:val="single" w:sz="6" w:space="0" w:color="000000"/>
            </w:tcBorders>
            <w:hideMark/>
          </w:tcPr>
          <w:p w14:paraId="3EA51B2A" w14:textId="5810006C" w:rsidR="00D93616" w:rsidRPr="00D43281" w:rsidRDefault="00DA126A"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Единовременные платежи по кредиту или амортизационные выплаты по долгу со значительной суммой единовременных платежей</w:t>
            </w:r>
          </w:p>
        </w:tc>
      </w:tr>
      <w:tr w:rsidR="00C87050" w:rsidRPr="00D43281" w14:paraId="72467CB8"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4"/>
              <w:gridCol w:w="1857"/>
            </w:tblGrid>
            <w:tr w:rsidR="00D93616" w:rsidRPr="00D43281" w14:paraId="6A943F34" w14:textId="77777777" w:rsidTr="00DF083B">
              <w:tc>
                <w:tcPr>
                  <w:tcW w:w="0" w:type="auto"/>
                  <w:hideMark/>
                </w:tcPr>
                <w:p w14:paraId="7FCF8EE0" w14:textId="385C9072"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p>
              </w:tc>
              <w:tc>
                <w:tcPr>
                  <w:tcW w:w="0" w:type="auto"/>
                  <w:hideMark/>
                </w:tcPr>
                <w:p w14:paraId="58A91B96" w14:textId="421A8047" w:rsidR="00D93616" w:rsidRPr="00D43281" w:rsidRDefault="0056419D" w:rsidP="00637724">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4.2.</w:t>
                  </w:r>
                  <w:r w:rsidR="00197C96" w:rsidRPr="00D43281">
                    <w:rPr>
                      <w:sz w:val="24"/>
                      <w:szCs w:val="24"/>
                      <w:lang w:val="ru-MD"/>
                    </w:rPr>
                    <w:t xml:space="preserve"> </w:t>
                  </w:r>
                  <w:r w:rsidR="00197C96" w:rsidRPr="00D43281">
                    <w:rPr>
                      <w:rFonts w:ascii="Times New Roman" w:eastAsia="Times New Roman" w:hAnsi="Times New Roman" w:cs="Times New Roman"/>
                      <w:sz w:val="24"/>
                      <w:szCs w:val="24"/>
                      <w:lang w:val="ru-MD" w:eastAsia="ro-MD"/>
                    </w:rPr>
                    <w:t xml:space="preserve">Рыночный/циклический риск и риск рефинансирования </w:t>
                  </w:r>
                  <w:r w:rsidR="00D93616" w:rsidRPr="00D43281">
                    <w:rPr>
                      <w:rFonts w:ascii="Times New Roman" w:eastAsia="Times New Roman" w:hAnsi="Times New Roman" w:cs="Times New Roman"/>
                      <w:sz w:val="24"/>
                      <w:szCs w:val="24"/>
                      <w:lang w:val="ru-MD" w:eastAsia="ro-MD"/>
                    </w:rPr>
                    <w:t>(</w:t>
                  </w:r>
                  <w:proofErr w:type="spellStart"/>
                  <w:r w:rsidR="002B27BD" w:rsidRPr="00D43281">
                    <w:rPr>
                      <w:rFonts w:ascii="Times New Roman" w:eastAsia="Times New Roman" w:hAnsi="Times New Roman" w:cs="Times New Roman"/>
                      <w:sz w:val="24"/>
                      <w:szCs w:val="24"/>
                      <w:lang w:val="ru-MD" w:eastAsia="ro-MD"/>
                    </w:rPr>
                    <w:t>подфакторная</w:t>
                  </w:r>
                  <w:proofErr w:type="spellEnd"/>
                  <w:r w:rsidR="002B27BD" w:rsidRPr="00D43281">
                    <w:rPr>
                      <w:rFonts w:ascii="Times New Roman" w:eastAsia="Times New Roman" w:hAnsi="Times New Roman" w:cs="Times New Roman"/>
                      <w:sz w:val="24"/>
                      <w:szCs w:val="24"/>
                      <w:lang w:val="ru-MD" w:eastAsia="ro-MD"/>
                    </w:rPr>
                    <w:t xml:space="preserve"> составляющая</w:t>
                  </w:r>
                  <w:r w:rsidR="00D93616" w:rsidRPr="00D43281">
                    <w:rPr>
                      <w:rFonts w:ascii="Times New Roman" w:eastAsia="Times New Roman" w:hAnsi="Times New Roman" w:cs="Times New Roman"/>
                      <w:sz w:val="24"/>
                      <w:szCs w:val="24"/>
                      <w:lang w:val="ru-MD" w:eastAsia="ro-MD"/>
                    </w:rPr>
                    <w:t>)</w:t>
                  </w:r>
                </w:p>
              </w:tc>
            </w:tr>
          </w:tbl>
          <w:p w14:paraId="54499571"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1D89C5F4" w14:textId="5B43A9FF" w:rsidR="00DD4BF1" w:rsidRPr="00D43281" w:rsidRDefault="009E414F" w:rsidP="00DF083B">
            <w:pPr>
              <w:tabs>
                <w:tab w:val="left" w:pos="1787"/>
              </w:tabs>
              <w:spacing w:before="60" w:after="60" w:line="240" w:lineRule="auto"/>
              <w:ind w:firstLine="87"/>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Подверженность рыночному риску или циклическому риску </w:t>
            </w:r>
            <w:r w:rsidR="00DD4BF1" w:rsidRPr="00D43281">
              <w:rPr>
                <w:rFonts w:ascii="Times New Roman" w:eastAsia="Times New Roman" w:hAnsi="Times New Roman" w:cs="Times New Roman"/>
                <w:sz w:val="24"/>
                <w:szCs w:val="24"/>
                <w:lang w:val="ru-MD" w:eastAsia="ro-MD"/>
              </w:rPr>
              <w:t>очень ограничен или отсутствует, поскольку ожидаемые денежные потоки покрывают все будущие выплаты по кредиту в течение срока его действия, и между денежными потоками и выплатами по кредиту нет существенных разрывов.</w:t>
            </w:r>
          </w:p>
          <w:p w14:paraId="0C9FDFB1" w14:textId="66DF3F3C" w:rsidR="00D93616" w:rsidRPr="00D43281" w:rsidRDefault="00DD4BF1" w:rsidP="00D771A0">
            <w:pPr>
              <w:tabs>
                <w:tab w:val="left" w:pos="1787"/>
              </w:tabs>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Риск рефинансирования очень низок или отсутствует.</w:t>
            </w:r>
          </w:p>
        </w:tc>
        <w:tc>
          <w:tcPr>
            <w:tcW w:w="0" w:type="auto"/>
            <w:tcBorders>
              <w:top w:val="single" w:sz="6" w:space="0" w:color="000000"/>
              <w:left w:val="single" w:sz="6" w:space="0" w:color="000000"/>
              <w:bottom w:val="single" w:sz="6" w:space="0" w:color="000000"/>
              <w:right w:val="single" w:sz="6" w:space="0" w:color="000000"/>
            </w:tcBorders>
            <w:hideMark/>
          </w:tcPr>
          <w:p w14:paraId="1FD24FE5" w14:textId="74736B6E" w:rsidR="00D93616" w:rsidRPr="00D43281" w:rsidRDefault="009E414F"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Подверженность рыночному риску или циклическому риску </w:t>
            </w:r>
            <w:r w:rsidR="00CE23E1" w:rsidRPr="00D43281">
              <w:rPr>
                <w:rFonts w:ascii="Times New Roman" w:eastAsia="Times New Roman" w:hAnsi="Times New Roman" w:cs="Times New Roman"/>
                <w:sz w:val="24"/>
                <w:szCs w:val="24"/>
                <w:lang w:val="ru-MD" w:eastAsia="ro-MD"/>
              </w:rPr>
              <w:t>ограничен, поскольку ожидаемые денежные потоки покрывают большую часть будущих выплат по кредиту в течение всего срока его действия, и существенных разрывов между денежными потоками и выплатами по кредиту нет. Риск рефинансирования низкий. Риск рефинансирования очень низкий.</w:t>
            </w:r>
          </w:p>
        </w:tc>
        <w:tc>
          <w:tcPr>
            <w:tcW w:w="0" w:type="auto"/>
            <w:tcBorders>
              <w:top w:val="single" w:sz="6" w:space="0" w:color="000000"/>
              <w:left w:val="single" w:sz="6" w:space="0" w:color="000000"/>
              <w:bottom w:val="single" w:sz="6" w:space="0" w:color="000000"/>
              <w:right w:val="single" w:sz="6" w:space="0" w:color="000000"/>
            </w:tcBorders>
            <w:hideMark/>
          </w:tcPr>
          <w:p w14:paraId="294B5584" w14:textId="1962A254" w:rsidR="00D93616" w:rsidRPr="00D43281" w:rsidRDefault="009E414F"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Подверженность рыночному риску или циклическому риску </w:t>
            </w:r>
            <w:r w:rsidR="00CE23E1" w:rsidRPr="00D43281">
              <w:rPr>
                <w:rFonts w:ascii="Times New Roman" w:eastAsia="Times New Roman" w:hAnsi="Times New Roman" w:cs="Times New Roman"/>
                <w:sz w:val="24"/>
                <w:szCs w:val="24"/>
                <w:lang w:val="ru-MD" w:eastAsia="ro-MD"/>
              </w:rPr>
              <w:t>умеренный, поскольку ожидаемые денежные потоки покрывают лишь часть будущих выплат по кредиту в течение срока его действия, или же существуют значительные разрывы между денежными потоками и выплатами по кредиту. Риск рефинансирования средний.</w:t>
            </w:r>
          </w:p>
        </w:tc>
        <w:tc>
          <w:tcPr>
            <w:tcW w:w="0" w:type="auto"/>
            <w:tcBorders>
              <w:top w:val="single" w:sz="6" w:space="0" w:color="000000"/>
              <w:left w:val="single" w:sz="6" w:space="0" w:color="000000"/>
              <w:bottom w:val="single" w:sz="6" w:space="0" w:color="000000"/>
              <w:right w:val="single" w:sz="6" w:space="0" w:color="000000"/>
            </w:tcBorders>
            <w:hideMark/>
          </w:tcPr>
          <w:p w14:paraId="4C0FBAA4" w14:textId="39247D52" w:rsidR="00D771A0" w:rsidRPr="00D43281" w:rsidRDefault="00D771A0"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Подверженность рыночному риску или циклическому риску значителен, поскольку ожидаемые денежные потоки покрывают лишь небольшую часть будущих выплат по кредиту в течение всего срока его действия, и существуют значительные разрывы между денежными потоками и выплатами по кредиту. </w:t>
            </w:r>
          </w:p>
          <w:p w14:paraId="40D2CE70" w14:textId="463A77B8" w:rsidR="00D93616" w:rsidRPr="00D43281" w:rsidRDefault="00D771A0"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Риск рефинансирования высок.</w:t>
            </w:r>
          </w:p>
        </w:tc>
      </w:tr>
      <w:tr w:rsidR="00C87050" w:rsidRPr="00D43281" w14:paraId="429134D1"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152B9D7A" w14:textId="4FEC137E" w:rsidR="00D93616" w:rsidRPr="00D43281" w:rsidRDefault="00F40A04"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b/>
                <w:bCs/>
                <w:sz w:val="24"/>
                <w:szCs w:val="24"/>
                <w:lang w:val="ru-MD" w:eastAsia="ro-MD"/>
              </w:rPr>
              <w:t>Фактор: надежность спонсора/застройщика (включая любое государственно-частное партнерство</w:t>
            </w:r>
            <w:r w:rsidR="00D93616" w:rsidRPr="00D43281">
              <w:rPr>
                <w:rFonts w:ascii="Times New Roman" w:eastAsia="Times New Roman" w:hAnsi="Times New Roman" w:cs="Times New Roman"/>
                <w:b/>
                <w:bCs/>
                <w:sz w:val="24"/>
                <w:szCs w:val="24"/>
                <w:lang w:val="ru-MD" w:eastAsia="ro-MD"/>
              </w:rPr>
              <w:t>)</w:t>
            </w:r>
          </w:p>
        </w:tc>
        <w:tc>
          <w:tcPr>
            <w:tcW w:w="0" w:type="auto"/>
            <w:tcBorders>
              <w:top w:val="single" w:sz="6" w:space="0" w:color="000000"/>
              <w:left w:val="single" w:sz="6" w:space="0" w:color="000000"/>
              <w:bottom w:val="single" w:sz="6" w:space="0" w:color="000000"/>
              <w:right w:val="single" w:sz="6" w:space="0" w:color="000000"/>
            </w:tcBorders>
            <w:hideMark/>
          </w:tcPr>
          <w:p w14:paraId="454503E6" w14:textId="77777777" w:rsidR="00D93616" w:rsidRPr="00D43281" w:rsidRDefault="00D93616" w:rsidP="00DF083B">
            <w:pPr>
              <w:tabs>
                <w:tab w:val="left" w:pos="1787"/>
              </w:tabs>
              <w:spacing w:before="120" w:after="0" w:line="240" w:lineRule="auto"/>
              <w:ind w:firstLine="87"/>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3B35956"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276F65C"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8D5F126"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r>
      <w:tr w:rsidR="00C87050" w:rsidRPr="00D43281" w14:paraId="63EDDDFF"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81"/>
            </w:tblGrid>
            <w:tr w:rsidR="00D93616" w:rsidRPr="00D43281" w14:paraId="509ED4F4" w14:textId="77777777" w:rsidTr="00DF083B">
              <w:tc>
                <w:tcPr>
                  <w:tcW w:w="0" w:type="auto"/>
                  <w:hideMark/>
                </w:tcPr>
                <w:p w14:paraId="57A4130F" w14:textId="3AA072B0" w:rsidR="00D93616" w:rsidRPr="00D43281" w:rsidRDefault="002E7A8D" w:rsidP="00637724">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1.</w:t>
                  </w:r>
                </w:p>
              </w:tc>
              <w:tc>
                <w:tcPr>
                  <w:tcW w:w="0" w:type="auto"/>
                  <w:hideMark/>
                </w:tcPr>
                <w:p w14:paraId="4C7C1E2F" w14:textId="3AFC9B3C" w:rsidR="00D93616" w:rsidRPr="00D43281" w:rsidRDefault="00F40A04" w:rsidP="00637724">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финансовые возможности и готовность брать на себя обязательства по управлению активом</w:t>
                  </w:r>
                </w:p>
              </w:tc>
            </w:tr>
          </w:tbl>
          <w:p w14:paraId="785C7359" w14:textId="77777777" w:rsidR="00D93616" w:rsidRPr="00D43281" w:rsidRDefault="00D93616" w:rsidP="00637724">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DC20DF4" w14:textId="20AC01BC" w:rsidR="00D93616" w:rsidRPr="00D43281" w:rsidRDefault="00F04AC8" w:rsidP="00DF083B">
            <w:pPr>
              <w:tabs>
                <w:tab w:val="left" w:pos="1787"/>
              </w:tabs>
              <w:spacing w:before="60" w:after="60" w:line="240" w:lineRule="auto"/>
              <w:ind w:firstLine="87"/>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Спонсор/</w:t>
            </w:r>
            <w:r w:rsidR="00F4210D" w:rsidRPr="00D43281">
              <w:rPr>
                <w:rFonts w:ascii="Times New Roman" w:eastAsia="Times New Roman" w:hAnsi="Times New Roman" w:cs="Times New Roman"/>
                <w:sz w:val="24"/>
                <w:szCs w:val="24"/>
                <w:lang w:val="ru-RU" w:eastAsia="ro-MD"/>
              </w:rPr>
              <w:t>подрядчик</w:t>
            </w:r>
            <w:r w:rsidRPr="00D43281">
              <w:rPr>
                <w:rFonts w:ascii="Times New Roman" w:eastAsia="Times New Roman" w:hAnsi="Times New Roman" w:cs="Times New Roman"/>
                <w:sz w:val="24"/>
                <w:szCs w:val="24"/>
                <w:lang w:val="ru-RU" w:eastAsia="ro-MD"/>
              </w:rPr>
              <w:t xml:space="preserve"> внес существенный финансовый вклад в строительство или приобретение объекта. Спонсор/</w:t>
            </w:r>
            <w:r w:rsidR="00F4210D" w:rsidRPr="00D43281">
              <w:rPr>
                <w:rFonts w:ascii="Times New Roman" w:eastAsia="Times New Roman" w:hAnsi="Times New Roman" w:cs="Times New Roman"/>
                <w:sz w:val="24"/>
                <w:szCs w:val="24"/>
                <w:lang w:val="ru-RU" w:eastAsia="ro-MD"/>
              </w:rPr>
              <w:t>подрядчик</w:t>
            </w:r>
            <w:r w:rsidRPr="00D43281">
              <w:rPr>
                <w:rFonts w:ascii="Times New Roman" w:eastAsia="Times New Roman" w:hAnsi="Times New Roman" w:cs="Times New Roman"/>
                <w:sz w:val="24"/>
                <w:szCs w:val="24"/>
                <w:lang w:val="ru-RU" w:eastAsia="ro-MD"/>
              </w:rPr>
              <w:t xml:space="preserve"> располагает значительными ресурсами и ограниченными прямыми и </w:t>
            </w:r>
            <w:r w:rsidRPr="00D43281">
              <w:rPr>
                <w:rFonts w:ascii="Times New Roman" w:eastAsia="Times New Roman" w:hAnsi="Times New Roman" w:cs="Times New Roman"/>
                <w:sz w:val="24"/>
                <w:szCs w:val="24"/>
                <w:lang w:val="ru-RU" w:eastAsia="ro-MD"/>
              </w:rPr>
              <w:lastRenderedPageBreak/>
              <w:t>условными обязательствами. Активы спонсора/</w:t>
            </w:r>
            <w:r w:rsidR="00F4210D" w:rsidRPr="00D43281">
              <w:rPr>
                <w:rFonts w:ascii="Times New Roman" w:eastAsia="Times New Roman" w:hAnsi="Times New Roman" w:cs="Times New Roman"/>
                <w:sz w:val="24"/>
                <w:szCs w:val="24"/>
                <w:lang w:val="ru-RU" w:eastAsia="ro-MD"/>
              </w:rPr>
              <w:t xml:space="preserve">подрядчика </w:t>
            </w:r>
            <w:r w:rsidRPr="00D43281">
              <w:rPr>
                <w:rFonts w:ascii="Times New Roman" w:eastAsia="Times New Roman" w:hAnsi="Times New Roman" w:cs="Times New Roman"/>
                <w:sz w:val="24"/>
                <w:szCs w:val="24"/>
                <w:lang w:val="ru-RU" w:eastAsia="ro-MD"/>
              </w:rPr>
              <w:t>диверсифицированы географически и типологически</w:t>
            </w:r>
          </w:p>
        </w:tc>
        <w:tc>
          <w:tcPr>
            <w:tcW w:w="0" w:type="auto"/>
            <w:tcBorders>
              <w:top w:val="single" w:sz="6" w:space="0" w:color="000000"/>
              <w:left w:val="single" w:sz="6" w:space="0" w:color="000000"/>
              <w:bottom w:val="single" w:sz="6" w:space="0" w:color="000000"/>
              <w:right w:val="single" w:sz="6" w:space="0" w:color="000000"/>
            </w:tcBorders>
            <w:hideMark/>
          </w:tcPr>
          <w:p w14:paraId="689DFD6A" w14:textId="348B9DE3" w:rsidR="00D93616" w:rsidRPr="00D43281" w:rsidRDefault="00255DB4"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 xml:space="preserve">Спонсор/подрядчик внес значительный финансовый вклад в строительство или приобретение объекта. Финансовое положение спонсора/подрядчика позволяет ему поддерживать </w:t>
            </w:r>
            <w:r w:rsidRPr="00D43281">
              <w:rPr>
                <w:rFonts w:ascii="Times New Roman" w:eastAsia="Times New Roman" w:hAnsi="Times New Roman" w:cs="Times New Roman"/>
                <w:sz w:val="24"/>
                <w:szCs w:val="24"/>
                <w:lang w:val="ru-RU" w:eastAsia="ro-MD"/>
              </w:rPr>
              <w:lastRenderedPageBreak/>
              <w:t>объект в случае нехватки денежных средств. Объекты спонсора/подрядчика расположены в нескольких географических регионах.</w:t>
            </w:r>
          </w:p>
        </w:tc>
        <w:tc>
          <w:tcPr>
            <w:tcW w:w="0" w:type="auto"/>
            <w:tcBorders>
              <w:top w:val="single" w:sz="6" w:space="0" w:color="000000"/>
              <w:left w:val="single" w:sz="6" w:space="0" w:color="000000"/>
              <w:bottom w:val="single" w:sz="6" w:space="0" w:color="000000"/>
              <w:right w:val="single" w:sz="6" w:space="0" w:color="000000"/>
            </w:tcBorders>
            <w:hideMark/>
          </w:tcPr>
          <w:p w14:paraId="100FB90E" w14:textId="3D07D8E6" w:rsidR="00D93616" w:rsidRPr="00D43281" w:rsidRDefault="00640146"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Вклад спонсора/ подрядчика может быть незначительным или неденежным. Финансовые ресурсы спонсора/з подрядчика находятся на среднем или ниже среднего уровне.</w:t>
            </w:r>
          </w:p>
        </w:tc>
        <w:tc>
          <w:tcPr>
            <w:tcW w:w="0" w:type="auto"/>
            <w:tcBorders>
              <w:top w:val="single" w:sz="6" w:space="0" w:color="000000"/>
              <w:left w:val="single" w:sz="6" w:space="0" w:color="000000"/>
              <w:bottom w:val="single" w:sz="6" w:space="0" w:color="000000"/>
              <w:right w:val="single" w:sz="6" w:space="0" w:color="000000"/>
            </w:tcBorders>
            <w:hideMark/>
          </w:tcPr>
          <w:p w14:paraId="463B16FE" w14:textId="0BFA63C7" w:rsidR="00D93616" w:rsidRPr="00D43281" w:rsidRDefault="00640146"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Спонсор/подрядчик не обладает возможностью или желанием брать на себя обязательства по управлению активом.</w:t>
            </w:r>
          </w:p>
        </w:tc>
      </w:tr>
      <w:tr w:rsidR="00C87050" w:rsidRPr="00D43281" w14:paraId="56300EA8"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81"/>
            </w:tblGrid>
            <w:tr w:rsidR="00D93616" w:rsidRPr="00D43281" w14:paraId="15D220CC" w14:textId="77777777" w:rsidTr="00DF083B">
              <w:tc>
                <w:tcPr>
                  <w:tcW w:w="0" w:type="auto"/>
                  <w:hideMark/>
                </w:tcPr>
                <w:p w14:paraId="376A63AB" w14:textId="1976DC0C" w:rsidR="00D93616" w:rsidRPr="00D43281" w:rsidRDefault="002E7A8D" w:rsidP="00637724">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2.</w:t>
                  </w:r>
                </w:p>
              </w:tc>
              <w:tc>
                <w:tcPr>
                  <w:tcW w:w="0" w:type="auto"/>
                  <w:hideMark/>
                </w:tcPr>
                <w:p w14:paraId="077E5D68" w14:textId="6D9A31F3" w:rsidR="00D93616" w:rsidRPr="00D43281" w:rsidRDefault="0056108A" w:rsidP="00637724">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репутация и история в отношении аналогичных активов</w:t>
                  </w:r>
                </w:p>
              </w:tc>
            </w:tr>
          </w:tbl>
          <w:p w14:paraId="3940E68F" w14:textId="77777777" w:rsidR="00D93616" w:rsidRPr="00D43281" w:rsidRDefault="00D93616" w:rsidP="00637724">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9D9DB7D" w14:textId="51D42CDB" w:rsidR="00D93616" w:rsidRPr="00D43281" w:rsidRDefault="00A4520B" w:rsidP="00DF083B">
            <w:pPr>
              <w:tabs>
                <w:tab w:val="left" w:pos="1787"/>
              </w:tabs>
              <w:spacing w:before="60" w:after="60" w:line="240" w:lineRule="auto"/>
              <w:ind w:firstLine="87"/>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xml:space="preserve">Управленческая команда опытная, а спонсоры — высококлассные; у них солидная репутация и долгая и положительная </w:t>
            </w:r>
            <w:r w:rsidR="00A92D9B" w:rsidRPr="00D43281">
              <w:rPr>
                <w:rFonts w:ascii="Times New Roman" w:eastAsia="Times New Roman" w:hAnsi="Times New Roman" w:cs="Times New Roman"/>
                <w:sz w:val="24"/>
                <w:szCs w:val="24"/>
                <w:lang w:val="ru-RU" w:eastAsia="ro-MD"/>
              </w:rPr>
              <w:t>история работы</w:t>
            </w:r>
            <w:r w:rsidR="00FE7B4C" w:rsidRPr="00D43281">
              <w:rPr>
                <w:rFonts w:ascii="Times New Roman" w:eastAsia="Times New Roman" w:hAnsi="Times New Roman" w:cs="Times New Roman"/>
                <w:sz w:val="24"/>
                <w:szCs w:val="24"/>
                <w:lang w:val="ru-RU" w:eastAsia="ro-MD"/>
              </w:rPr>
              <w:t xml:space="preserve"> </w:t>
            </w:r>
            <w:r w:rsidRPr="00D43281">
              <w:rPr>
                <w:rFonts w:ascii="Times New Roman" w:eastAsia="Times New Roman" w:hAnsi="Times New Roman" w:cs="Times New Roman"/>
                <w:sz w:val="24"/>
                <w:szCs w:val="24"/>
                <w:lang w:val="ru-RU" w:eastAsia="ro-MD"/>
              </w:rPr>
              <w:t>с аналогичными активами</w:t>
            </w:r>
          </w:p>
        </w:tc>
        <w:tc>
          <w:tcPr>
            <w:tcW w:w="0" w:type="auto"/>
            <w:tcBorders>
              <w:top w:val="single" w:sz="6" w:space="0" w:color="000000"/>
              <w:left w:val="single" w:sz="6" w:space="0" w:color="000000"/>
              <w:bottom w:val="single" w:sz="6" w:space="0" w:color="000000"/>
              <w:right w:val="single" w:sz="6" w:space="0" w:color="000000"/>
            </w:tcBorders>
            <w:hideMark/>
          </w:tcPr>
          <w:p w14:paraId="05C5EE3B" w14:textId="7C1BC3AC" w:rsidR="00D93616" w:rsidRPr="00D43281" w:rsidRDefault="00A4520B"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Качество управления и спонсоров находится на приемлемом уровне. Спонсор или руководство имеют положительный опыт работы с аналогичными активами</w:t>
            </w:r>
          </w:p>
        </w:tc>
        <w:tc>
          <w:tcPr>
            <w:tcW w:w="0" w:type="auto"/>
            <w:tcBorders>
              <w:top w:val="single" w:sz="6" w:space="0" w:color="000000"/>
              <w:left w:val="single" w:sz="6" w:space="0" w:color="000000"/>
              <w:bottom w:val="single" w:sz="6" w:space="0" w:color="000000"/>
              <w:right w:val="single" w:sz="6" w:space="0" w:color="000000"/>
            </w:tcBorders>
            <w:hideMark/>
          </w:tcPr>
          <w:p w14:paraId="1550FA2B" w14:textId="6B08330E" w:rsidR="00D93616" w:rsidRPr="00D43281" w:rsidRDefault="00FE7B4C"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Качество управления и спонсоров находится на среднем уровне. История деятельности управления или спонсоров не вызывает серьезных опасений.</w:t>
            </w:r>
          </w:p>
        </w:tc>
        <w:tc>
          <w:tcPr>
            <w:tcW w:w="0" w:type="auto"/>
            <w:tcBorders>
              <w:top w:val="single" w:sz="6" w:space="0" w:color="000000"/>
              <w:left w:val="single" w:sz="6" w:space="0" w:color="000000"/>
              <w:bottom w:val="single" w:sz="6" w:space="0" w:color="000000"/>
              <w:right w:val="single" w:sz="6" w:space="0" w:color="000000"/>
            </w:tcBorders>
            <w:hideMark/>
          </w:tcPr>
          <w:p w14:paraId="5E9A07F4" w14:textId="7C81CBCF" w:rsidR="00D93616" w:rsidRPr="00D43281" w:rsidRDefault="00FE7B4C"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Управление неэффективно, а качество спонсоров низкое. Трудности в отношениях с руководством и спонсорами в прошлом способствовали возникновению проблем с управлением активами.</w:t>
            </w:r>
          </w:p>
        </w:tc>
      </w:tr>
      <w:tr w:rsidR="00C87050" w:rsidRPr="00D43281" w14:paraId="4E2EA3C5"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06"/>
              <w:gridCol w:w="1755"/>
            </w:tblGrid>
            <w:tr w:rsidR="00D93616" w:rsidRPr="00D43281" w14:paraId="696F6321" w14:textId="77777777" w:rsidTr="00DF083B">
              <w:tc>
                <w:tcPr>
                  <w:tcW w:w="0" w:type="auto"/>
                  <w:hideMark/>
                </w:tcPr>
                <w:p w14:paraId="0CAF15E8" w14:textId="5D6FBDFB" w:rsidR="00D93616" w:rsidRPr="00D43281" w:rsidRDefault="002E7A8D"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3</w:t>
                  </w:r>
                </w:p>
              </w:tc>
              <w:tc>
                <w:tcPr>
                  <w:tcW w:w="0" w:type="auto"/>
                  <w:hideMark/>
                </w:tcPr>
                <w:p w14:paraId="33E814B6" w14:textId="5C6D6884" w:rsidR="00D93616" w:rsidRPr="00D43281" w:rsidRDefault="00F60608" w:rsidP="00637724">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 </w:t>
                  </w:r>
                  <w:proofErr w:type="spellStart"/>
                  <w:r w:rsidR="005D5868" w:rsidRPr="00D43281">
                    <w:rPr>
                      <w:rFonts w:ascii="Times New Roman" w:eastAsia="Times New Roman" w:hAnsi="Times New Roman" w:cs="Times New Roman"/>
                      <w:sz w:val="24"/>
                      <w:szCs w:val="24"/>
                      <w:lang w:val="ru-MD" w:eastAsia="ro-MD"/>
                    </w:rPr>
                    <w:t>Подфактор</w:t>
                  </w:r>
                  <w:proofErr w:type="spellEnd"/>
                  <w:r w:rsidR="005D5868" w:rsidRPr="00D43281">
                    <w:rPr>
                      <w:rFonts w:ascii="Times New Roman" w:eastAsia="Times New Roman" w:hAnsi="Times New Roman" w:cs="Times New Roman"/>
                      <w:sz w:val="24"/>
                      <w:szCs w:val="24"/>
                      <w:lang w:val="ru-MD" w:eastAsia="ro-MD"/>
                    </w:rPr>
                    <w:t>: отношения с соответствующими участниками рынка недвижимости</w:t>
                  </w:r>
                </w:p>
              </w:tc>
            </w:tr>
          </w:tbl>
          <w:p w14:paraId="713AE118"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7ADA5C70" w14:textId="276432CC" w:rsidR="00D93616" w:rsidRPr="00D43281" w:rsidRDefault="005D5868" w:rsidP="00DF083B">
            <w:pPr>
              <w:tabs>
                <w:tab w:val="left" w:pos="1787"/>
              </w:tabs>
              <w:spacing w:before="60" w:after="60" w:line="240" w:lineRule="auto"/>
              <w:ind w:firstLine="87"/>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Тесные связи с ключевыми игроками, такими как агенты по аренде</w:t>
            </w:r>
          </w:p>
        </w:tc>
        <w:tc>
          <w:tcPr>
            <w:tcW w:w="0" w:type="auto"/>
            <w:tcBorders>
              <w:top w:val="single" w:sz="6" w:space="0" w:color="000000"/>
              <w:left w:val="single" w:sz="6" w:space="0" w:color="000000"/>
              <w:bottom w:val="single" w:sz="6" w:space="0" w:color="000000"/>
              <w:right w:val="single" w:sz="6" w:space="0" w:color="000000"/>
            </w:tcBorders>
            <w:hideMark/>
          </w:tcPr>
          <w:p w14:paraId="2619254E" w14:textId="53CF234E" w:rsidR="00D93616" w:rsidRPr="00D43281" w:rsidRDefault="00F60608"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Налаженные связи с ключевыми игроками, такими как агенты по аренде</w:t>
            </w:r>
          </w:p>
        </w:tc>
        <w:tc>
          <w:tcPr>
            <w:tcW w:w="0" w:type="auto"/>
            <w:tcBorders>
              <w:top w:val="single" w:sz="6" w:space="0" w:color="000000"/>
              <w:left w:val="single" w:sz="6" w:space="0" w:color="000000"/>
              <w:bottom w:val="single" w:sz="6" w:space="0" w:color="000000"/>
              <w:right w:val="single" w:sz="6" w:space="0" w:color="000000"/>
            </w:tcBorders>
            <w:hideMark/>
          </w:tcPr>
          <w:p w14:paraId="2DB8FB7A" w14:textId="5E626CC4" w:rsidR="00D93616" w:rsidRPr="00D43281" w:rsidRDefault="00F60608"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Поддержание надлежащих отношений с агентами по аренде и другими сторонами, предоставляющими важные услуги в сфере недвижимости</w:t>
            </w:r>
          </w:p>
        </w:tc>
        <w:tc>
          <w:tcPr>
            <w:tcW w:w="0" w:type="auto"/>
            <w:tcBorders>
              <w:top w:val="single" w:sz="6" w:space="0" w:color="000000"/>
              <w:left w:val="single" w:sz="6" w:space="0" w:color="000000"/>
              <w:bottom w:val="single" w:sz="6" w:space="0" w:color="000000"/>
              <w:right w:val="single" w:sz="6" w:space="0" w:color="000000"/>
            </w:tcBorders>
            <w:hideMark/>
          </w:tcPr>
          <w:p w14:paraId="2C943E81" w14:textId="560D75DF" w:rsidR="00D93616" w:rsidRPr="00D43281" w:rsidRDefault="00F60608"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Плохие отношения с агентами по сдаче в аренду и/или другими сторонами, предоставляющими важные услуги в сфере недвижимости</w:t>
            </w:r>
          </w:p>
        </w:tc>
      </w:tr>
      <w:tr w:rsidR="00C87050" w:rsidRPr="00D43281" w14:paraId="6DB39B1E" w14:textId="77777777" w:rsidTr="00DF083B">
        <w:tc>
          <w:tcPr>
            <w:tcW w:w="0" w:type="auto"/>
            <w:tcBorders>
              <w:top w:val="single" w:sz="6" w:space="0" w:color="000000"/>
              <w:left w:val="single" w:sz="6" w:space="0" w:color="000000"/>
              <w:bottom w:val="single" w:sz="6" w:space="0" w:color="000000"/>
              <w:right w:val="single" w:sz="6" w:space="0" w:color="000000"/>
            </w:tcBorders>
            <w:hideMark/>
          </w:tcPr>
          <w:p w14:paraId="6E4D8C4A" w14:textId="526F9996" w:rsidR="00D93616" w:rsidRPr="00D43281" w:rsidRDefault="00436C47"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b/>
                <w:bCs/>
                <w:sz w:val="24"/>
                <w:szCs w:val="24"/>
                <w:lang w:val="ru-MD" w:eastAsia="ro-MD"/>
              </w:rPr>
              <w:t>Фактор: механизмы гарантий</w:t>
            </w:r>
          </w:p>
        </w:tc>
        <w:tc>
          <w:tcPr>
            <w:tcW w:w="0" w:type="auto"/>
            <w:tcBorders>
              <w:top w:val="single" w:sz="6" w:space="0" w:color="000000"/>
              <w:left w:val="single" w:sz="6" w:space="0" w:color="000000"/>
              <w:bottom w:val="single" w:sz="6" w:space="0" w:color="000000"/>
              <w:right w:val="single" w:sz="6" w:space="0" w:color="000000"/>
            </w:tcBorders>
            <w:hideMark/>
          </w:tcPr>
          <w:p w14:paraId="300BD6EA" w14:textId="77777777" w:rsidR="00D93616" w:rsidRPr="00D43281" w:rsidRDefault="00D93616" w:rsidP="00DF083B">
            <w:pPr>
              <w:tabs>
                <w:tab w:val="left" w:pos="1787"/>
              </w:tabs>
              <w:spacing w:before="120" w:after="0" w:line="240" w:lineRule="auto"/>
              <w:ind w:firstLine="87"/>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5140955D"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5AF0021"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15A4C8AF"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r>
      <w:tr w:rsidR="00C87050" w:rsidRPr="00D43281" w14:paraId="19383375"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81"/>
            </w:tblGrid>
            <w:tr w:rsidR="00D93616" w:rsidRPr="00D43281" w14:paraId="48008D26" w14:textId="77777777" w:rsidTr="00DF083B">
              <w:tc>
                <w:tcPr>
                  <w:tcW w:w="0" w:type="auto"/>
                  <w:hideMark/>
                </w:tcPr>
                <w:p w14:paraId="1E52BAEC" w14:textId="3CD1D006" w:rsidR="00D93616" w:rsidRPr="00D43281" w:rsidRDefault="002E7A8D"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1.</w:t>
                  </w:r>
                </w:p>
              </w:tc>
              <w:tc>
                <w:tcPr>
                  <w:tcW w:w="0" w:type="auto"/>
                  <w:hideMark/>
                </w:tcPr>
                <w:p w14:paraId="66D9AE4C" w14:textId="5A637AAF" w:rsidR="00D93616" w:rsidRPr="00D43281" w:rsidRDefault="00436C47" w:rsidP="00637724">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характер ипотечного права</w:t>
                  </w:r>
                </w:p>
              </w:tc>
            </w:tr>
          </w:tbl>
          <w:p w14:paraId="5833C817"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558FF9AA" w14:textId="14F7579F" w:rsidR="00D93616" w:rsidRPr="00D43281" w:rsidRDefault="00C87050" w:rsidP="00DF083B">
            <w:pPr>
              <w:tabs>
                <w:tab w:val="left" w:pos="1787"/>
              </w:tabs>
              <w:spacing w:before="60" w:after="60" w:line="240" w:lineRule="auto"/>
              <w:ind w:firstLine="87"/>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Противопоставимость</w:t>
            </w:r>
            <w:proofErr w:type="spellEnd"/>
            <w:r w:rsidRPr="00D43281">
              <w:rPr>
                <w:rFonts w:ascii="Times New Roman" w:eastAsia="Times New Roman" w:hAnsi="Times New Roman" w:cs="Times New Roman"/>
                <w:sz w:val="24"/>
                <w:szCs w:val="24"/>
                <w:lang w:val="ru-MD" w:eastAsia="ro-MD"/>
              </w:rPr>
              <w:t xml:space="preserve"> </w:t>
            </w:r>
            <w:r w:rsidR="0019735E" w:rsidRPr="00D43281">
              <w:rPr>
                <w:rFonts w:ascii="Times New Roman" w:eastAsia="Times New Roman" w:hAnsi="Times New Roman" w:cs="Times New Roman"/>
                <w:sz w:val="24"/>
                <w:szCs w:val="24"/>
                <w:lang w:val="ru-MD" w:eastAsia="ro-MD"/>
              </w:rPr>
              <w:t>прав</w:t>
            </w:r>
            <w:r w:rsidRPr="00D43281">
              <w:rPr>
                <w:rFonts w:ascii="Times New Roman" w:eastAsia="Times New Roman" w:hAnsi="Times New Roman" w:cs="Times New Roman"/>
                <w:sz w:val="24"/>
                <w:szCs w:val="24"/>
                <w:lang w:val="ru-MD" w:eastAsia="ro-MD"/>
              </w:rPr>
              <w:t>а</w:t>
            </w:r>
            <w:r w:rsidR="0019735E" w:rsidRPr="00D43281">
              <w:rPr>
                <w:rFonts w:ascii="Times New Roman" w:eastAsia="Times New Roman" w:hAnsi="Times New Roman" w:cs="Times New Roman"/>
                <w:sz w:val="24"/>
                <w:szCs w:val="24"/>
                <w:lang w:val="ru-MD" w:eastAsia="ro-MD"/>
              </w:rPr>
              <w:t xml:space="preserve"> на ипотеку</w:t>
            </w:r>
          </w:p>
        </w:tc>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89"/>
            </w:tblGrid>
            <w:tr w:rsidR="00C87050" w:rsidRPr="00D43281" w14:paraId="7F878BB1" w14:textId="77777777" w:rsidTr="00C10FDB">
              <w:tc>
                <w:tcPr>
                  <w:tcW w:w="0" w:type="auto"/>
                  <w:tcBorders>
                    <w:top w:val="single" w:sz="6" w:space="0" w:color="000000"/>
                    <w:left w:val="single" w:sz="6" w:space="0" w:color="000000"/>
                    <w:bottom w:val="single" w:sz="6" w:space="0" w:color="000000"/>
                    <w:right w:val="single" w:sz="6" w:space="0" w:color="000000"/>
                  </w:tcBorders>
                  <w:hideMark/>
                </w:tcPr>
                <w:p w14:paraId="46E5F8D3" w14:textId="77777777" w:rsidR="00C87050" w:rsidRPr="00D43281" w:rsidRDefault="00C87050" w:rsidP="00C87050">
                  <w:pPr>
                    <w:tabs>
                      <w:tab w:val="left" w:pos="1787"/>
                    </w:tabs>
                    <w:spacing w:before="60" w:after="60" w:line="240" w:lineRule="auto"/>
                    <w:ind w:firstLine="87"/>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Противопоставимость</w:t>
                  </w:r>
                  <w:proofErr w:type="spellEnd"/>
                  <w:r w:rsidRPr="00D43281">
                    <w:rPr>
                      <w:rFonts w:ascii="Times New Roman" w:eastAsia="Times New Roman" w:hAnsi="Times New Roman" w:cs="Times New Roman"/>
                      <w:sz w:val="24"/>
                      <w:szCs w:val="24"/>
                      <w:lang w:val="ru-MD" w:eastAsia="ro-MD"/>
                    </w:rPr>
                    <w:t xml:space="preserve"> права на ипотеку</w:t>
                  </w:r>
                </w:p>
              </w:tc>
            </w:tr>
          </w:tbl>
          <w:p w14:paraId="0F69CA66" w14:textId="04658D2F" w:rsidR="00D93616" w:rsidRPr="00D43281" w:rsidRDefault="00D93616" w:rsidP="00DF083B">
            <w:pPr>
              <w:spacing w:before="60" w:after="6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828"/>
            </w:tblGrid>
            <w:tr w:rsidR="00C87050" w:rsidRPr="00D43281" w14:paraId="698130D3" w14:textId="77777777" w:rsidTr="00C10FDB">
              <w:tc>
                <w:tcPr>
                  <w:tcW w:w="0" w:type="auto"/>
                  <w:tcBorders>
                    <w:top w:val="single" w:sz="6" w:space="0" w:color="000000"/>
                    <w:left w:val="single" w:sz="6" w:space="0" w:color="000000"/>
                    <w:bottom w:val="single" w:sz="6" w:space="0" w:color="000000"/>
                    <w:right w:val="single" w:sz="6" w:space="0" w:color="000000"/>
                  </w:tcBorders>
                  <w:hideMark/>
                </w:tcPr>
                <w:p w14:paraId="3F598CF4" w14:textId="77777777" w:rsidR="00C87050" w:rsidRPr="00D43281" w:rsidRDefault="00C87050" w:rsidP="00C87050">
                  <w:pPr>
                    <w:tabs>
                      <w:tab w:val="left" w:pos="1787"/>
                    </w:tabs>
                    <w:spacing w:before="60" w:after="60" w:line="240" w:lineRule="auto"/>
                    <w:ind w:firstLine="87"/>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Противопоставимость</w:t>
                  </w:r>
                  <w:proofErr w:type="spellEnd"/>
                  <w:r w:rsidRPr="00D43281">
                    <w:rPr>
                      <w:rFonts w:ascii="Times New Roman" w:eastAsia="Times New Roman" w:hAnsi="Times New Roman" w:cs="Times New Roman"/>
                      <w:sz w:val="24"/>
                      <w:szCs w:val="24"/>
                      <w:lang w:val="ru-MD" w:eastAsia="ro-MD"/>
                    </w:rPr>
                    <w:t xml:space="preserve"> права на ипотеку</w:t>
                  </w:r>
                </w:p>
              </w:tc>
            </w:tr>
          </w:tbl>
          <w:p w14:paraId="68866426" w14:textId="0E070BBA" w:rsidR="00D93616" w:rsidRPr="00D43281" w:rsidRDefault="00D93616" w:rsidP="00DF083B">
            <w:pPr>
              <w:spacing w:before="60" w:after="6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06BCEF62" w14:textId="18CFE4C0" w:rsidR="00D93616" w:rsidRPr="00D43281" w:rsidRDefault="0019735E"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Возможность кредитора инициировать процедуру обращения взыскания на заложенное имущество ограничена определенными условиями.</w:t>
            </w:r>
          </w:p>
        </w:tc>
      </w:tr>
      <w:tr w:rsidR="00C87050" w:rsidRPr="00D43281" w14:paraId="2A089297"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81"/>
            </w:tblGrid>
            <w:tr w:rsidR="00D93616" w:rsidRPr="00D43281" w14:paraId="4D92F2E5" w14:textId="77777777" w:rsidTr="00DF083B">
              <w:tc>
                <w:tcPr>
                  <w:tcW w:w="0" w:type="auto"/>
                  <w:hideMark/>
                </w:tcPr>
                <w:p w14:paraId="1C1AD377" w14:textId="50980A0B" w:rsidR="00D93616" w:rsidRPr="00D43281" w:rsidRDefault="002E7A8D"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2.</w:t>
                  </w:r>
                </w:p>
              </w:tc>
              <w:tc>
                <w:tcPr>
                  <w:tcW w:w="0" w:type="auto"/>
                  <w:hideMark/>
                </w:tcPr>
                <w:p w14:paraId="4C2F4C67" w14:textId="2F61A188" w:rsidR="00D93616" w:rsidRPr="00D43281" w:rsidRDefault="00B23F7D" w:rsidP="00DF083B">
                  <w:pPr>
                    <w:spacing w:before="120" w:after="0" w:line="240" w:lineRule="auto"/>
                    <w:jc w:val="both"/>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00D93616" w:rsidRPr="00D43281">
                    <w:rPr>
                      <w:rFonts w:ascii="Times New Roman" w:eastAsia="Times New Roman" w:hAnsi="Times New Roman" w:cs="Times New Roman"/>
                      <w:sz w:val="24"/>
                      <w:szCs w:val="24"/>
                      <w:lang w:val="ru-RU" w:eastAsia="ro-MD"/>
                    </w:rPr>
                    <w:t xml:space="preserve">: </w:t>
                  </w:r>
                  <w:r w:rsidR="002305C3" w:rsidRPr="00D43281">
                    <w:rPr>
                      <w:rFonts w:ascii="Times New Roman" w:eastAsia="Times New Roman" w:hAnsi="Times New Roman" w:cs="Times New Roman"/>
                      <w:sz w:val="24"/>
                      <w:szCs w:val="24"/>
                      <w:lang w:val="ru-RU" w:eastAsia="ro-MD"/>
                    </w:rPr>
                    <w:t>пере</w:t>
                  </w:r>
                  <w:r w:rsidR="004617D5" w:rsidRPr="00D43281">
                    <w:rPr>
                      <w:rFonts w:ascii="Times New Roman" w:eastAsia="Times New Roman" w:hAnsi="Times New Roman" w:cs="Times New Roman"/>
                      <w:sz w:val="24"/>
                      <w:szCs w:val="24"/>
                      <w:lang w:val="ru-RU" w:eastAsia="ro-MD"/>
                    </w:rPr>
                    <w:t>уступка арендной платы</w:t>
                  </w:r>
                </w:p>
              </w:tc>
            </w:tr>
          </w:tbl>
          <w:p w14:paraId="197D0F1D"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6DB98FCB" w14:textId="4797009B" w:rsidR="00D93616" w:rsidRPr="00D43281" w:rsidRDefault="004617D5" w:rsidP="00DF083B">
            <w:pPr>
              <w:spacing w:before="60" w:after="60" w:line="240" w:lineRule="auto"/>
              <w:ind w:left="87" w:right="102"/>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Кредитор получил право переуступки на большую часть арендной платы. Он ведет актуальную информацию об арендаторах, которая позволит уведомлять их о необходимости перечислять арендную плату непосредственно кредитору, например, график текущей арендной платы и копии договоров аренды, относящихся к проекту.</w:t>
            </w:r>
          </w:p>
        </w:tc>
        <w:tc>
          <w:tcPr>
            <w:tcW w:w="0" w:type="auto"/>
            <w:tcBorders>
              <w:top w:val="single" w:sz="6" w:space="0" w:color="000000"/>
              <w:left w:val="single" w:sz="6" w:space="0" w:color="000000"/>
              <w:bottom w:val="single" w:sz="6" w:space="0" w:color="000000"/>
              <w:right w:val="single" w:sz="6" w:space="0" w:color="000000"/>
            </w:tcBorders>
            <w:hideMark/>
          </w:tcPr>
          <w:p w14:paraId="02CE4ACC" w14:textId="258FC5F9" w:rsidR="00D93616" w:rsidRPr="00D43281" w:rsidRDefault="004617D5"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Кредитор получил право переуступки значительной части арендной платы. Он ведет актуальную информацию об арендаторах, которая позволит уведомлять их о необходимости перечисления арендной платы непосредственно кредитору, например, график текущей арендной платы и копии договоров аренды, относящихся к проекту.</w:t>
            </w:r>
          </w:p>
        </w:tc>
        <w:tc>
          <w:tcPr>
            <w:tcW w:w="0" w:type="auto"/>
            <w:tcBorders>
              <w:top w:val="single" w:sz="6" w:space="0" w:color="000000"/>
              <w:left w:val="single" w:sz="6" w:space="0" w:color="000000"/>
              <w:bottom w:val="single" w:sz="6" w:space="0" w:color="000000"/>
              <w:right w:val="single" w:sz="6" w:space="0" w:color="000000"/>
            </w:tcBorders>
            <w:hideMark/>
          </w:tcPr>
          <w:p w14:paraId="3F1824E3" w14:textId="647F187B" w:rsidR="00D93616" w:rsidRPr="00D43281" w:rsidRDefault="004617D5"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Кредитор получил право переуступки на относительно небольшую часть арендной платы. Кредитор не вел актуальную информацию об арендаторах, которая позволила бы уведомлять их о необходимости перечислять арендную плату непосредственно кредитору, например, график текущей арендной платы и копии договоров аренды, относящихся к проекту.</w:t>
            </w:r>
          </w:p>
        </w:tc>
        <w:tc>
          <w:tcPr>
            <w:tcW w:w="0" w:type="auto"/>
            <w:tcBorders>
              <w:top w:val="single" w:sz="6" w:space="0" w:color="000000"/>
              <w:left w:val="single" w:sz="6" w:space="0" w:color="000000"/>
              <w:bottom w:val="single" w:sz="6" w:space="0" w:color="000000"/>
              <w:right w:val="single" w:sz="6" w:space="0" w:color="000000"/>
            </w:tcBorders>
            <w:hideMark/>
          </w:tcPr>
          <w:p w14:paraId="1C4BFBD3" w14:textId="58DBBB49" w:rsidR="00D93616" w:rsidRPr="00D43281" w:rsidRDefault="002305C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Кредитор не получил никаких прав переуступки по договорам аренды.</w:t>
            </w:r>
          </w:p>
        </w:tc>
      </w:tr>
      <w:tr w:rsidR="00C87050" w:rsidRPr="00D43281" w14:paraId="6A8F5777" w14:textId="77777777" w:rsidTr="00DF083B">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681"/>
            </w:tblGrid>
            <w:tr w:rsidR="00D93616" w:rsidRPr="00D43281" w14:paraId="47E1887D" w14:textId="77777777" w:rsidTr="00DF083B">
              <w:tc>
                <w:tcPr>
                  <w:tcW w:w="0" w:type="auto"/>
                  <w:hideMark/>
                </w:tcPr>
                <w:p w14:paraId="25EC6287" w14:textId="031BB19C" w:rsidR="00D93616" w:rsidRPr="00D43281" w:rsidRDefault="002E7A8D"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3.</w:t>
                  </w:r>
                </w:p>
              </w:tc>
              <w:tc>
                <w:tcPr>
                  <w:tcW w:w="0" w:type="auto"/>
                  <w:hideMark/>
                </w:tcPr>
                <w:p w14:paraId="788CAD4E" w14:textId="1F0A803C" w:rsidR="00D93616" w:rsidRPr="00D43281" w:rsidRDefault="00116AB2" w:rsidP="00DF083B">
                  <w:pPr>
                    <w:spacing w:before="120" w:after="0" w:line="240" w:lineRule="auto"/>
                    <w:jc w:val="both"/>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качество страхового покрытия</w:t>
                  </w:r>
                </w:p>
              </w:tc>
            </w:tr>
          </w:tbl>
          <w:p w14:paraId="323E06B1"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0" w:type="auto"/>
            <w:tcBorders>
              <w:top w:val="single" w:sz="6" w:space="0" w:color="000000"/>
              <w:left w:val="single" w:sz="6" w:space="0" w:color="000000"/>
              <w:bottom w:val="single" w:sz="6" w:space="0" w:color="000000"/>
              <w:right w:val="single" w:sz="6" w:space="0" w:color="000000"/>
            </w:tcBorders>
            <w:hideMark/>
          </w:tcPr>
          <w:p w14:paraId="109381A1" w14:textId="651CBDCD" w:rsidR="00D93616" w:rsidRPr="00D43281" w:rsidRDefault="009E667D" w:rsidP="00DF083B">
            <w:pPr>
              <w:spacing w:before="60" w:after="60" w:line="240" w:lineRule="auto"/>
              <w:ind w:left="87" w:right="102"/>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Очень хорошее качество</w:t>
            </w:r>
          </w:p>
        </w:tc>
        <w:tc>
          <w:tcPr>
            <w:tcW w:w="0" w:type="auto"/>
            <w:tcBorders>
              <w:top w:val="single" w:sz="6" w:space="0" w:color="000000"/>
              <w:left w:val="single" w:sz="6" w:space="0" w:color="000000"/>
              <w:bottom w:val="single" w:sz="6" w:space="0" w:color="000000"/>
              <w:right w:val="single" w:sz="6" w:space="0" w:color="000000"/>
            </w:tcBorders>
            <w:hideMark/>
          </w:tcPr>
          <w:p w14:paraId="05E0C25A" w14:textId="1CA27419" w:rsidR="00D93616" w:rsidRPr="00D43281" w:rsidRDefault="009E667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Хорошее качество</w:t>
            </w:r>
          </w:p>
        </w:tc>
        <w:tc>
          <w:tcPr>
            <w:tcW w:w="0" w:type="auto"/>
            <w:tcBorders>
              <w:top w:val="single" w:sz="6" w:space="0" w:color="000000"/>
              <w:left w:val="single" w:sz="6" w:space="0" w:color="000000"/>
              <w:bottom w:val="single" w:sz="6" w:space="0" w:color="000000"/>
              <w:right w:val="single" w:sz="6" w:space="0" w:color="000000"/>
            </w:tcBorders>
            <w:hideMark/>
          </w:tcPr>
          <w:p w14:paraId="1A8CA767" w14:textId="4287F789" w:rsidR="00D93616" w:rsidRPr="00D43281" w:rsidRDefault="009E667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Удовлетворительное качество</w:t>
            </w:r>
          </w:p>
        </w:tc>
        <w:tc>
          <w:tcPr>
            <w:tcW w:w="0" w:type="auto"/>
            <w:tcBorders>
              <w:top w:val="single" w:sz="6" w:space="0" w:color="000000"/>
              <w:left w:val="single" w:sz="6" w:space="0" w:color="000000"/>
              <w:bottom w:val="single" w:sz="6" w:space="0" w:color="000000"/>
              <w:right w:val="single" w:sz="6" w:space="0" w:color="000000"/>
            </w:tcBorders>
            <w:hideMark/>
          </w:tcPr>
          <w:p w14:paraId="20FED072" w14:textId="4B4DC389" w:rsidR="00D93616" w:rsidRPr="00D43281" w:rsidRDefault="009E667D"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Низкое качество</w:t>
            </w:r>
          </w:p>
        </w:tc>
      </w:tr>
    </w:tbl>
    <w:p w14:paraId="32C631E1" w14:textId="280013AC" w:rsidR="00D93616" w:rsidRPr="00D43281" w:rsidRDefault="009E667D" w:rsidP="0007215A">
      <w:pPr>
        <w:shd w:val="clear" w:color="auto" w:fill="FFFFFF"/>
        <w:spacing w:before="240" w:after="120" w:line="240" w:lineRule="auto"/>
        <w:jc w:val="right"/>
        <w:rPr>
          <w:rFonts w:ascii="Times New Roman" w:eastAsia="Times New Roman" w:hAnsi="Times New Roman" w:cs="Times New Roman"/>
          <w:b/>
          <w:bCs/>
          <w:i/>
          <w:iCs/>
          <w:color w:val="000000"/>
          <w:sz w:val="24"/>
          <w:szCs w:val="24"/>
          <w:lang w:eastAsia="ro-MD"/>
        </w:rPr>
      </w:pPr>
      <w:r w:rsidRPr="00D43281">
        <w:rPr>
          <w:rFonts w:ascii="Times New Roman" w:eastAsia="Times New Roman" w:hAnsi="Times New Roman" w:cs="Times New Roman"/>
          <w:b/>
          <w:bCs/>
          <w:i/>
          <w:iCs/>
          <w:color w:val="000000"/>
          <w:sz w:val="24"/>
          <w:szCs w:val="24"/>
          <w:lang w:val="ru-RU" w:eastAsia="ro-MD"/>
        </w:rPr>
        <w:t xml:space="preserve">Таблица № </w:t>
      </w:r>
      <w:r w:rsidR="0007215A" w:rsidRPr="00D43281">
        <w:rPr>
          <w:rFonts w:ascii="Times New Roman" w:eastAsia="Times New Roman" w:hAnsi="Times New Roman" w:cs="Times New Roman"/>
          <w:b/>
          <w:bCs/>
          <w:i/>
          <w:iCs/>
          <w:color w:val="000000"/>
          <w:sz w:val="24"/>
          <w:szCs w:val="24"/>
          <w:lang w:eastAsia="ro-MD"/>
        </w:rPr>
        <w:t>3</w:t>
      </w:r>
    </w:p>
    <w:p w14:paraId="78745163" w14:textId="109B405C" w:rsidR="00D93616" w:rsidRPr="00D43281" w:rsidRDefault="00625689" w:rsidP="00D93616">
      <w:pPr>
        <w:shd w:val="clear" w:color="auto" w:fill="FFFFFF"/>
        <w:spacing w:before="240" w:after="120" w:line="240" w:lineRule="auto"/>
        <w:jc w:val="center"/>
        <w:rPr>
          <w:rFonts w:ascii="Times New Roman" w:eastAsia="Times New Roman" w:hAnsi="Times New Roman" w:cs="Times New Roman"/>
          <w:b/>
          <w:bCs/>
          <w:color w:val="000000"/>
          <w:sz w:val="24"/>
          <w:szCs w:val="24"/>
          <w:lang w:val="ru-RU" w:eastAsia="ro-MD"/>
        </w:rPr>
      </w:pPr>
      <w:r w:rsidRPr="00D43281">
        <w:rPr>
          <w:rFonts w:ascii="Times New Roman" w:eastAsia="Times New Roman" w:hAnsi="Times New Roman" w:cs="Times New Roman"/>
          <w:b/>
          <w:bCs/>
          <w:color w:val="000000"/>
          <w:sz w:val="24"/>
          <w:szCs w:val="24"/>
          <w:lang w:val="ru-RU" w:eastAsia="ro-MD"/>
        </w:rPr>
        <w:t xml:space="preserve">Критерии оценки подверженностей в сфере финансирования </w:t>
      </w:r>
      <w:r w:rsidR="00DA46CF" w:rsidRPr="00DA46CF">
        <w:rPr>
          <w:rFonts w:ascii="Times New Roman" w:eastAsia="Times New Roman" w:hAnsi="Times New Roman" w:cs="Times New Roman"/>
          <w:b/>
          <w:bCs/>
          <w:color w:val="000000"/>
          <w:sz w:val="24"/>
          <w:szCs w:val="24"/>
          <w:lang w:val="ru-RU" w:eastAsia="ro-MD"/>
        </w:rPr>
        <w:t>объектов</w:t>
      </w:r>
    </w:p>
    <w:tbl>
      <w:tblPr>
        <w:tblW w:w="5000" w:type="pct"/>
        <w:tblBorders>
          <w:top w:val="single" w:sz="6" w:space="0" w:color="000000"/>
          <w:left w:val="single" w:sz="6" w:space="0" w:color="000000"/>
          <w:bottom w:val="single" w:sz="6" w:space="0" w:color="000000"/>
          <w:right w:val="single" w:sz="6" w:space="0" w:color="000000"/>
        </w:tblBorders>
        <w:tblLayout w:type="fixed"/>
        <w:tblCellMar>
          <w:left w:w="0" w:type="dxa"/>
          <w:right w:w="0" w:type="dxa"/>
        </w:tblCellMar>
        <w:tblLook w:val="04A0" w:firstRow="1" w:lastRow="0" w:firstColumn="1" w:lastColumn="0" w:noHBand="0" w:noVBand="1"/>
      </w:tblPr>
      <w:tblGrid>
        <w:gridCol w:w="2184"/>
        <w:gridCol w:w="2003"/>
        <w:gridCol w:w="1974"/>
        <w:gridCol w:w="1584"/>
        <w:gridCol w:w="1593"/>
      </w:tblGrid>
      <w:tr w:rsidR="00D93616" w:rsidRPr="00D43281" w14:paraId="5A76EC08" w14:textId="77777777" w:rsidTr="00D14969">
        <w:tc>
          <w:tcPr>
            <w:tcW w:w="2184" w:type="dxa"/>
            <w:tcBorders>
              <w:top w:val="single" w:sz="6" w:space="0" w:color="000000"/>
              <w:left w:val="single" w:sz="6" w:space="0" w:color="000000"/>
              <w:bottom w:val="single" w:sz="6" w:space="0" w:color="000000"/>
              <w:right w:val="single" w:sz="6" w:space="0" w:color="000000"/>
            </w:tcBorders>
            <w:hideMark/>
          </w:tcPr>
          <w:p w14:paraId="21633C33"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c>
          <w:tcPr>
            <w:tcW w:w="2003" w:type="dxa"/>
            <w:tcBorders>
              <w:top w:val="single" w:sz="6" w:space="0" w:color="000000"/>
              <w:left w:val="single" w:sz="6" w:space="0" w:color="000000"/>
              <w:bottom w:val="single" w:sz="6" w:space="0" w:color="000000"/>
              <w:right w:val="single" w:sz="6" w:space="0" w:color="000000"/>
            </w:tcBorders>
            <w:hideMark/>
          </w:tcPr>
          <w:p w14:paraId="77094678" w14:textId="5BBE7808" w:rsidR="00D93616" w:rsidRPr="00D43281" w:rsidRDefault="00BA7A12" w:rsidP="00DF083B">
            <w:pPr>
              <w:spacing w:before="60" w:after="60" w:line="240" w:lineRule="auto"/>
              <w:ind w:right="195"/>
              <w:jc w:val="center"/>
              <w:rPr>
                <w:rFonts w:ascii="Times New Roman" w:eastAsia="Times New Roman" w:hAnsi="Times New Roman" w:cs="Times New Roman"/>
                <w:b/>
                <w:bCs/>
                <w:sz w:val="24"/>
                <w:szCs w:val="24"/>
                <w:lang w:eastAsia="ro-MD"/>
              </w:rPr>
            </w:pPr>
            <w:r w:rsidRPr="00D43281">
              <w:rPr>
                <w:rFonts w:ascii="Times New Roman" w:eastAsia="Times New Roman" w:hAnsi="Times New Roman" w:cs="Times New Roman"/>
                <w:b/>
                <w:bCs/>
                <w:sz w:val="24"/>
                <w:szCs w:val="24"/>
                <w:lang w:val="ru-RU" w:eastAsia="ro-MD"/>
              </w:rPr>
              <w:t xml:space="preserve">Категория </w:t>
            </w:r>
            <w:r w:rsidRPr="00D43281">
              <w:rPr>
                <w:rFonts w:ascii="Times New Roman" w:eastAsia="Times New Roman" w:hAnsi="Times New Roman" w:cs="Times New Roman"/>
                <w:b/>
                <w:bCs/>
                <w:sz w:val="24"/>
                <w:szCs w:val="24"/>
                <w:lang w:eastAsia="ro-MD"/>
              </w:rPr>
              <w:t>1</w:t>
            </w:r>
          </w:p>
        </w:tc>
        <w:tc>
          <w:tcPr>
            <w:tcW w:w="1974" w:type="dxa"/>
            <w:tcBorders>
              <w:top w:val="single" w:sz="6" w:space="0" w:color="000000"/>
              <w:left w:val="single" w:sz="6" w:space="0" w:color="000000"/>
              <w:bottom w:val="single" w:sz="6" w:space="0" w:color="000000"/>
              <w:right w:val="single" w:sz="6" w:space="0" w:color="000000"/>
            </w:tcBorders>
            <w:hideMark/>
          </w:tcPr>
          <w:p w14:paraId="39E1508C" w14:textId="6C1FFD56" w:rsidR="00D93616" w:rsidRPr="00D43281" w:rsidRDefault="00BA7A12" w:rsidP="00DF083B">
            <w:pPr>
              <w:spacing w:before="60" w:after="60" w:line="240" w:lineRule="auto"/>
              <w:ind w:right="195"/>
              <w:jc w:val="center"/>
              <w:rPr>
                <w:rFonts w:ascii="Times New Roman" w:eastAsia="Times New Roman" w:hAnsi="Times New Roman" w:cs="Times New Roman"/>
                <w:b/>
                <w:bCs/>
                <w:sz w:val="24"/>
                <w:szCs w:val="24"/>
                <w:lang w:eastAsia="ro-MD"/>
              </w:rPr>
            </w:pPr>
            <w:r w:rsidRPr="00D43281">
              <w:rPr>
                <w:rFonts w:ascii="Times New Roman" w:eastAsia="Times New Roman" w:hAnsi="Times New Roman" w:cs="Times New Roman"/>
                <w:b/>
                <w:bCs/>
                <w:sz w:val="24"/>
                <w:szCs w:val="24"/>
                <w:lang w:val="ru-RU" w:eastAsia="ro-MD"/>
              </w:rPr>
              <w:t>Категория</w:t>
            </w:r>
            <w:r w:rsidR="00D93616" w:rsidRPr="00D43281">
              <w:rPr>
                <w:rFonts w:ascii="Times New Roman" w:eastAsia="Times New Roman" w:hAnsi="Times New Roman" w:cs="Times New Roman"/>
                <w:b/>
                <w:bCs/>
                <w:sz w:val="24"/>
                <w:szCs w:val="24"/>
                <w:lang w:eastAsia="ro-MD"/>
              </w:rPr>
              <w:t xml:space="preserve"> 2</w:t>
            </w:r>
          </w:p>
        </w:tc>
        <w:tc>
          <w:tcPr>
            <w:tcW w:w="1584" w:type="dxa"/>
            <w:tcBorders>
              <w:top w:val="single" w:sz="6" w:space="0" w:color="000000"/>
              <w:left w:val="single" w:sz="6" w:space="0" w:color="000000"/>
              <w:bottom w:val="single" w:sz="6" w:space="0" w:color="000000"/>
              <w:right w:val="single" w:sz="6" w:space="0" w:color="000000"/>
            </w:tcBorders>
            <w:hideMark/>
          </w:tcPr>
          <w:p w14:paraId="13DBD484" w14:textId="0ED0BDC0" w:rsidR="00D93616" w:rsidRPr="00D43281" w:rsidRDefault="00BA7A12" w:rsidP="00DF083B">
            <w:pPr>
              <w:spacing w:before="60" w:after="60" w:line="240" w:lineRule="auto"/>
              <w:ind w:right="195"/>
              <w:jc w:val="center"/>
              <w:rPr>
                <w:rFonts w:ascii="Times New Roman" w:eastAsia="Times New Roman" w:hAnsi="Times New Roman" w:cs="Times New Roman"/>
                <w:b/>
                <w:bCs/>
                <w:sz w:val="24"/>
                <w:szCs w:val="24"/>
                <w:lang w:eastAsia="ro-MD"/>
              </w:rPr>
            </w:pPr>
            <w:r w:rsidRPr="00D43281">
              <w:rPr>
                <w:rFonts w:ascii="Times New Roman" w:eastAsia="Times New Roman" w:hAnsi="Times New Roman" w:cs="Times New Roman"/>
                <w:b/>
                <w:bCs/>
                <w:sz w:val="24"/>
                <w:szCs w:val="24"/>
                <w:lang w:val="ru-RU" w:eastAsia="ro-MD"/>
              </w:rPr>
              <w:t>Категория</w:t>
            </w:r>
            <w:r w:rsidR="00D93616" w:rsidRPr="00D43281">
              <w:rPr>
                <w:rFonts w:ascii="Times New Roman" w:eastAsia="Times New Roman" w:hAnsi="Times New Roman" w:cs="Times New Roman"/>
                <w:b/>
                <w:bCs/>
                <w:sz w:val="24"/>
                <w:szCs w:val="24"/>
                <w:lang w:eastAsia="ro-MD"/>
              </w:rPr>
              <w:t xml:space="preserve"> 3</w:t>
            </w:r>
          </w:p>
        </w:tc>
        <w:tc>
          <w:tcPr>
            <w:tcW w:w="1593" w:type="dxa"/>
            <w:tcBorders>
              <w:top w:val="single" w:sz="6" w:space="0" w:color="000000"/>
              <w:left w:val="single" w:sz="6" w:space="0" w:color="000000"/>
              <w:bottom w:val="single" w:sz="6" w:space="0" w:color="000000"/>
              <w:right w:val="single" w:sz="6" w:space="0" w:color="000000"/>
            </w:tcBorders>
            <w:hideMark/>
          </w:tcPr>
          <w:p w14:paraId="737494A1" w14:textId="63AEE40A" w:rsidR="00D93616" w:rsidRPr="00D43281" w:rsidRDefault="00BA7A12" w:rsidP="00DF083B">
            <w:pPr>
              <w:spacing w:before="60" w:after="60" w:line="240" w:lineRule="auto"/>
              <w:ind w:right="195"/>
              <w:jc w:val="center"/>
              <w:rPr>
                <w:rFonts w:ascii="Times New Roman" w:eastAsia="Times New Roman" w:hAnsi="Times New Roman" w:cs="Times New Roman"/>
                <w:b/>
                <w:bCs/>
                <w:sz w:val="24"/>
                <w:szCs w:val="24"/>
                <w:lang w:eastAsia="ro-MD"/>
              </w:rPr>
            </w:pPr>
            <w:r w:rsidRPr="00D43281">
              <w:rPr>
                <w:rFonts w:ascii="Times New Roman" w:eastAsia="Times New Roman" w:hAnsi="Times New Roman" w:cs="Times New Roman"/>
                <w:b/>
                <w:bCs/>
                <w:sz w:val="24"/>
                <w:szCs w:val="24"/>
                <w:lang w:val="ru-RU" w:eastAsia="ro-MD"/>
              </w:rPr>
              <w:t>Категория</w:t>
            </w:r>
            <w:r w:rsidR="00D93616" w:rsidRPr="00D43281">
              <w:rPr>
                <w:rFonts w:ascii="Times New Roman" w:eastAsia="Times New Roman" w:hAnsi="Times New Roman" w:cs="Times New Roman"/>
                <w:b/>
                <w:bCs/>
                <w:sz w:val="24"/>
                <w:szCs w:val="24"/>
                <w:lang w:eastAsia="ro-MD"/>
              </w:rPr>
              <w:t xml:space="preserve"> 4</w:t>
            </w:r>
          </w:p>
        </w:tc>
      </w:tr>
      <w:tr w:rsidR="00D93616" w:rsidRPr="00D43281" w14:paraId="4BD54956" w14:textId="77777777" w:rsidTr="00D14969">
        <w:tc>
          <w:tcPr>
            <w:tcW w:w="2184" w:type="dxa"/>
            <w:tcBorders>
              <w:top w:val="single" w:sz="6" w:space="0" w:color="000000"/>
              <w:left w:val="single" w:sz="6" w:space="0" w:color="000000"/>
              <w:bottom w:val="single" w:sz="6" w:space="0" w:color="000000"/>
              <w:right w:val="single" w:sz="6" w:space="0" w:color="000000"/>
            </w:tcBorders>
            <w:hideMark/>
          </w:tcPr>
          <w:p w14:paraId="1F49DF60" w14:textId="3EC8EFF4" w:rsidR="00D93616" w:rsidRPr="00D43281" w:rsidRDefault="00BA7A12"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b/>
                <w:bCs/>
                <w:sz w:val="24"/>
                <w:szCs w:val="24"/>
                <w:lang w:val="ru-MD" w:eastAsia="ro-MD"/>
              </w:rPr>
              <w:t>Фактор: финансовая устойчивость</w:t>
            </w:r>
          </w:p>
        </w:tc>
        <w:tc>
          <w:tcPr>
            <w:tcW w:w="2003" w:type="dxa"/>
            <w:tcBorders>
              <w:top w:val="single" w:sz="6" w:space="0" w:color="000000"/>
              <w:left w:val="single" w:sz="6" w:space="0" w:color="000000"/>
              <w:bottom w:val="single" w:sz="6" w:space="0" w:color="000000"/>
              <w:right w:val="single" w:sz="6" w:space="0" w:color="000000"/>
            </w:tcBorders>
            <w:hideMark/>
          </w:tcPr>
          <w:p w14:paraId="700B3200"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1974" w:type="dxa"/>
            <w:tcBorders>
              <w:top w:val="single" w:sz="6" w:space="0" w:color="000000"/>
              <w:left w:val="single" w:sz="6" w:space="0" w:color="000000"/>
              <w:bottom w:val="single" w:sz="6" w:space="0" w:color="000000"/>
              <w:right w:val="single" w:sz="6" w:space="0" w:color="000000"/>
            </w:tcBorders>
            <w:hideMark/>
          </w:tcPr>
          <w:p w14:paraId="788A18D1"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1584" w:type="dxa"/>
            <w:tcBorders>
              <w:top w:val="single" w:sz="6" w:space="0" w:color="000000"/>
              <w:left w:val="single" w:sz="6" w:space="0" w:color="000000"/>
              <w:bottom w:val="single" w:sz="6" w:space="0" w:color="000000"/>
              <w:right w:val="single" w:sz="6" w:space="0" w:color="000000"/>
            </w:tcBorders>
            <w:hideMark/>
          </w:tcPr>
          <w:p w14:paraId="64E6FCA4"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1593" w:type="dxa"/>
            <w:tcBorders>
              <w:top w:val="single" w:sz="6" w:space="0" w:color="000000"/>
              <w:left w:val="single" w:sz="6" w:space="0" w:color="000000"/>
              <w:bottom w:val="single" w:sz="6" w:space="0" w:color="000000"/>
              <w:right w:val="single" w:sz="6" w:space="0" w:color="000000"/>
            </w:tcBorders>
            <w:hideMark/>
          </w:tcPr>
          <w:p w14:paraId="0C76FD04"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r>
      <w:tr w:rsidR="00D93616" w:rsidRPr="00D43281" w14:paraId="5658F005"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165"/>
              <w:gridCol w:w="2004"/>
            </w:tblGrid>
            <w:tr w:rsidR="00D93616" w:rsidRPr="00D43281" w14:paraId="54D85DC4" w14:textId="77777777" w:rsidTr="00D14969">
              <w:tc>
                <w:tcPr>
                  <w:tcW w:w="165" w:type="dxa"/>
                  <w:hideMark/>
                </w:tcPr>
                <w:p w14:paraId="506B3BA3" w14:textId="4232EAB1" w:rsidR="00D93616" w:rsidRPr="00D43281" w:rsidRDefault="002E7A8D" w:rsidP="00EC6123">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1.</w:t>
                  </w:r>
                </w:p>
              </w:tc>
              <w:tc>
                <w:tcPr>
                  <w:tcW w:w="2004" w:type="dxa"/>
                  <w:hideMark/>
                </w:tcPr>
                <w:p w14:paraId="3CDBBC6C" w14:textId="55588C04" w:rsidR="00D93616" w:rsidRPr="00D43281" w:rsidRDefault="00FB2A93" w:rsidP="00EC6123">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рыночные условия</w:t>
                  </w:r>
                </w:p>
              </w:tc>
            </w:tr>
          </w:tbl>
          <w:p w14:paraId="0B91FC93" w14:textId="77777777" w:rsidR="00D93616" w:rsidRPr="00D43281" w:rsidRDefault="00D93616" w:rsidP="00EC6123">
            <w:pPr>
              <w:spacing w:after="0" w:line="240" w:lineRule="auto"/>
              <w:rPr>
                <w:rFonts w:ascii="Times New Roman" w:eastAsia="Times New Roman" w:hAnsi="Times New Roman" w:cs="Times New Roman"/>
                <w:sz w:val="24"/>
                <w:szCs w:val="24"/>
                <w:lang w:val="ru-MD"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7A935B1B" w14:textId="61FD1840" w:rsidR="00D93616" w:rsidRPr="00D43281" w:rsidRDefault="00625689"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Спрос высок и продолжает расти, существуют серьезные барьеры для входа на рынок, а чувствительность к технологическим разработкам и экономическим </w:t>
            </w:r>
            <w:r w:rsidRPr="00D43281">
              <w:rPr>
                <w:rFonts w:ascii="Times New Roman" w:eastAsia="Times New Roman" w:hAnsi="Times New Roman" w:cs="Times New Roman"/>
                <w:sz w:val="24"/>
                <w:szCs w:val="24"/>
                <w:lang w:val="ru-MD" w:eastAsia="ro-MD"/>
              </w:rPr>
              <w:lastRenderedPageBreak/>
              <w:t>перспективам низка.</w:t>
            </w:r>
          </w:p>
        </w:tc>
        <w:tc>
          <w:tcPr>
            <w:tcW w:w="1974" w:type="dxa"/>
            <w:tcBorders>
              <w:top w:val="single" w:sz="6" w:space="0" w:color="000000"/>
              <w:left w:val="single" w:sz="6" w:space="0" w:color="000000"/>
              <w:bottom w:val="single" w:sz="6" w:space="0" w:color="000000"/>
              <w:right w:val="single" w:sz="6" w:space="0" w:color="000000"/>
            </w:tcBorders>
            <w:hideMark/>
          </w:tcPr>
          <w:p w14:paraId="021B147F" w14:textId="181B304A" w:rsidR="00D93616" w:rsidRPr="00D43281" w:rsidRDefault="00625689"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Спрос высок и стабилен. Существуют определенные барьеры для входа на рынок, а также определенная степень зависимости от развития технологий и </w:t>
            </w:r>
            <w:r w:rsidRPr="00D43281">
              <w:rPr>
                <w:rFonts w:ascii="Times New Roman" w:eastAsia="Times New Roman" w:hAnsi="Times New Roman" w:cs="Times New Roman"/>
                <w:sz w:val="24"/>
                <w:szCs w:val="24"/>
                <w:lang w:val="ru-MD" w:eastAsia="ro-MD"/>
              </w:rPr>
              <w:lastRenderedPageBreak/>
              <w:t>экономических перспектив.</w:t>
            </w:r>
          </w:p>
        </w:tc>
        <w:tc>
          <w:tcPr>
            <w:tcW w:w="1584" w:type="dxa"/>
            <w:tcBorders>
              <w:top w:val="single" w:sz="6" w:space="0" w:color="000000"/>
              <w:left w:val="single" w:sz="6" w:space="0" w:color="000000"/>
              <w:bottom w:val="single" w:sz="6" w:space="0" w:color="000000"/>
              <w:right w:val="single" w:sz="6" w:space="0" w:color="000000"/>
            </w:tcBorders>
            <w:hideMark/>
          </w:tcPr>
          <w:p w14:paraId="63EDFF03" w14:textId="4AC01436" w:rsidR="00D93616" w:rsidRPr="00D43281" w:rsidRDefault="00707BC8"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Спрос достаточный и стабильный, барьеры для входа на рынок ограничены, и наблюдается значительная чувствительность к развитию </w:t>
            </w:r>
            <w:r w:rsidRPr="00D43281">
              <w:rPr>
                <w:rFonts w:ascii="Times New Roman" w:eastAsia="Times New Roman" w:hAnsi="Times New Roman" w:cs="Times New Roman"/>
                <w:sz w:val="24"/>
                <w:szCs w:val="24"/>
                <w:lang w:val="ru-MD" w:eastAsia="ro-MD"/>
              </w:rPr>
              <w:lastRenderedPageBreak/>
              <w:t>технологий и экономическим перспективам.</w:t>
            </w:r>
          </w:p>
        </w:tc>
        <w:tc>
          <w:tcPr>
            <w:tcW w:w="1593" w:type="dxa"/>
            <w:tcBorders>
              <w:top w:val="single" w:sz="6" w:space="0" w:color="000000"/>
              <w:left w:val="single" w:sz="6" w:space="0" w:color="000000"/>
              <w:bottom w:val="single" w:sz="6" w:space="0" w:color="000000"/>
              <w:right w:val="single" w:sz="6" w:space="0" w:color="000000"/>
            </w:tcBorders>
            <w:hideMark/>
          </w:tcPr>
          <w:p w14:paraId="3C5CFCBF" w14:textId="5BCB891A" w:rsidR="00D93616" w:rsidRPr="00D43281" w:rsidRDefault="00707BC8"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Спрос слаб и снижается, он уязвим к развитию технологий и экономическим перспективам, а окружающая среда крайне </w:t>
            </w:r>
            <w:r w:rsidRPr="00D43281">
              <w:rPr>
                <w:rFonts w:ascii="Times New Roman" w:eastAsia="Times New Roman" w:hAnsi="Times New Roman" w:cs="Times New Roman"/>
                <w:sz w:val="24"/>
                <w:szCs w:val="24"/>
                <w:lang w:val="ru-MD" w:eastAsia="ro-MD"/>
              </w:rPr>
              <w:lastRenderedPageBreak/>
              <w:t>неопределенна.</w:t>
            </w:r>
          </w:p>
        </w:tc>
      </w:tr>
      <w:tr w:rsidR="00D93616" w:rsidRPr="00D43281" w14:paraId="6CBA61BA"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165"/>
              <w:gridCol w:w="2004"/>
            </w:tblGrid>
            <w:tr w:rsidR="00D93616" w:rsidRPr="00D43281" w14:paraId="7370FC59" w14:textId="77777777" w:rsidTr="00D14969">
              <w:tc>
                <w:tcPr>
                  <w:tcW w:w="165" w:type="dxa"/>
                  <w:hideMark/>
                </w:tcPr>
                <w:p w14:paraId="2CFCD858" w14:textId="29BAE0BD" w:rsidR="00D93616" w:rsidRPr="00D43281" w:rsidRDefault="002E7A8D" w:rsidP="00EC6123">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2.</w:t>
                  </w:r>
                </w:p>
              </w:tc>
              <w:tc>
                <w:tcPr>
                  <w:tcW w:w="2004" w:type="dxa"/>
                  <w:hideMark/>
                </w:tcPr>
                <w:p w14:paraId="7B046A5A" w14:textId="43BD0C08" w:rsidR="00D93616" w:rsidRPr="00D43281" w:rsidRDefault="0023023C" w:rsidP="00EC6123">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финансовые показатели, например, DSCR или ICR</w:t>
                  </w:r>
                </w:p>
              </w:tc>
            </w:tr>
          </w:tbl>
          <w:p w14:paraId="508DD3B3" w14:textId="77777777" w:rsidR="00D93616" w:rsidRPr="00D43281" w:rsidRDefault="00D93616" w:rsidP="00EC6123">
            <w:pPr>
              <w:spacing w:after="0" w:line="240" w:lineRule="auto"/>
              <w:rPr>
                <w:rFonts w:ascii="Times New Roman" w:eastAsia="Times New Roman" w:hAnsi="Times New Roman" w:cs="Times New Roman"/>
                <w:sz w:val="24"/>
                <w:szCs w:val="24"/>
                <w:lang w:val="ru-MD"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6BFF4D1F" w14:textId="28AC2136" w:rsidR="00D93616" w:rsidRPr="00D43281" w:rsidRDefault="0023023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Высокие финансовые показатели, учитывая тип активов. Очень надежные экономические прогнозы.</w:t>
            </w:r>
          </w:p>
        </w:tc>
        <w:tc>
          <w:tcPr>
            <w:tcW w:w="1974" w:type="dxa"/>
            <w:tcBorders>
              <w:top w:val="single" w:sz="6" w:space="0" w:color="000000"/>
              <w:left w:val="single" w:sz="6" w:space="0" w:color="000000"/>
              <w:bottom w:val="single" w:sz="6" w:space="0" w:color="000000"/>
              <w:right w:val="single" w:sz="6" w:space="0" w:color="000000"/>
            </w:tcBorders>
            <w:hideMark/>
          </w:tcPr>
          <w:p w14:paraId="3C3E88F6" w14:textId="338E6B4B" w:rsidR="00D93616" w:rsidRPr="00D43281" w:rsidRDefault="0023023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Надежные/приемлемые финансовые показатели, учитывая тип актива. Проект основан на обоснованных экономических предположениях.</w:t>
            </w:r>
          </w:p>
        </w:tc>
        <w:tc>
          <w:tcPr>
            <w:tcW w:w="1584" w:type="dxa"/>
            <w:tcBorders>
              <w:top w:val="single" w:sz="6" w:space="0" w:color="000000"/>
              <w:left w:val="single" w:sz="6" w:space="0" w:color="000000"/>
              <w:bottom w:val="single" w:sz="6" w:space="0" w:color="000000"/>
              <w:right w:val="single" w:sz="6" w:space="0" w:color="000000"/>
            </w:tcBorders>
            <w:hideMark/>
          </w:tcPr>
          <w:p w14:paraId="46191205" w14:textId="60A8CE7F" w:rsidR="00D93616" w:rsidRPr="00D43281" w:rsidRDefault="0023023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Стандартные финансовые показатели для данного типа активов.</w:t>
            </w:r>
          </w:p>
        </w:tc>
        <w:tc>
          <w:tcPr>
            <w:tcW w:w="1593" w:type="dxa"/>
            <w:tcBorders>
              <w:top w:val="single" w:sz="6" w:space="0" w:color="000000"/>
              <w:left w:val="single" w:sz="6" w:space="0" w:color="000000"/>
              <w:bottom w:val="single" w:sz="6" w:space="0" w:color="000000"/>
              <w:right w:val="single" w:sz="6" w:space="0" w:color="000000"/>
            </w:tcBorders>
            <w:hideMark/>
          </w:tcPr>
          <w:p w14:paraId="4AD51CB0" w14:textId="303ECAB9" w:rsidR="00D93616" w:rsidRPr="00D43281" w:rsidRDefault="00CF69F9"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Агрессивные финансовые показатели, учитывая тип актива.</w:t>
            </w:r>
          </w:p>
        </w:tc>
      </w:tr>
      <w:tr w:rsidR="00D93616" w:rsidRPr="00D43281" w14:paraId="65000D2B"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165"/>
              <w:gridCol w:w="2004"/>
            </w:tblGrid>
            <w:tr w:rsidR="00D93616" w:rsidRPr="00D43281" w14:paraId="1A40C58A" w14:textId="77777777" w:rsidTr="00D14969">
              <w:tc>
                <w:tcPr>
                  <w:tcW w:w="165" w:type="dxa"/>
                  <w:hideMark/>
                </w:tcPr>
                <w:p w14:paraId="45441BF3" w14:textId="207D5C58" w:rsidR="00D93616" w:rsidRPr="00D43281" w:rsidRDefault="002E7A8D" w:rsidP="00EC6123">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3.</w:t>
                  </w:r>
                </w:p>
              </w:tc>
              <w:tc>
                <w:tcPr>
                  <w:tcW w:w="2004" w:type="dxa"/>
                  <w:hideMark/>
                </w:tcPr>
                <w:p w14:paraId="60F10B06" w14:textId="3848BA30" w:rsidR="00D93616" w:rsidRPr="00D43281" w:rsidRDefault="00CF69F9" w:rsidP="00EC6123">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коэффициент авансирования, то есть отношение суммы выданного кредита к стоимости залога (LTV)</w:t>
                  </w:r>
                </w:p>
              </w:tc>
            </w:tr>
          </w:tbl>
          <w:p w14:paraId="41E7093D" w14:textId="77777777" w:rsidR="00D93616" w:rsidRPr="00D43281" w:rsidRDefault="00D93616" w:rsidP="00EC6123">
            <w:pPr>
              <w:spacing w:after="0" w:line="240" w:lineRule="auto"/>
              <w:rPr>
                <w:rFonts w:ascii="Times New Roman" w:eastAsia="Times New Roman" w:hAnsi="Times New Roman" w:cs="Times New Roman"/>
                <w:sz w:val="24"/>
                <w:szCs w:val="24"/>
                <w:lang w:val="ru-MD"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575A3549" w14:textId="39311DD4" w:rsidR="00D93616" w:rsidRPr="00D43281" w:rsidRDefault="00821F0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Высокий коэффициент LTV, учитывая тип актива.</w:t>
            </w:r>
          </w:p>
        </w:tc>
        <w:tc>
          <w:tcPr>
            <w:tcW w:w="1974" w:type="dxa"/>
            <w:tcBorders>
              <w:top w:val="single" w:sz="6" w:space="0" w:color="000000"/>
              <w:left w:val="single" w:sz="6" w:space="0" w:color="000000"/>
              <w:bottom w:val="single" w:sz="6" w:space="0" w:color="000000"/>
              <w:right w:val="single" w:sz="6" w:space="0" w:color="000000"/>
            </w:tcBorders>
            <w:hideMark/>
          </w:tcPr>
          <w:p w14:paraId="3ABB2057" w14:textId="6017115B" w:rsidR="00D93616" w:rsidRPr="00D43281" w:rsidRDefault="00821F0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Высокий/приемлемый коэффициент LTV, учитывая тип актива.</w:t>
            </w:r>
          </w:p>
        </w:tc>
        <w:tc>
          <w:tcPr>
            <w:tcW w:w="1584" w:type="dxa"/>
            <w:tcBorders>
              <w:top w:val="single" w:sz="6" w:space="0" w:color="000000"/>
              <w:left w:val="single" w:sz="6" w:space="0" w:color="000000"/>
              <w:bottom w:val="single" w:sz="6" w:space="0" w:color="000000"/>
              <w:right w:val="single" w:sz="6" w:space="0" w:color="000000"/>
            </w:tcBorders>
            <w:hideMark/>
          </w:tcPr>
          <w:p w14:paraId="37D475E2" w14:textId="73044B7B" w:rsidR="00D93616" w:rsidRPr="00D43281" w:rsidRDefault="00821F0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Стандартный коэффициент LTV для данного типа активов</w:t>
            </w:r>
          </w:p>
        </w:tc>
        <w:tc>
          <w:tcPr>
            <w:tcW w:w="1593" w:type="dxa"/>
            <w:tcBorders>
              <w:top w:val="single" w:sz="6" w:space="0" w:color="000000"/>
              <w:left w:val="single" w:sz="6" w:space="0" w:color="000000"/>
              <w:bottom w:val="single" w:sz="6" w:space="0" w:color="000000"/>
              <w:right w:val="single" w:sz="6" w:space="0" w:color="000000"/>
            </w:tcBorders>
            <w:hideMark/>
          </w:tcPr>
          <w:p w14:paraId="6CBB357E" w14:textId="1F632889" w:rsidR="00D93616" w:rsidRPr="00D43281" w:rsidRDefault="00821F0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Агрессивный коэффициент LTV, учитывая тип актива.</w:t>
            </w:r>
          </w:p>
        </w:tc>
      </w:tr>
      <w:tr w:rsidR="00D93616" w:rsidRPr="00D43281" w14:paraId="13E53E30"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165"/>
              <w:gridCol w:w="2004"/>
            </w:tblGrid>
            <w:tr w:rsidR="00D93616" w:rsidRPr="00D43281" w14:paraId="36D00F7B" w14:textId="77777777" w:rsidTr="00D14969">
              <w:tc>
                <w:tcPr>
                  <w:tcW w:w="165" w:type="dxa"/>
                  <w:hideMark/>
                </w:tcPr>
                <w:p w14:paraId="4E062820" w14:textId="1EA771E3" w:rsidR="00D93616" w:rsidRPr="00D43281" w:rsidRDefault="002E7A8D" w:rsidP="00EC6123">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4.</w:t>
                  </w:r>
                </w:p>
              </w:tc>
              <w:tc>
                <w:tcPr>
                  <w:tcW w:w="2004" w:type="dxa"/>
                  <w:hideMark/>
                </w:tcPr>
                <w:p w14:paraId="5D3E36FA" w14:textId="0D06C943" w:rsidR="00D93616" w:rsidRPr="00D43281" w:rsidRDefault="00CA69FA" w:rsidP="00EC6123">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чувствительность к стрессовым факторам, основанная на доходе, полученном за весь срок действия кредита</w:t>
                  </w:r>
                </w:p>
              </w:tc>
            </w:tr>
          </w:tbl>
          <w:p w14:paraId="66EEA26B" w14:textId="77777777" w:rsidR="00D93616" w:rsidRPr="00D43281" w:rsidRDefault="00D93616" w:rsidP="00EC6123">
            <w:pPr>
              <w:spacing w:after="0" w:line="240" w:lineRule="auto"/>
              <w:rPr>
                <w:rFonts w:ascii="Times New Roman" w:eastAsia="Times New Roman" w:hAnsi="Times New Roman" w:cs="Times New Roman"/>
                <w:sz w:val="24"/>
                <w:szCs w:val="24"/>
                <w:lang w:val="ru-RU"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6BD9E0AC" w14:textId="6865FF72" w:rsidR="00D93616" w:rsidRPr="00D43281" w:rsidRDefault="000C47C0"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Стабильный долгосрочный доход, способный выдерживать серьезные нагрузки на протяжении экономического цикла</w:t>
            </w:r>
          </w:p>
        </w:tc>
        <w:tc>
          <w:tcPr>
            <w:tcW w:w="1974" w:type="dxa"/>
            <w:tcBorders>
              <w:top w:val="single" w:sz="6" w:space="0" w:color="000000"/>
              <w:left w:val="single" w:sz="6" w:space="0" w:color="000000"/>
              <w:bottom w:val="single" w:sz="6" w:space="0" w:color="000000"/>
              <w:right w:val="single" w:sz="6" w:space="0" w:color="000000"/>
            </w:tcBorders>
            <w:hideMark/>
          </w:tcPr>
          <w:p w14:paraId="208D25B7" w14:textId="42C7070B" w:rsidR="00D93616" w:rsidRPr="00D43281" w:rsidRDefault="000C47C0"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Удовлетворительный краткосрочный доход. Кредит способен выдержать некоторые финансовые трудности. Вероятность невыплаты существует только в очень сложных экономических условиях</w:t>
            </w:r>
          </w:p>
        </w:tc>
        <w:tc>
          <w:tcPr>
            <w:tcW w:w="1584" w:type="dxa"/>
            <w:tcBorders>
              <w:top w:val="single" w:sz="6" w:space="0" w:color="000000"/>
              <w:left w:val="single" w:sz="6" w:space="0" w:color="000000"/>
              <w:bottom w:val="single" w:sz="6" w:space="0" w:color="000000"/>
              <w:right w:val="single" w:sz="6" w:space="0" w:color="000000"/>
            </w:tcBorders>
            <w:hideMark/>
          </w:tcPr>
          <w:p w14:paraId="61ECA170" w14:textId="6699B3BD" w:rsidR="00D93616" w:rsidRPr="00D43281" w:rsidRDefault="000C47C0" w:rsidP="00EC6123">
            <w:pPr>
              <w:spacing w:before="60" w:after="60" w:line="240" w:lineRule="auto"/>
              <w:ind w:right="115"/>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Нестабильность краткосрочных доходов. Денежные потоки уязвимы к стрессам, которые нередки в течение экономического цикла. В период экономического спада кредит может оказаться невозвратным</w:t>
            </w:r>
          </w:p>
        </w:tc>
        <w:tc>
          <w:tcPr>
            <w:tcW w:w="1593" w:type="dxa"/>
            <w:tcBorders>
              <w:top w:val="single" w:sz="6" w:space="0" w:color="000000"/>
              <w:left w:val="single" w:sz="6" w:space="0" w:color="000000"/>
              <w:bottom w:val="single" w:sz="6" w:space="0" w:color="000000"/>
              <w:right w:val="single" w:sz="6" w:space="0" w:color="000000"/>
            </w:tcBorders>
            <w:hideMark/>
          </w:tcPr>
          <w:p w14:paraId="4DFA3C39" w14:textId="294A8762" w:rsidR="00D93616" w:rsidRPr="00D43281" w:rsidRDefault="00DD3D1E"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Доходы подвержены значительной неопределенности; даже в нормальных экономических условиях актив может оказаться нерентабельным, если ситуация не улучшится.</w:t>
            </w:r>
          </w:p>
        </w:tc>
      </w:tr>
      <w:tr w:rsidR="00D93616" w:rsidRPr="00D43281" w14:paraId="23218790"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165"/>
              <w:gridCol w:w="2004"/>
            </w:tblGrid>
            <w:tr w:rsidR="00D93616" w:rsidRPr="00D43281" w14:paraId="3339933D" w14:textId="77777777" w:rsidTr="00D14969">
              <w:trPr>
                <w:trHeight w:val="248"/>
              </w:trPr>
              <w:tc>
                <w:tcPr>
                  <w:tcW w:w="165" w:type="dxa"/>
                  <w:hideMark/>
                </w:tcPr>
                <w:p w14:paraId="5C8F64FE" w14:textId="056EFC60" w:rsidR="00D93616" w:rsidRPr="00D43281" w:rsidRDefault="002E7A8D"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5.</w:t>
                  </w:r>
                </w:p>
              </w:tc>
              <w:tc>
                <w:tcPr>
                  <w:tcW w:w="2004" w:type="dxa"/>
                  <w:hideMark/>
                </w:tcPr>
                <w:p w14:paraId="04224EE6" w14:textId="5028B84E" w:rsidR="00D93616" w:rsidRPr="00D43281" w:rsidRDefault="00C25805" w:rsidP="00EC6123">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рыночная ликвидность</w:t>
                  </w:r>
                </w:p>
              </w:tc>
            </w:tr>
          </w:tbl>
          <w:p w14:paraId="42D26227"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1C0C4797" w14:textId="6E21A788" w:rsidR="00D93616" w:rsidRPr="00D43281" w:rsidRDefault="00C25805"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Рынок имеет глобальную структуру; активы обладают высокой ликвидностью.</w:t>
            </w:r>
          </w:p>
        </w:tc>
        <w:tc>
          <w:tcPr>
            <w:tcW w:w="1974" w:type="dxa"/>
            <w:tcBorders>
              <w:top w:val="single" w:sz="6" w:space="0" w:color="000000"/>
              <w:left w:val="single" w:sz="6" w:space="0" w:color="000000"/>
              <w:bottom w:val="single" w:sz="6" w:space="0" w:color="000000"/>
              <w:right w:val="single" w:sz="6" w:space="0" w:color="000000"/>
            </w:tcBorders>
            <w:hideMark/>
          </w:tcPr>
          <w:p w14:paraId="1E232208" w14:textId="5CDBA33C" w:rsidR="00D93616" w:rsidRPr="00D43281" w:rsidRDefault="00500D82"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Рынок является глобальным или региональным; активы относительно ликвидны.</w:t>
            </w:r>
          </w:p>
        </w:tc>
        <w:tc>
          <w:tcPr>
            <w:tcW w:w="1584" w:type="dxa"/>
            <w:tcBorders>
              <w:top w:val="single" w:sz="6" w:space="0" w:color="000000"/>
              <w:left w:val="single" w:sz="6" w:space="0" w:color="000000"/>
              <w:bottom w:val="single" w:sz="6" w:space="0" w:color="000000"/>
              <w:right w:val="single" w:sz="6" w:space="0" w:color="000000"/>
            </w:tcBorders>
            <w:hideMark/>
          </w:tcPr>
          <w:p w14:paraId="44DD4CE5" w14:textId="2AF3CB46" w:rsidR="00D93616" w:rsidRPr="00D43281" w:rsidRDefault="00500D82"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Рынок носит региональный характер, имеет ограниченные краткосрочные перспективы, что подразумевает </w:t>
            </w:r>
            <w:r w:rsidRPr="00D43281">
              <w:rPr>
                <w:rFonts w:ascii="Times New Roman" w:eastAsia="Times New Roman" w:hAnsi="Times New Roman" w:cs="Times New Roman"/>
                <w:sz w:val="24"/>
                <w:szCs w:val="24"/>
                <w:lang w:val="ru-MD" w:eastAsia="ro-MD"/>
              </w:rPr>
              <w:lastRenderedPageBreak/>
              <w:t>низкую ликвидность.</w:t>
            </w:r>
          </w:p>
        </w:tc>
        <w:tc>
          <w:tcPr>
            <w:tcW w:w="1593" w:type="dxa"/>
            <w:tcBorders>
              <w:top w:val="single" w:sz="6" w:space="0" w:color="000000"/>
              <w:left w:val="single" w:sz="6" w:space="0" w:color="000000"/>
              <w:bottom w:val="single" w:sz="6" w:space="0" w:color="000000"/>
              <w:right w:val="single" w:sz="6" w:space="0" w:color="000000"/>
            </w:tcBorders>
            <w:hideMark/>
          </w:tcPr>
          <w:p w14:paraId="78DBCBAC" w14:textId="7D5247A9" w:rsidR="00D93616" w:rsidRPr="00D43281" w:rsidRDefault="00500D82"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Локальный рынок и/или низкая узнаваемость. Низкая или нулевая ликвидность, особенно на нишевых рынках.</w:t>
            </w:r>
          </w:p>
        </w:tc>
      </w:tr>
      <w:tr w:rsidR="00D93616" w:rsidRPr="00D43281" w14:paraId="102EDA5F" w14:textId="77777777" w:rsidTr="00D14969">
        <w:tc>
          <w:tcPr>
            <w:tcW w:w="2184" w:type="dxa"/>
            <w:tcBorders>
              <w:top w:val="single" w:sz="6" w:space="0" w:color="000000"/>
              <w:left w:val="single" w:sz="6" w:space="0" w:color="000000"/>
              <w:bottom w:val="single" w:sz="6" w:space="0" w:color="000000"/>
              <w:right w:val="single" w:sz="6" w:space="0" w:color="000000"/>
            </w:tcBorders>
            <w:hideMark/>
          </w:tcPr>
          <w:p w14:paraId="585A5F60" w14:textId="1E7A774F" w:rsidR="00D93616" w:rsidRPr="00D43281" w:rsidRDefault="00A31A50"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b/>
                <w:bCs/>
                <w:sz w:val="24"/>
                <w:szCs w:val="24"/>
                <w:lang w:val="ru-RU" w:eastAsia="ro-MD"/>
              </w:rPr>
              <w:t>Фактор: политическая и правовая среда</w:t>
            </w:r>
          </w:p>
        </w:tc>
        <w:tc>
          <w:tcPr>
            <w:tcW w:w="2003" w:type="dxa"/>
            <w:tcBorders>
              <w:top w:val="single" w:sz="6" w:space="0" w:color="000000"/>
              <w:left w:val="single" w:sz="6" w:space="0" w:color="000000"/>
              <w:bottom w:val="single" w:sz="6" w:space="0" w:color="000000"/>
              <w:right w:val="single" w:sz="6" w:space="0" w:color="000000"/>
            </w:tcBorders>
            <w:hideMark/>
          </w:tcPr>
          <w:p w14:paraId="1E09CB55"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c>
          <w:tcPr>
            <w:tcW w:w="1974" w:type="dxa"/>
            <w:tcBorders>
              <w:top w:val="single" w:sz="6" w:space="0" w:color="000000"/>
              <w:left w:val="single" w:sz="6" w:space="0" w:color="000000"/>
              <w:bottom w:val="single" w:sz="6" w:space="0" w:color="000000"/>
              <w:right w:val="single" w:sz="6" w:space="0" w:color="000000"/>
            </w:tcBorders>
            <w:hideMark/>
          </w:tcPr>
          <w:p w14:paraId="78CA2D1B"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c>
          <w:tcPr>
            <w:tcW w:w="1584" w:type="dxa"/>
            <w:tcBorders>
              <w:top w:val="single" w:sz="6" w:space="0" w:color="000000"/>
              <w:left w:val="single" w:sz="6" w:space="0" w:color="000000"/>
              <w:bottom w:val="single" w:sz="6" w:space="0" w:color="000000"/>
              <w:right w:val="single" w:sz="6" w:space="0" w:color="000000"/>
            </w:tcBorders>
            <w:hideMark/>
          </w:tcPr>
          <w:p w14:paraId="7F314B9B"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c>
          <w:tcPr>
            <w:tcW w:w="1593" w:type="dxa"/>
            <w:tcBorders>
              <w:top w:val="single" w:sz="6" w:space="0" w:color="000000"/>
              <w:left w:val="single" w:sz="6" w:space="0" w:color="000000"/>
              <w:bottom w:val="single" w:sz="6" w:space="0" w:color="000000"/>
              <w:right w:val="single" w:sz="6" w:space="0" w:color="000000"/>
            </w:tcBorders>
            <w:hideMark/>
          </w:tcPr>
          <w:p w14:paraId="212E819B"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r>
      <w:tr w:rsidR="00D93616" w:rsidRPr="00D43281" w14:paraId="096C93DD"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165"/>
              <w:gridCol w:w="2004"/>
            </w:tblGrid>
            <w:tr w:rsidR="00D93616" w:rsidRPr="00D43281" w14:paraId="733063C6" w14:textId="77777777" w:rsidTr="00D14969">
              <w:tc>
                <w:tcPr>
                  <w:tcW w:w="165" w:type="dxa"/>
                  <w:hideMark/>
                </w:tcPr>
                <w:p w14:paraId="707C37CA" w14:textId="59F330A9" w:rsidR="00D93616" w:rsidRPr="00D43281" w:rsidRDefault="002E7A8D"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1.</w:t>
                  </w:r>
                </w:p>
              </w:tc>
              <w:tc>
                <w:tcPr>
                  <w:tcW w:w="2004" w:type="dxa"/>
                  <w:hideMark/>
                </w:tcPr>
                <w:p w14:paraId="687532F2" w14:textId="4BC3C53F" w:rsidR="00D93616" w:rsidRPr="00D43281" w:rsidRDefault="00C23F3B" w:rsidP="00EC6123">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правовые и нормативные риски</w:t>
                  </w:r>
                </w:p>
              </w:tc>
            </w:tr>
          </w:tbl>
          <w:p w14:paraId="2270986B"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54941384" w14:textId="10C25DE3" w:rsidR="00D93616" w:rsidRPr="00D43281" w:rsidRDefault="00C23F3B"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В данной юрисдикции благосклонно относятся к изъятию имущества и принудительному исполнению договоров.</w:t>
            </w:r>
          </w:p>
        </w:tc>
        <w:tc>
          <w:tcPr>
            <w:tcW w:w="1974" w:type="dxa"/>
            <w:tcBorders>
              <w:top w:val="single" w:sz="6" w:space="0" w:color="000000"/>
              <w:left w:val="single" w:sz="6" w:space="0" w:color="000000"/>
              <w:bottom w:val="single" w:sz="6" w:space="0" w:color="000000"/>
              <w:right w:val="single" w:sz="6" w:space="0" w:color="000000"/>
            </w:tcBorders>
            <w:hideMark/>
          </w:tcPr>
          <w:p w14:paraId="4FBD9634" w14:textId="3BD680DA" w:rsidR="00D93616" w:rsidRPr="00D43281" w:rsidRDefault="00C23F3B"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В данной юрисдикции благосклонно относятся к изъятию имущества и принудительному исполнению договоров.</w:t>
            </w:r>
          </w:p>
        </w:tc>
        <w:tc>
          <w:tcPr>
            <w:tcW w:w="1584" w:type="dxa"/>
            <w:tcBorders>
              <w:top w:val="single" w:sz="6" w:space="0" w:color="000000"/>
              <w:left w:val="single" w:sz="6" w:space="0" w:color="000000"/>
              <w:bottom w:val="single" w:sz="6" w:space="0" w:color="000000"/>
              <w:right w:val="single" w:sz="6" w:space="0" w:color="000000"/>
            </w:tcBorders>
            <w:hideMark/>
          </w:tcPr>
          <w:p w14:paraId="37382E45" w14:textId="28A63E57" w:rsidR="00D93616" w:rsidRPr="00D43281" w:rsidRDefault="00C23F3B"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В данной юрисдикции, как правило, благосклонно относятся к изъятию имущества и принудительному исполнению договоров, даже несмотря на то, что изъятие может занять много времени и/или быть затруднительным.</w:t>
            </w:r>
          </w:p>
        </w:tc>
        <w:tc>
          <w:tcPr>
            <w:tcW w:w="1593" w:type="dxa"/>
            <w:tcBorders>
              <w:top w:val="single" w:sz="6" w:space="0" w:color="000000"/>
              <w:left w:val="single" w:sz="6" w:space="0" w:color="000000"/>
              <w:bottom w:val="single" w:sz="6" w:space="0" w:color="000000"/>
              <w:right w:val="single" w:sz="6" w:space="0" w:color="000000"/>
            </w:tcBorders>
            <w:hideMark/>
          </w:tcPr>
          <w:p w14:paraId="0153DDB2" w14:textId="50A065E8" w:rsidR="00D93616" w:rsidRPr="00D43281" w:rsidRDefault="00324621"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Нестабильная или неустойчивая правовая и нормативная среда. Возврат имущества и исполнение договоров могут быть длительными или невозможными в данной юрисдикции.</w:t>
            </w:r>
          </w:p>
        </w:tc>
      </w:tr>
      <w:tr w:rsidR="00D93616" w:rsidRPr="00D43281" w14:paraId="6D860F9E"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165"/>
              <w:gridCol w:w="2004"/>
            </w:tblGrid>
            <w:tr w:rsidR="00D93616" w:rsidRPr="00D43281" w14:paraId="5B2CEBDD" w14:textId="77777777" w:rsidTr="00D14969">
              <w:tc>
                <w:tcPr>
                  <w:tcW w:w="165" w:type="dxa"/>
                  <w:hideMark/>
                </w:tcPr>
                <w:p w14:paraId="2571407B" w14:textId="74141223" w:rsidR="00D93616" w:rsidRPr="00D43281" w:rsidRDefault="002E7A8D"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2.</w:t>
                  </w:r>
                </w:p>
              </w:tc>
              <w:tc>
                <w:tcPr>
                  <w:tcW w:w="2004" w:type="dxa"/>
                  <w:hideMark/>
                </w:tcPr>
                <w:p w14:paraId="04C380B2" w14:textId="3BA9FEBD" w:rsidR="00D93616" w:rsidRPr="00D43281" w:rsidRDefault="008F4149" w:rsidP="00EC6123">
                  <w:pPr>
                    <w:spacing w:before="120" w:after="0" w:line="240" w:lineRule="auto"/>
                    <w:ind w:right="28"/>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политический риск, включая риск передачи, с учетом типа объекта и факторов снижения риска</w:t>
                  </w:r>
                </w:p>
              </w:tc>
            </w:tr>
          </w:tbl>
          <w:p w14:paraId="65617282"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6672D910" w14:textId="1B5508C0" w:rsidR="00D93616" w:rsidRPr="00D43281" w:rsidRDefault="008F414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Очень низкий уровень риска; при необходимости имеются надежные инструменты снижения рисков.</w:t>
            </w:r>
          </w:p>
        </w:tc>
        <w:tc>
          <w:tcPr>
            <w:tcW w:w="1974" w:type="dxa"/>
            <w:tcBorders>
              <w:top w:val="single" w:sz="6" w:space="0" w:color="000000"/>
              <w:left w:val="single" w:sz="6" w:space="0" w:color="000000"/>
              <w:bottom w:val="single" w:sz="6" w:space="0" w:color="000000"/>
              <w:right w:val="single" w:sz="6" w:space="0" w:color="000000"/>
            </w:tcBorders>
            <w:hideMark/>
          </w:tcPr>
          <w:p w14:paraId="5EFE33F8" w14:textId="30889F4A" w:rsidR="00D93616" w:rsidRPr="00D43281" w:rsidRDefault="008F414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Низкий уровень риска; при необходимости — удовлетворительные инструменты снижения рисков.</w:t>
            </w:r>
          </w:p>
        </w:tc>
        <w:tc>
          <w:tcPr>
            <w:tcW w:w="1584" w:type="dxa"/>
            <w:tcBorders>
              <w:top w:val="single" w:sz="6" w:space="0" w:color="000000"/>
              <w:left w:val="single" w:sz="6" w:space="0" w:color="000000"/>
              <w:bottom w:val="single" w:sz="6" w:space="0" w:color="000000"/>
              <w:right w:val="single" w:sz="6" w:space="0" w:color="000000"/>
            </w:tcBorders>
            <w:hideMark/>
          </w:tcPr>
          <w:p w14:paraId="591CA648" w14:textId="776A307C" w:rsidR="00D93616" w:rsidRPr="00D43281" w:rsidRDefault="008F414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Умеренный уровень риска; приемлемые инструменты снижения риска.</w:t>
            </w:r>
          </w:p>
        </w:tc>
        <w:tc>
          <w:tcPr>
            <w:tcW w:w="1593" w:type="dxa"/>
            <w:tcBorders>
              <w:top w:val="single" w:sz="6" w:space="0" w:color="000000"/>
              <w:left w:val="single" w:sz="6" w:space="0" w:color="000000"/>
              <w:bottom w:val="single" w:sz="6" w:space="0" w:color="000000"/>
              <w:right w:val="single" w:sz="6" w:space="0" w:color="000000"/>
            </w:tcBorders>
            <w:hideMark/>
          </w:tcPr>
          <w:p w14:paraId="3B23F54B" w14:textId="1FAD25BA" w:rsidR="00D93616" w:rsidRPr="00D43281" w:rsidRDefault="00C479D6"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Высокая степень риска; слабые или отсутствующие инструменты снижения рисков.</w:t>
            </w:r>
          </w:p>
        </w:tc>
      </w:tr>
      <w:tr w:rsidR="00D93616" w:rsidRPr="00D43281" w14:paraId="0F634850" w14:textId="77777777" w:rsidTr="00D14969">
        <w:tc>
          <w:tcPr>
            <w:tcW w:w="2184" w:type="dxa"/>
            <w:tcBorders>
              <w:top w:val="single" w:sz="6" w:space="0" w:color="000000"/>
              <w:left w:val="single" w:sz="6" w:space="0" w:color="000000"/>
              <w:bottom w:val="single" w:sz="6" w:space="0" w:color="000000"/>
              <w:right w:val="single" w:sz="6" w:space="0" w:color="000000"/>
            </w:tcBorders>
            <w:hideMark/>
          </w:tcPr>
          <w:p w14:paraId="4B120447" w14:textId="0EECF326" w:rsidR="00D93616" w:rsidRPr="00D43281" w:rsidRDefault="00E15657"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b/>
                <w:bCs/>
                <w:sz w:val="24"/>
                <w:szCs w:val="24"/>
                <w:lang w:val="ru-RU" w:eastAsia="ro-MD"/>
              </w:rPr>
              <w:t>Фактор: характеристики сделки</w:t>
            </w:r>
          </w:p>
        </w:tc>
        <w:tc>
          <w:tcPr>
            <w:tcW w:w="2003" w:type="dxa"/>
            <w:tcBorders>
              <w:top w:val="single" w:sz="6" w:space="0" w:color="000000"/>
              <w:left w:val="single" w:sz="6" w:space="0" w:color="000000"/>
              <w:bottom w:val="single" w:sz="6" w:space="0" w:color="000000"/>
              <w:right w:val="single" w:sz="6" w:space="0" w:color="000000"/>
            </w:tcBorders>
            <w:hideMark/>
          </w:tcPr>
          <w:p w14:paraId="0D3AF695"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1974" w:type="dxa"/>
            <w:tcBorders>
              <w:top w:val="single" w:sz="6" w:space="0" w:color="000000"/>
              <w:left w:val="single" w:sz="6" w:space="0" w:color="000000"/>
              <w:bottom w:val="single" w:sz="6" w:space="0" w:color="000000"/>
              <w:right w:val="single" w:sz="6" w:space="0" w:color="000000"/>
            </w:tcBorders>
            <w:hideMark/>
          </w:tcPr>
          <w:p w14:paraId="2A125CFD"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1584" w:type="dxa"/>
            <w:tcBorders>
              <w:top w:val="single" w:sz="6" w:space="0" w:color="000000"/>
              <w:left w:val="single" w:sz="6" w:space="0" w:color="000000"/>
              <w:bottom w:val="single" w:sz="6" w:space="0" w:color="000000"/>
              <w:right w:val="single" w:sz="6" w:space="0" w:color="000000"/>
            </w:tcBorders>
            <w:hideMark/>
          </w:tcPr>
          <w:p w14:paraId="1D862BDB"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1593" w:type="dxa"/>
            <w:tcBorders>
              <w:top w:val="single" w:sz="6" w:space="0" w:color="000000"/>
              <w:left w:val="single" w:sz="6" w:space="0" w:color="000000"/>
              <w:bottom w:val="single" w:sz="6" w:space="0" w:color="000000"/>
              <w:right w:val="single" w:sz="6" w:space="0" w:color="000000"/>
            </w:tcBorders>
            <w:hideMark/>
          </w:tcPr>
          <w:p w14:paraId="3F4D3126"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r>
      <w:tr w:rsidR="00D93616" w:rsidRPr="00D43281" w14:paraId="280235C2"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165"/>
              <w:gridCol w:w="2004"/>
            </w:tblGrid>
            <w:tr w:rsidR="00D93616" w:rsidRPr="00D43281" w14:paraId="3D6192B2" w14:textId="77777777" w:rsidTr="00D14969">
              <w:trPr>
                <w:trHeight w:val="396"/>
              </w:trPr>
              <w:tc>
                <w:tcPr>
                  <w:tcW w:w="165" w:type="dxa"/>
                  <w:hideMark/>
                </w:tcPr>
                <w:p w14:paraId="6ED9DFCE" w14:textId="2F114F9B" w:rsidR="00D93616" w:rsidRPr="00D43281" w:rsidRDefault="002E7A8D"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1.</w:t>
                  </w:r>
                </w:p>
              </w:tc>
              <w:tc>
                <w:tcPr>
                  <w:tcW w:w="2004" w:type="dxa"/>
                  <w:hideMark/>
                </w:tcPr>
                <w:p w14:paraId="376BCB43" w14:textId="08A644F5" w:rsidR="00D93616" w:rsidRPr="00D43281" w:rsidRDefault="00E15657" w:rsidP="00EC6123">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график амортизации</w:t>
                  </w:r>
                </w:p>
              </w:tc>
            </w:tr>
          </w:tbl>
          <w:p w14:paraId="634589D5"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7DC5A20B" w14:textId="430C1672" w:rsidR="00D93616" w:rsidRPr="00D43281" w:rsidRDefault="00E15657"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Амортизация долга без единовременного погашения.</w:t>
            </w:r>
          </w:p>
        </w:tc>
        <w:tc>
          <w:tcPr>
            <w:tcW w:w="1974" w:type="dxa"/>
            <w:tcBorders>
              <w:top w:val="single" w:sz="6" w:space="0" w:color="000000"/>
              <w:left w:val="single" w:sz="6" w:space="0" w:color="000000"/>
              <w:bottom w:val="single" w:sz="6" w:space="0" w:color="000000"/>
              <w:right w:val="single" w:sz="6" w:space="0" w:color="000000"/>
            </w:tcBorders>
            <w:hideMark/>
          </w:tcPr>
          <w:p w14:paraId="21E66EE4" w14:textId="382CD5AA" w:rsidR="00D93616" w:rsidRPr="00D43281" w:rsidRDefault="00E15657"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Амортизация долга без единовременного погашения или с единовременным погашением в незначительной сумме.</w:t>
            </w:r>
          </w:p>
        </w:tc>
        <w:tc>
          <w:tcPr>
            <w:tcW w:w="1584" w:type="dxa"/>
            <w:tcBorders>
              <w:top w:val="single" w:sz="6" w:space="0" w:color="000000"/>
              <w:left w:val="single" w:sz="6" w:space="0" w:color="000000"/>
              <w:bottom w:val="single" w:sz="6" w:space="0" w:color="000000"/>
              <w:right w:val="single" w:sz="6" w:space="0" w:color="000000"/>
            </w:tcBorders>
            <w:hideMark/>
          </w:tcPr>
          <w:p w14:paraId="2038F413" w14:textId="78FC0EA6" w:rsidR="00D93616" w:rsidRPr="00D43281" w:rsidRDefault="001C46C6"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Погашение задолженности с ограниченным количеством единовременных платежей.</w:t>
            </w:r>
          </w:p>
        </w:tc>
        <w:tc>
          <w:tcPr>
            <w:tcW w:w="1593" w:type="dxa"/>
            <w:tcBorders>
              <w:top w:val="single" w:sz="6" w:space="0" w:color="000000"/>
              <w:left w:val="single" w:sz="6" w:space="0" w:color="000000"/>
              <w:bottom w:val="single" w:sz="6" w:space="0" w:color="000000"/>
              <w:right w:val="single" w:sz="6" w:space="0" w:color="000000"/>
            </w:tcBorders>
            <w:hideMark/>
          </w:tcPr>
          <w:p w14:paraId="43F84F2C" w14:textId="2FC35BAD" w:rsidR="00D93616" w:rsidRPr="00D43281" w:rsidRDefault="001C46C6"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Единовременные платежи по кредиту или амортизационные выплаты по долгу со значительной суммой единовременных платежей.</w:t>
            </w:r>
          </w:p>
        </w:tc>
      </w:tr>
      <w:tr w:rsidR="00D93616" w:rsidRPr="00D43281" w14:paraId="0A896A4A"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98"/>
              <w:gridCol w:w="2071"/>
            </w:tblGrid>
            <w:tr w:rsidR="00D93616" w:rsidRPr="00D43281" w14:paraId="7244999E" w14:textId="77777777" w:rsidTr="00D14969">
              <w:tc>
                <w:tcPr>
                  <w:tcW w:w="98" w:type="dxa"/>
                  <w:hideMark/>
                </w:tcPr>
                <w:p w14:paraId="77D52718" w14:textId="0DC4271E" w:rsidR="00D93616" w:rsidRPr="00D43281" w:rsidRDefault="002E7A8D"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eastAsia="ro-MD"/>
                    </w:rPr>
                    <w:t>2</w:t>
                  </w:r>
                </w:p>
              </w:tc>
              <w:tc>
                <w:tcPr>
                  <w:tcW w:w="2071" w:type="dxa"/>
                  <w:hideMark/>
                </w:tcPr>
                <w:p w14:paraId="4749B8D5" w14:textId="391D5EB9" w:rsidR="00D93616" w:rsidRPr="00D43281" w:rsidRDefault="008A5B9F" w:rsidP="00EC6123">
                  <w:pPr>
                    <w:spacing w:before="120" w:after="0" w:line="240" w:lineRule="auto"/>
                    <w:rPr>
                      <w:rFonts w:ascii="Times New Roman" w:eastAsia="Times New Roman" w:hAnsi="Times New Roman" w:cs="Times New Roman"/>
                      <w:sz w:val="24"/>
                      <w:szCs w:val="24"/>
                      <w:lang w:eastAsia="ro-MD"/>
                    </w:rPr>
                  </w:pPr>
                  <w:proofErr w:type="gramStart"/>
                  <w:r w:rsidRPr="00D43281">
                    <w:rPr>
                      <w:rFonts w:ascii="Times New Roman" w:eastAsia="Times New Roman" w:hAnsi="Times New Roman" w:cs="Times New Roman"/>
                      <w:sz w:val="24"/>
                      <w:szCs w:val="24"/>
                      <w:lang w:val="ru-MD" w:eastAsia="ro-MD"/>
                    </w:rPr>
                    <w:t>.Рыночный</w:t>
                  </w:r>
                  <w:proofErr w:type="gramEnd"/>
                  <w:r w:rsidRPr="00D43281">
                    <w:rPr>
                      <w:rFonts w:ascii="Times New Roman" w:eastAsia="Times New Roman" w:hAnsi="Times New Roman" w:cs="Times New Roman"/>
                      <w:sz w:val="24"/>
                      <w:szCs w:val="24"/>
                      <w:lang w:val="ru-MD" w:eastAsia="ro-MD"/>
                    </w:rPr>
                    <w:t>/циклический риск и риск рефинансирования</w:t>
                  </w:r>
                </w:p>
              </w:tc>
            </w:tr>
          </w:tbl>
          <w:p w14:paraId="4CC64539" w14:textId="77777777" w:rsidR="00D93616" w:rsidRPr="00D43281" w:rsidRDefault="00D93616" w:rsidP="00DF083B">
            <w:pPr>
              <w:spacing w:after="0" w:line="240" w:lineRule="auto"/>
              <w:rPr>
                <w:rFonts w:ascii="Times New Roman" w:eastAsia="Times New Roman" w:hAnsi="Times New Roman" w:cs="Times New Roman"/>
                <w:sz w:val="24"/>
                <w:szCs w:val="24"/>
                <w:lang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4A5031F4" w14:textId="5669A90D" w:rsidR="00327179" w:rsidRPr="00D43281" w:rsidRDefault="00CA3491"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Подверженность рыночному</w:t>
            </w:r>
            <w:r w:rsidR="00327179" w:rsidRPr="00D43281">
              <w:rPr>
                <w:rFonts w:ascii="Times New Roman" w:eastAsia="Times New Roman" w:hAnsi="Times New Roman" w:cs="Times New Roman"/>
                <w:sz w:val="24"/>
                <w:szCs w:val="24"/>
                <w:lang w:val="ru-MD" w:eastAsia="ro-MD"/>
              </w:rPr>
              <w:t xml:space="preserve"> или циклическому риску очень </w:t>
            </w:r>
            <w:r w:rsidR="00327179" w:rsidRPr="00D43281">
              <w:rPr>
                <w:rFonts w:ascii="Times New Roman" w:eastAsia="Times New Roman" w:hAnsi="Times New Roman" w:cs="Times New Roman"/>
                <w:sz w:val="24"/>
                <w:szCs w:val="24"/>
                <w:lang w:val="ru-MD" w:eastAsia="ro-MD"/>
              </w:rPr>
              <w:lastRenderedPageBreak/>
              <w:t>ограничен или отсутствует, поскольку ожидаемые денежные потоки покрывают все будущие выплаты по кредиту в течение срока его действия, и между денежными потоками и выплатами по кредиту нет существенных разрывов</w:t>
            </w:r>
          </w:p>
          <w:p w14:paraId="4336C3B4" w14:textId="0AC1D736" w:rsidR="00D93616" w:rsidRPr="00D43281" w:rsidRDefault="00327179"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Риск рефинансирования очень низок или отсутствует.</w:t>
            </w:r>
          </w:p>
        </w:tc>
        <w:tc>
          <w:tcPr>
            <w:tcW w:w="1974" w:type="dxa"/>
            <w:tcBorders>
              <w:top w:val="single" w:sz="6" w:space="0" w:color="000000"/>
              <w:left w:val="single" w:sz="6" w:space="0" w:color="000000"/>
              <w:bottom w:val="single" w:sz="6" w:space="0" w:color="000000"/>
              <w:right w:val="single" w:sz="6" w:space="0" w:color="000000"/>
            </w:tcBorders>
            <w:hideMark/>
          </w:tcPr>
          <w:p w14:paraId="63CCB4AE" w14:textId="1C86E242" w:rsidR="006C1688" w:rsidRPr="00D43281" w:rsidRDefault="00CA3491" w:rsidP="00DF083B">
            <w:pPr>
              <w:spacing w:before="60" w:after="60" w:line="240" w:lineRule="auto"/>
              <w:rPr>
                <w:sz w:val="24"/>
                <w:szCs w:val="24"/>
                <w:lang w:val="ru-MD"/>
              </w:rPr>
            </w:pPr>
            <w:r w:rsidRPr="00D43281">
              <w:rPr>
                <w:rFonts w:ascii="Times New Roman" w:eastAsia="Times New Roman" w:hAnsi="Times New Roman" w:cs="Times New Roman"/>
                <w:sz w:val="24"/>
                <w:szCs w:val="24"/>
                <w:lang w:val="ru-MD" w:eastAsia="ro-MD"/>
              </w:rPr>
              <w:lastRenderedPageBreak/>
              <w:t>Подверженность рыночному</w:t>
            </w:r>
            <w:r w:rsidR="006C1688" w:rsidRPr="00D43281">
              <w:rPr>
                <w:rFonts w:ascii="Times New Roman" w:eastAsia="Times New Roman" w:hAnsi="Times New Roman" w:cs="Times New Roman"/>
                <w:sz w:val="24"/>
                <w:szCs w:val="24"/>
                <w:lang w:val="ru-MD" w:eastAsia="ro-MD"/>
              </w:rPr>
              <w:t xml:space="preserve"> или циклическому риску ограничен, </w:t>
            </w:r>
            <w:r w:rsidR="006C1688" w:rsidRPr="00D43281">
              <w:rPr>
                <w:rFonts w:ascii="Times New Roman" w:eastAsia="Times New Roman" w:hAnsi="Times New Roman" w:cs="Times New Roman"/>
                <w:sz w:val="24"/>
                <w:szCs w:val="24"/>
                <w:lang w:val="ru-MD" w:eastAsia="ro-MD"/>
              </w:rPr>
              <w:lastRenderedPageBreak/>
              <w:t>поскольку ожидаемые денежные потоки покрывают большую часть будущих выплат по кредиту в течение всего срока его действия, и между денежными потоками и выплатами по кредиту нет существенных разрывов.</w:t>
            </w:r>
            <w:r w:rsidR="006C1688" w:rsidRPr="00D43281">
              <w:rPr>
                <w:sz w:val="24"/>
                <w:szCs w:val="24"/>
                <w:lang w:val="ru-MD"/>
              </w:rPr>
              <w:t xml:space="preserve"> </w:t>
            </w:r>
          </w:p>
          <w:p w14:paraId="11D8767D" w14:textId="76407C41" w:rsidR="00D93616" w:rsidRPr="00D43281" w:rsidRDefault="006C1688"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Риск рефинансирования низок.</w:t>
            </w:r>
          </w:p>
        </w:tc>
        <w:tc>
          <w:tcPr>
            <w:tcW w:w="1584" w:type="dxa"/>
            <w:tcBorders>
              <w:top w:val="single" w:sz="6" w:space="0" w:color="000000"/>
              <w:left w:val="single" w:sz="6" w:space="0" w:color="000000"/>
              <w:bottom w:val="single" w:sz="6" w:space="0" w:color="000000"/>
              <w:right w:val="single" w:sz="6" w:space="0" w:color="000000"/>
            </w:tcBorders>
            <w:hideMark/>
          </w:tcPr>
          <w:p w14:paraId="3A294F0F" w14:textId="13BA45CC" w:rsidR="005B5E2D" w:rsidRPr="00D43281" w:rsidRDefault="00CA3491"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Подверженность рыночному</w:t>
            </w:r>
            <w:r w:rsidR="005B5E2D" w:rsidRPr="00D43281">
              <w:rPr>
                <w:rFonts w:ascii="Times New Roman" w:eastAsia="Times New Roman" w:hAnsi="Times New Roman" w:cs="Times New Roman"/>
                <w:sz w:val="24"/>
                <w:szCs w:val="24"/>
                <w:lang w:val="ru-MD" w:eastAsia="ro-MD"/>
              </w:rPr>
              <w:t xml:space="preserve"> или циклическому </w:t>
            </w:r>
            <w:r w:rsidR="005B5E2D" w:rsidRPr="00D43281">
              <w:rPr>
                <w:rFonts w:ascii="Times New Roman" w:eastAsia="Times New Roman" w:hAnsi="Times New Roman" w:cs="Times New Roman"/>
                <w:sz w:val="24"/>
                <w:szCs w:val="24"/>
                <w:lang w:val="ru-MD" w:eastAsia="ro-MD"/>
              </w:rPr>
              <w:lastRenderedPageBreak/>
              <w:t>риску умеренный, поскольку ожидаемые денежные потоки покрывают лишь часть будущих выплат по кредиту в течение срока его действия, или же существуют значительные разрывы между денежными потоками и выплатами по кредиту.</w:t>
            </w:r>
          </w:p>
          <w:p w14:paraId="7E8A14E8" w14:textId="5F21BD3E" w:rsidR="00D93616" w:rsidRPr="00D43281" w:rsidRDefault="00CA3491"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Риск рефинансирования средний.</w:t>
            </w:r>
          </w:p>
        </w:tc>
        <w:tc>
          <w:tcPr>
            <w:tcW w:w="1593" w:type="dxa"/>
            <w:tcBorders>
              <w:top w:val="single" w:sz="6" w:space="0" w:color="000000"/>
              <w:left w:val="single" w:sz="6" w:space="0" w:color="000000"/>
              <w:bottom w:val="single" w:sz="6" w:space="0" w:color="000000"/>
              <w:right w:val="single" w:sz="6" w:space="0" w:color="000000"/>
            </w:tcBorders>
            <w:hideMark/>
          </w:tcPr>
          <w:p w14:paraId="56B4EEF8" w14:textId="106F6C0C" w:rsidR="00721449" w:rsidRPr="00D43281" w:rsidRDefault="00CA3491"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Подверженность рыночному</w:t>
            </w:r>
            <w:r w:rsidR="00721449" w:rsidRPr="00D43281">
              <w:rPr>
                <w:rFonts w:ascii="Times New Roman" w:eastAsia="Times New Roman" w:hAnsi="Times New Roman" w:cs="Times New Roman"/>
                <w:sz w:val="24"/>
                <w:szCs w:val="24"/>
                <w:lang w:val="ru-MD" w:eastAsia="ro-MD"/>
              </w:rPr>
              <w:t xml:space="preserve"> или циклическому </w:t>
            </w:r>
            <w:r w:rsidR="00721449" w:rsidRPr="00D43281">
              <w:rPr>
                <w:rFonts w:ascii="Times New Roman" w:eastAsia="Times New Roman" w:hAnsi="Times New Roman" w:cs="Times New Roman"/>
                <w:sz w:val="24"/>
                <w:szCs w:val="24"/>
                <w:lang w:val="ru-MD" w:eastAsia="ro-MD"/>
              </w:rPr>
              <w:lastRenderedPageBreak/>
              <w:t>риску значителен, поскольку ожидаемые денежные потоки покрывают лишь небольшую часть будущих выплат по кредиту в течение срока его действия, и существуют значительные разрывы между денежными потоками и выплатами по кредиту.</w:t>
            </w:r>
          </w:p>
          <w:p w14:paraId="4815E1EF" w14:textId="2E074BC7" w:rsidR="00D93616" w:rsidRPr="00D43281" w:rsidRDefault="00CA3491"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Риск рефинансирования повышен</w:t>
            </w:r>
            <w:r w:rsidR="00D93616" w:rsidRPr="00D43281">
              <w:rPr>
                <w:rFonts w:ascii="Times New Roman" w:eastAsia="Times New Roman" w:hAnsi="Times New Roman" w:cs="Times New Roman"/>
                <w:sz w:val="24"/>
                <w:szCs w:val="24"/>
                <w:lang w:val="ru-MD" w:eastAsia="ro-MD"/>
              </w:rPr>
              <w:t>.</w:t>
            </w:r>
          </w:p>
        </w:tc>
      </w:tr>
      <w:tr w:rsidR="00D93616" w:rsidRPr="00D43281" w14:paraId="5DA0B744"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165"/>
              <w:gridCol w:w="2004"/>
            </w:tblGrid>
            <w:tr w:rsidR="00D93616" w:rsidRPr="00D43281" w14:paraId="40660904" w14:textId="77777777" w:rsidTr="00D14969">
              <w:tc>
                <w:tcPr>
                  <w:tcW w:w="165" w:type="dxa"/>
                  <w:hideMark/>
                </w:tcPr>
                <w:p w14:paraId="54BF51E7" w14:textId="51B291BB" w:rsidR="00D93616" w:rsidRPr="00D43281" w:rsidRDefault="002E7A8D"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3.</w:t>
                  </w:r>
                </w:p>
              </w:tc>
              <w:tc>
                <w:tcPr>
                  <w:tcW w:w="2004" w:type="dxa"/>
                  <w:hideMark/>
                </w:tcPr>
                <w:p w14:paraId="4AB5ED86" w14:textId="1CE20226" w:rsidR="00D93616" w:rsidRPr="00D43281" w:rsidRDefault="004930F6" w:rsidP="00EC6123">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операционный риск</w:t>
                  </w:r>
                </w:p>
              </w:tc>
            </w:tr>
          </w:tbl>
          <w:p w14:paraId="2574C867"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0C38EB1E"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1974" w:type="dxa"/>
            <w:tcBorders>
              <w:top w:val="single" w:sz="6" w:space="0" w:color="000000"/>
              <w:left w:val="single" w:sz="6" w:space="0" w:color="000000"/>
              <w:bottom w:val="single" w:sz="6" w:space="0" w:color="000000"/>
              <w:right w:val="single" w:sz="6" w:space="0" w:color="000000"/>
            </w:tcBorders>
            <w:hideMark/>
          </w:tcPr>
          <w:p w14:paraId="7EA08D40"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1584" w:type="dxa"/>
            <w:tcBorders>
              <w:top w:val="single" w:sz="6" w:space="0" w:color="000000"/>
              <w:left w:val="single" w:sz="6" w:space="0" w:color="000000"/>
              <w:bottom w:val="single" w:sz="6" w:space="0" w:color="000000"/>
              <w:right w:val="single" w:sz="6" w:space="0" w:color="000000"/>
            </w:tcBorders>
            <w:hideMark/>
          </w:tcPr>
          <w:p w14:paraId="7057C8A8"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1593" w:type="dxa"/>
            <w:tcBorders>
              <w:top w:val="single" w:sz="6" w:space="0" w:color="000000"/>
              <w:left w:val="single" w:sz="6" w:space="0" w:color="000000"/>
              <w:bottom w:val="single" w:sz="6" w:space="0" w:color="000000"/>
              <w:right w:val="single" w:sz="6" w:space="0" w:color="000000"/>
            </w:tcBorders>
            <w:hideMark/>
          </w:tcPr>
          <w:p w14:paraId="72B9D156"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r>
      <w:tr w:rsidR="00D93616" w:rsidRPr="00D43281" w14:paraId="0BD7D2B6"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20"/>
              <w:gridCol w:w="2149"/>
            </w:tblGrid>
            <w:tr w:rsidR="00D93616" w:rsidRPr="00D43281" w14:paraId="0D3D83BE" w14:textId="77777777" w:rsidTr="00D14969">
              <w:tc>
                <w:tcPr>
                  <w:tcW w:w="6" w:type="dxa"/>
                  <w:hideMark/>
                </w:tcPr>
                <w:p w14:paraId="79A3A29C" w14:textId="4A8D8E7F"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p>
              </w:tc>
              <w:tc>
                <w:tcPr>
                  <w:tcW w:w="2163" w:type="dxa"/>
                  <w:hideMark/>
                </w:tcPr>
                <w:p w14:paraId="15A244FE" w14:textId="6D3B55D0" w:rsidR="00D93616" w:rsidRPr="00D43281" w:rsidRDefault="0056419D" w:rsidP="00EC6123">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3.1.</w:t>
                  </w:r>
                  <w:r w:rsidR="004930F6" w:rsidRPr="00D43281">
                    <w:rPr>
                      <w:sz w:val="24"/>
                      <w:szCs w:val="24"/>
                      <w:lang w:val="ru-RU"/>
                    </w:rPr>
                    <w:t xml:space="preserve"> </w:t>
                  </w:r>
                  <w:r w:rsidR="004930F6" w:rsidRPr="00D43281">
                    <w:rPr>
                      <w:rFonts w:ascii="Times New Roman" w:eastAsia="Times New Roman" w:hAnsi="Times New Roman" w:cs="Times New Roman"/>
                      <w:sz w:val="24"/>
                      <w:szCs w:val="24"/>
                      <w:lang w:val="ru-RU" w:eastAsia="ro-MD"/>
                    </w:rPr>
                    <w:t xml:space="preserve">Получение разрешений/лицензий (компонент </w:t>
                  </w:r>
                  <w:proofErr w:type="spellStart"/>
                  <w:r w:rsidR="004930F6" w:rsidRPr="00D43281">
                    <w:rPr>
                      <w:rFonts w:ascii="Times New Roman" w:eastAsia="Times New Roman" w:hAnsi="Times New Roman" w:cs="Times New Roman"/>
                      <w:sz w:val="24"/>
                      <w:szCs w:val="24"/>
                      <w:lang w:val="ru-RU" w:eastAsia="ro-MD"/>
                    </w:rPr>
                    <w:t>подфактора</w:t>
                  </w:r>
                  <w:proofErr w:type="spellEnd"/>
                  <w:r w:rsidR="004930F6" w:rsidRPr="00D43281">
                    <w:rPr>
                      <w:rFonts w:ascii="Times New Roman" w:eastAsia="Times New Roman" w:hAnsi="Times New Roman" w:cs="Times New Roman"/>
                      <w:sz w:val="24"/>
                      <w:szCs w:val="24"/>
                      <w:lang w:val="ru-RU" w:eastAsia="ro-MD"/>
                    </w:rPr>
                    <w:t>)</w:t>
                  </w:r>
                </w:p>
              </w:tc>
            </w:tr>
          </w:tbl>
          <w:p w14:paraId="0BF3BDBC"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20C28122" w14:textId="177E5754" w:rsidR="00D93616" w:rsidRPr="00D43281" w:rsidRDefault="004930F6"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Все необходимые разрешения получены; объект соответствует действующим и прогнозируемым нормам безопасности.</w:t>
            </w:r>
          </w:p>
        </w:tc>
        <w:tc>
          <w:tcPr>
            <w:tcW w:w="1974" w:type="dxa"/>
            <w:tcBorders>
              <w:top w:val="single" w:sz="6" w:space="0" w:color="000000"/>
              <w:left w:val="single" w:sz="6" w:space="0" w:color="000000"/>
              <w:bottom w:val="single" w:sz="6" w:space="0" w:color="000000"/>
              <w:right w:val="single" w:sz="6" w:space="0" w:color="000000"/>
            </w:tcBorders>
            <w:hideMark/>
          </w:tcPr>
          <w:p w14:paraId="60E0B2CB" w14:textId="1C86A556" w:rsidR="00D93616" w:rsidRPr="00D43281" w:rsidRDefault="004930F6"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Все необходимые разрешения получены или находятся в процессе получения; объект соответствует действующим и прогнозируемым нормам безопасности.</w:t>
            </w:r>
          </w:p>
        </w:tc>
        <w:tc>
          <w:tcPr>
            <w:tcW w:w="1584" w:type="dxa"/>
            <w:tcBorders>
              <w:top w:val="single" w:sz="6" w:space="0" w:color="000000"/>
              <w:left w:val="single" w:sz="6" w:space="0" w:color="000000"/>
              <w:bottom w:val="single" w:sz="6" w:space="0" w:color="000000"/>
              <w:right w:val="single" w:sz="6" w:space="0" w:color="000000"/>
            </w:tcBorders>
            <w:hideMark/>
          </w:tcPr>
          <w:p w14:paraId="2737ED7D" w14:textId="48899BAC" w:rsidR="00D93616" w:rsidRPr="00D43281" w:rsidRDefault="0005334C"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Большинство разрешений получено или находится в процессе получения, а получение тех, которые еще не получены, считается стандартной процедурой, и объект соответствует действующим нормам безопасности.</w:t>
            </w:r>
          </w:p>
        </w:tc>
        <w:tc>
          <w:tcPr>
            <w:tcW w:w="1593" w:type="dxa"/>
            <w:tcBorders>
              <w:top w:val="single" w:sz="6" w:space="0" w:color="000000"/>
              <w:left w:val="single" w:sz="6" w:space="0" w:color="000000"/>
              <w:bottom w:val="single" w:sz="6" w:space="0" w:color="000000"/>
              <w:right w:val="single" w:sz="6" w:space="0" w:color="000000"/>
            </w:tcBorders>
            <w:hideMark/>
          </w:tcPr>
          <w:p w14:paraId="279EA2C9" w14:textId="66DE3C79" w:rsidR="00D93616" w:rsidRPr="00D43281" w:rsidRDefault="0005334C"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Возникли проблемы с получением всех необходимых разрешений; возможно, потребуется пересмотреть некоторые запланированные параметры конфигурации и/или режимы работы.</w:t>
            </w:r>
          </w:p>
        </w:tc>
      </w:tr>
      <w:tr w:rsidR="00D93616" w:rsidRPr="00D43281" w14:paraId="02D06182"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20"/>
              <w:gridCol w:w="2149"/>
            </w:tblGrid>
            <w:tr w:rsidR="00D93616" w:rsidRPr="00D43281" w14:paraId="42DB9991" w14:textId="77777777" w:rsidTr="00D14969">
              <w:tc>
                <w:tcPr>
                  <w:tcW w:w="6" w:type="dxa"/>
                  <w:hideMark/>
                </w:tcPr>
                <w:p w14:paraId="71BB53DA" w14:textId="33A076A1"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p>
              </w:tc>
              <w:tc>
                <w:tcPr>
                  <w:tcW w:w="2163" w:type="dxa"/>
                  <w:hideMark/>
                </w:tcPr>
                <w:p w14:paraId="3A8CB3D4" w14:textId="093CFC79" w:rsidR="00D93616" w:rsidRPr="00D43281" w:rsidRDefault="0056419D" w:rsidP="00EC6123">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3.2.</w:t>
                  </w:r>
                  <w:r w:rsidR="00E34788" w:rsidRPr="00D43281">
                    <w:rPr>
                      <w:sz w:val="24"/>
                      <w:szCs w:val="24"/>
                      <w:lang w:val="ru-RU"/>
                    </w:rPr>
                    <w:t xml:space="preserve"> </w:t>
                  </w:r>
                  <w:r w:rsidR="00E34788" w:rsidRPr="00D43281">
                    <w:rPr>
                      <w:rFonts w:ascii="Times New Roman" w:eastAsia="Times New Roman" w:hAnsi="Times New Roman" w:cs="Times New Roman"/>
                      <w:sz w:val="24"/>
                      <w:szCs w:val="24"/>
                      <w:lang w:val="ru-RU" w:eastAsia="ro-MD"/>
                    </w:rPr>
                    <w:t xml:space="preserve">Область применения и характер договоров на эксплуатацию и техническое </w:t>
                  </w:r>
                  <w:r w:rsidR="00E34788" w:rsidRPr="00D43281">
                    <w:rPr>
                      <w:rFonts w:ascii="Times New Roman" w:eastAsia="Times New Roman" w:hAnsi="Times New Roman" w:cs="Times New Roman"/>
                      <w:sz w:val="24"/>
                      <w:szCs w:val="24"/>
                      <w:lang w:val="ru-RU" w:eastAsia="ro-MD"/>
                    </w:rPr>
                    <w:lastRenderedPageBreak/>
                    <w:t xml:space="preserve">обслуживание (компонент </w:t>
                  </w:r>
                  <w:proofErr w:type="spellStart"/>
                  <w:r w:rsidR="00E34788" w:rsidRPr="00D43281">
                    <w:rPr>
                      <w:rFonts w:ascii="Times New Roman" w:eastAsia="Times New Roman" w:hAnsi="Times New Roman" w:cs="Times New Roman"/>
                      <w:sz w:val="24"/>
                      <w:szCs w:val="24"/>
                      <w:lang w:val="ru-RU" w:eastAsia="ro-MD"/>
                    </w:rPr>
                    <w:t>подфактора</w:t>
                  </w:r>
                  <w:proofErr w:type="spellEnd"/>
                  <w:r w:rsidR="00E34788" w:rsidRPr="00D43281">
                    <w:rPr>
                      <w:rFonts w:ascii="Times New Roman" w:eastAsia="Times New Roman" w:hAnsi="Times New Roman" w:cs="Times New Roman"/>
                      <w:sz w:val="24"/>
                      <w:szCs w:val="24"/>
                      <w:lang w:val="ru-RU" w:eastAsia="ro-MD"/>
                    </w:rPr>
                    <w:t>)</w:t>
                  </w:r>
                </w:p>
              </w:tc>
            </w:tr>
          </w:tbl>
          <w:p w14:paraId="7D9F2970"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5E059EC1" w14:textId="4EE25594" w:rsidR="00D93616" w:rsidRPr="00D43281" w:rsidRDefault="00E34788"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 xml:space="preserve">Надежный долгосрочный контракт на эксплуатацию и техническое </w:t>
            </w:r>
            <w:r w:rsidRPr="00D43281">
              <w:rPr>
                <w:rFonts w:ascii="Times New Roman" w:eastAsia="Times New Roman" w:hAnsi="Times New Roman" w:cs="Times New Roman"/>
                <w:sz w:val="24"/>
                <w:szCs w:val="24"/>
                <w:lang w:val="ru-RU" w:eastAsia="ro-MD"/>
              </w:rPr>
              <w:lastRenderedPageBreak/>
              <w:t>обслуживание, предпочтительно с договорными премиями за результативность и/или резервными счетами на эксплуатацию и техническое обслуживание (</w:t>
            </w:r>
            <w:r w:rsidR="00030125" w:rsidRPr="00D43281">
              <w:rPr>
                <w:rFonts w:ascii="Times New Roman" w:eastAsia="Times New Roman" w:hAnsi="Times New Roman" w:cs="Times New Roman"/>
                <w:sz w:val="24"/>
                <w:szCs w:val="24"/>
                <w:lang w:val="ru-RU" w:eastAsia="ro-MD"/>
              </w:rPr>
              <w:t>если применимо</w:t>
            </w:r>
            <w:r w:rsidRPr="00D43281">
              <w:rPr>
                <w:rFonts w:ascii="Times New Roman" w:eastAsia="Times New Roman" w:hAnsi="Times New Roman" w:cs="Times New Roman"/>
                <w:sz w:val="24"/>
                <w:szCs w:val="24"/>
                <w:lang w:val="ru-RU" w:eastAsia="ro-MD"/>
              </w:rPr>
              <w:t>)</w:t>
            </w:r>
          </w:p>
        </w:tc>
        <w:tc>
          <w:tcPr>
            <w:tcW w:w="1974" w:type="dxa"/>
            <w:tcBorders>
              <w:top w:val="single" w:sz="6" w:space="0" w:color="000000"/>
              <w:left w:val="single" w:sz="6" w:space="0" w:color="000000"/>
              <w:bottom w:val="single" w:sz="6" w:space="0" w:color="000000"/>
              <w:right w:val="single" w:sz="6" w:space="0" w:color="000000"/>
            </w:tcBorders>
            <w:hideMark/>
          </w:tcPr>
          <w:p w14:paraId="18A82FB4" w14:textId="1098BEF2" w:rsidR="00D93616" w:rsidRPr="00D43281" w:rsidRDefault="00E34788"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 xml:space="preserve">Долгосрочный договор на эксплуатацию и техническое обслуживание </w:t>
            </w:r>
            <w:r w:rsidRPr="00D43281">
              <w:rPr>
                <w:rFonts w:ascii="Times New Roman" w:eastAsia="Times New Roman" w:hAnsi="Times New Roman" w:cs="Times New Roman"/>
                <w:sz w:val="24"/>
                <w:szCs w:val="24"/>
                <w:lang w:val="ru-RU" w:eastAsia="ro-MD"/>
              </w:rPr>
              <w:lastRenderedPageBreak/>
              <w:t>и/или резервные счета для эксплуатации и технического обслуживания (</w:t>
            </w:r>
            <w:r w:rsidR="00030125" w:rsidRPr="00D43281">
              <w:rPr>
                <w:rFonts w:ascii="Times New Roman" w:eastAsia="Times New Roman" w:hAnsi="Times New Roman" w:cs="Times New Roman"/>
                <w:sz w:val="24"/>
                <w:szCs w:val="24"/>
                <w:lang w:val="ru-RU" w:eastAsia="ro-MD"/>
              </w:rPr>
              <w:t>если применимо</w:t>
            </w:r>
            <w:r w:rsidRPr="00D43281">
              <w:rPr>
                <w:rFonts w:ascii="Times New Roman" w:eastAsia="Times New Roman" w:hAnsi="Times New Roman" w:cs="Times New Roman"/>
                <w:sz w:val="24"/>
                <w:szCs w:val="24"/>
                <w:lang w:val="ru-RU" w:eastAsia="ro-MD"/>
              </w:rPr>
              <w:t>)</w:t>
            </w:r>
          </w:p>
        </w:tc>
        <w:tc>
          <w:tcPr>
            <w:tcW w:w="1584" w:type="dxa"/>
            <w:tcBorders>
              <w:top w:val="single" w:sz="6" w:space="0" w:color="000000"/>
              <w:left w:val="single" w:sz="6" w:space="0" w:color="000000"/>
              <w:bottom w:val="single" w:sz="6" w:space="0" w:color="000000"/>
              <w:right w:val="single" w:sz="6" w:space="0" w:color="000000"/>
            </w:tcBorders>
            <w:hideMark/>
          </w:tcPr>
          <w:p w14:paraId="073ABADA" w14:textId="6C11635E" w:rsidR="00D93616" w:rsidRPr="00D43281" w:rsidRDefault="00030125"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 xml:space="preserve">Договор на эксплуатацию и техническое обслуживание или </w:t>
            </w:r>
            <w:r w:rsidRPr="00D43281">
              <w:rPr>
                <w:rFonts w:ascii="Times New Roman" w:eastAsia="Times New Roman" w:hAnsi="Times New Roman" w:cs="Times New Roman"/>
                <w:sz w:val="24"/>
                <w:szCs w:val="24"/>
                <w:lang w:val="ru-RU" w:eastAsia="ro-MD"/>
              </w:rPr>
              <w:lastRenderedPageBreak/>
              <w:t>ограниченный резервный счет на эксплуатацию и техническое обслуживание (если применимо)</w:t>
            </w:r>
          </w:p>
        </w:tc>
        <w:tc>
          <w:tcPr>
            <w:tcW w:w="1593" w:type="dxa"/>
            <w:tcBorders>
              <w:top w:val="single" w:sz="6" w:space="0" w:color="000000"/>
              <w:left w:val="single" w:sz="6" w:space="0" w:color="000000"/>
              <w:bottom w:val="single" w:sz="6" w:space="0" w:color="000000"/>
              <w:right w:val="single" w:sz="6" w:space="0" w:color="000000"/>
            </w:tcBorders>
            <w:hideMark/>
          </w:tcPr>
          <w:p w14:paraId="731EE1FB" w14:textId="65FFC9FB" w:rsidR="00D93616" w:rsidRPr="00D43281" w:rsidRDefault="00030125"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 xml:space="preserve">Отсутствие договора на эксплуатацию и техническое обслуживание: </w:t>
            </w:r>
            <w:r w:rsidRPr="00D43281">
              <w:rPr>
                <w:rFonts w:ascii="Times New Roman" w:eastAsia="Times New Roman" w:hAnsi="Times New Roman" w:cs="Times New Roman"/>
                <w:sz w:val="24"/>
                <w:szCs w:val="24"/>
                <w:lang w:val="ru-RU" w:eastAsia="ro-MD"/>
              </w:rPr>
              <w:lastRenderedPageBreak/>
              <w:t>существует риск значительного превышения эксплуатационных расходов, превышающего уровень факторов, снижающих этот риск.</w:t>
            </w:r>
          </w:p>
        </w:tc>
      </w:tr>
      <w:tr w:rsidR="00D93616" w:rsidRPr="00D43281" w14:paraId="14335B32"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20"/>
              <w:gridCol w:w="2149"/>
            </w:tblGrid>
            <w:tr w:rsidR="00D93616" w:rsidRPr="00D43281" w14:paraId="64540594" w14:textId="77777777" w:rsidTr="00D14969">
              <w:tc>
                <w:tcPr>
                  <w:tcW w:w="6" w:type="dxa"/>
                  <w:hideMark/>
                </w:tcPr>
                <w:p w14:paraId="0F396D81" w14:textId="2DF3C5D2"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p>
              </w:tc>
              <w:tc>
                <w:tcPr>
                  <w:tcW w:w="2163" w:type="dxa"/>
                  <w:hideMark/>
                </w:tcPr>
                <w:p w14:paraId="292AA6F6" w14:textId="16F6477A" w:rsidR="00D93616" w:rsidRPr="00D43281" w:rsidRDefault="0056419D" w:rsidP="00EC6123">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3.3.</w:t>
                  </w:r>
                  <w:r w:rsidR="009A7589" w:rsidRPr="00D43281">
                    <w:rPr>
                      <w:sz w:val="24"/>
                      <w:szCs w:val="24"/>
                      <w:lang w:val="ru-MD"/>
                    </w:rPr>
                    <w:t xml:space="preserve"> </w:t>
                  </w:r>
                  <w:r w:rsidR="009A7589" w:rsidRPr="00D43281">
                    <w:rPr>
                      <w:rFonts w:ascii="Times New Roman" w:eastAsia="Times New Roman" w:hAnsi="Times New Roman" w:cs="Times New Roman"/>
                      <w:sz w:val="24"/>
                      <w:szCs w:val="24"/>
                      <w:lang w:val="ru-MD" w:eastAsia="ro-MD"/>
                    </w:rPr>
                    <w:t xml:space="preserve">Финансовая устойчивость оператора, опыт управления активами данного типа и возможность повторной продажи актива по окончании срока аренды (компонент </w:t>
                  </w:r>
                  <w:proofErr w:type="spellStart"/>
                  <w:r w:rsidR="00F452FA" w:rsidRPr="00D43281">
                    <w:rPr>
                      <w:rFonts w:ascii="Times New Roman" w:eastAsia="Times New Roman" w:hAnsi="Times New Roman" w:cs="Times New Roman"/>
                      <w:sz w:val="24"/>
                      <w:szCs w:val="24"/>
                      <w:lang w:val="ru-MD" w:eastAsia="ro-MD"/>
                    </w:rPr>
                    <w:t>под</w:t>
                  </w:r>
                  <w:r w:rsidR="009A7589" w:rsidRPr="00D43281">
                    <w:rPr>
                      <w:rFonts w:ascii="Times New Roman" w:eastAsia="Times New Roman" w:hAnsi="Times New Roman" w:cs="Times New Roman"/>
                      <w:sz w:val="24"/>
                      <w:szCs w:val="24"/>
                      <w:lang w:val="ru-MD" w:eastAsia="ro-MD"/>
                    </w:rPr>
                    <w:t>фактора</w:t>
                  </w:r>
                  <w:proofErr w:type="spellEnd"/>
                  <w:r w:rsidR="009A7589" w:rsidRPr="00D43281">
                    <w:rPr>
                      <w:rFonts w:ascii="Times New Roman" w:eastAsia="Times New Roman" w:hAnsi="Times New Roman" w:cs="Times New Roman"/>
                      <w:sz w:val="24"/>
                      <w:szCs w:val="24"/>
                      <w:lang w:val="ru-MD" w:eastAsia="ro-MD"/>
                    </w:rPr>
                    <w:t>)</w:t>
                  </w:r>
                </w:p>
              </w:tc>
            </w:tr>
          </w:tbl>
          <w:p w14:paraId="0666F348" w14:textId="77777777" w:rsidR="00D93616" w:rsidRPr="00D43281" w:rsidRDefault="00D93616" w:rsidP="00DF083B">
            <w:pPr>
              <w:spacing w:after="0" w:line="240" w:lineRule="auto"/>
              <w:rPr>
                <w:rFonts w:ascii="Times New Roman" w:eastAsia="Times New Roman" w:hAnsi="Times New Roman" w:cs="Times New Roman"/>
                <w:sz w:val="24"/>
                <w:szCs w:val="24"/>
                <w:lang w:val="ru-MD"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368FD5F1" w14:textId="1716FBB7" w:rsidR="00D93616" w:rsidRPr="00D43281" w:rsidRDefault="009A7589"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Отличная репутация и высокая конкурентоспособность на рынке.</w:t>
            </w:r>
          </w:p>
        </w:tc>
        <w:tc>
          <w:tcPr>
            <w:tcW w:w="1974" w:type="dxa"/>
            <w:tcBorders>
              <w:top w:val="single" w:sz="6" w:space="0" w:color="000000"/>
              <w:left w:val="single" w:sz="6" w:space="0" w:color="000000"/>
              <w:bottom w:val="single" w:sz="6" w:space="0" w:color="000000"/>
              <w:right w:val="single" w:sz="6" w:space="0" w:color="000000"/>
            </w:tcBorders>
            <w:hideMark/>
          </w:tcPr>
          <w:p w14:paraId="470F4EA6" w14:textId="2F9DFB30" w:rsidR="00D93616" w:rsidRPr="00D43281" w:rsidRDefault="00D21160"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Удовлетворительная история и удовлетворительная возможность повторного выхода на рынок.</w:t>
            </w:r>
          </w:p>
        </w:tc>
        <w:tc>
          <w:tcPr>
            <w:tcW w:w="1584" w:type="dxa"/>
            <w:tcBorders>
              <w:top w:val="single" w:sz="6" w:space="0" w:color="000000"/>
              <w:left w:val="single" w:sz="6" w:space="0" w:color="000000"/>
              <w:bottom w:val="single" w:sz="6" w:space="0" w:color="000000"/>
              <w:right w:val="single" w:sz="6" w:space="0" w:color="000000"/>
            </w:tcBorders>
            <w:hideMark/>
          </w:tcPr>
          <w:p w14:paraId="314916D0" w14:textId="67424F77" w:rsidR="00D93616" w:rsidRPr="00D43281" w:rsidRDefault="00D21160"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Недостаточная или кратковременная история и неопределенная возможность повторного выхода на рынок.</w:t>
            </w:r>
          </w:p>
        </w:tc>
        <w:tc>
          <w:tcPr>
            <w:tcW w:w="1593" w:type="dxa"/>
            <w:tcBorders>
              <w:top w:val="single" w:sz="6" w:space="0" w:color="000000"/>
              <w:left w:val="single" w:sz="6" w:space="0" w:color="000000"/>
              <w:bottom w:val="single" w:sz="6" w:space="0" w:color="000000"/>
              <w:right w:val="single" w:sz="6" w:space="0" w:color="000000"/>
            </w:tcBorders>
            <w:hideMark/>
          </w:tcPr>
          <w:p w14:paraId="5BFD019A" w14:textId="35B28CB4" w:rsidR="00D93616" w:rsidRPr="00D43281" w:rsidRDefault="002054A3"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Отсутствие или неизвестная история и невозможность повторного выхода на рынок.</w:t>
            </w:r>
          </w:p>
        </w:tc>
      </w:tr>
      <w:tr w:rsidR="00D93616" w:rsidRPr="00D43281" w14:paraId="22C607B4" w14:textId="77777777" w:rsidTr="00D14969">
        <w:tc>
          <w:tcPr>
            <w:tcW w:w="2184" w:type="dxa"/>
            <w:tcBorders>
              <w:top w:val="single" w:sz="6" w:space="0" w:color="000000"/>
              <w:left w:val="single" w:sz="6" w:space="0" w:color="000000"/>
              <w:bottom w:val="single" w:sz="6" w:space="0" w:color="000000"/>
              <w:right w:val="single" w:sz="6" w:space="0" w:color="000000"/>
            </w:tcBorders>
            <w:hideMark/>
          </w:tcPr>
          <w:p w14:paraId="113E565F" w14:textId="76625E13" w:rsidR="00D93616" w:rsidRPr="00D43281" w:rsidRDefault="00BA7C47"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b/>
                <w:bCs/>
                <w:sz w:val="24"/>
                <w:szCs w:val="24"/>
                <w:lang w:val="ru-RU" w:eastAsia="ro-MD"/>
              </w:rPr>
              <w:t>Фактор: характеристики активов</w:t>
            </w:r>
          </w:p>
        </w:tc>
        <w:tc>
          <w:tcPr>
            <w:tcW w:w="2003" w:type="dxa"/>
            <w:tcBorders>
              <w:top w:val="single" w:sz="6" w:space="0" w:color="000000"/>
              <w:left w:val="single" w:sz="6" w:space="0" w:color="000000"/>
              <w:bottom w:val="single" w:sz="6" w:space="0" w:color="000000"/>
              <w:right w:val="single" w:sz="6" w:space="0" w:color="000000"/>
            </w:tcBorders>
            <w:hideMark/>
          </w:tcPr>
          <w:p w14:paraId="1F843FBF"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1974" w:type="dxa"/>
            <w:tcBorders>
              <w:top w:val="single" w:sz="6" w:space="0" w:color="000000"/>
              <w:left w:val="single" w:sz="6" w:space="0" w:color="000000"/>
              <w:bottom w:val="single" w:sz="6" w:space="0" w:color="000000"/>
              <w:right w:val="single" w:sz="6" w:space="0" w:color="000000"/>
            </w:tcBorders>
            <w:hideMark/>
          </w:tcPr>
          <w:p w14:paraId="2F8E55EF"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1584" w:type="dxa"/>
            <w:tcBorders>
              <w:top w:val="single" w:sz="6" w:space="0" w:color="000000"/>
              <w:left w:val="single" w:sz="6" w:space="0" w:color="000000"/>
              <w:bottom w:val="single" w:sz="6" w:space="0" w:color="000000"/>
              <w:right w:val="single" w:sz="6" w:space="0" w:color="000000"/>
            </w:tcBorders>
            <w:hideMark/>
          </w:tcPr>
          <w:p w14:paraId="0283799C"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1593" w:type="dxa"/>
            <w:tcBorders>
              <w:top w:val="single" w:sz="6" w:space="0" w:color="000000"/>
              <w:left w:val="single" w:sz="6" w:space="0" w:color="000000"/>
              <w:bottom w:val="single" w:sz="6" w:space="0" w:color="000000"/>
              <w:right w:val="single" w:sz="6" w:space="0" w:color="000000"/>
            </w:tcBorders>
            <w:hideMark/>
          </w:tcPr>
          <w:p w14:paraId="08DD099A"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r>
      <w:tr w:rsidR="00D93616" w:rsidRPr="00D43281" w14:paraId="63CD8BF7"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4682" w:type="pct"/>
              <w:tblLayout w:type="fixed"/>
              <w:tblCellMar>
                <w:left w:w="0" w:type="dxa"/>
                <w:right w:w="0" w:type="dxa"/>
              </w:tblCellMar>
              <w:tblLook w:val="04A0" w:firstRow="1" w:lastRow="0" w:firstColumn="1" w:lastColumn="0" w:noHBand="0" w:noVBand="1"/>
            </w:tblPr>
            <w:tblGrid>
              <w:gridCol w:w="20"/>
              <w:gridCol w:w="2011"/>
            </w:tblGrid>
            <w:tr w:rsidR="00D93616" w:rsidRPr="00D43281" w14:paraId="6BA4A81D" w14:textId="77777777" w:rsidTr="00D14969">
              <w:tc>
                <w:tcPr>
                  <w:tcW w:w="49" w:type="pct"/>
                  <w:hideMark/>
                </w:tcPr>
                <w:p w14:paraId="22225C0D" w14:textId="6EA53779"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p>
              </w:tc>
              <w:tc>
                <w:tcPr>
                  <w:tcW w:w="4951" w:type="pct"/>
                  <w:hideMark/>
                </w:tcPr>
                <w:p w14:paraId="1B3216E2" w14:textId="3A83D250" w:rsidR="00D93616" w:rsidRPr="00D43281" w:rsidRDefault="00412AAB" w:rsidP="00EC6123">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1.</w:t>
                  </w:r>
                  <w:r w:rsidR="00BA7C47" w:rsidRPr="00D43281">
                    <w:rPr>
                      <w:sz w:val="24"/>
                      <w:szCs w:val="24"/>
                      <w:lang w:val="ru-RU"/>
                    </w:rPr>
                    <w:t xml:space="preserve"> </w:t>
                  </w:r>
                  <w:proofErr w:type="spellStart"/>
                  <w:r w:rsidR="00BA7C47" w:rsidRPr="00D43281">
                    <w:rPr>
                      <w:rFonts w:ascii="Times New Roman" w:eastAsia="Times New Roman" w:hAnsi="Times New Roman" w:cs="Times New Roman"/>
                      <w:sz w:val="24"/>
                      <w:szCs w:val="24"/>
                      <w:lang w:val="ru-RU" w:eastAsia="ro-MD"/>
                    </w:rPr>
                    <w:t>Подфактор</w:t>
                  </w:r>
                  <w:proofErr w:type="spellEnd"/>
                  <w:r w:rsidR="00BA7C47" w:rsidRPr="00D43281">
                    <w:rPr>
                      <w:rFonts w:ascii="Times New Roman" w:eastAsia="Times New Roman" w:hAnsi="Times New Roman" w:cs="Times New Roman"/>
                      <w:sz w:val="24"/>
                      <w:szCs w:val="24"/>
                      <w:lang w:val="ru-RU" w:eastAsia="ro-MD"/>
                    </w:rPr>
                    <w:t xml:space="preserve">: конфигурация, масштаб, </w:t>
                  </w:r>
                  <w:r w:rsidR="00D14969" w:rsidRPr="00D43281">
                    <w:rPr>
                      <w:rFonts w:ascii="Times New Roman" w:eastAsia="Times New Roman" w:hAnsi="Times New Roman" w:cs="Times New Roman"/>
                      <w:sz w:val="24"/>
                      <w:szCs w:val="24"/>
                      <w:lang w:val="ru-RU" w:eastAsia="ro-MD"/>
                    </w:rPr>
                    <w:t>проектирование</w:t>
                  </w:r>
                  <w:r w:rsidR="00BA7C47" w:rsidRPr="00D43281">
                    <w:rPr>
                      <w:rFonts w:ascii="Times New Roman" w:eastAsia="Times New Roman" w:hAnsi="Times New Roman" w:cs="Times New Roman"/>
                      <w:sz w:val="24"/>
                      <w:szCs w:val="24"/>
                      <w:lang w:val="ru-RU" w:eastAsia="ro-MD"/>
                    </w:rPr>
                    <w:t xml:space="preserve"> и техническое обслуживание (например, возраст, размеры самолета) в сравнении с другими активами на том же рынке</w:t>
                  </w:r>
                </w:p>
              </w:tc>
            </w:tr>
          </w:tbl>
          <w:p w14:paraId="26D25816"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6E8A034E" w14:textId="52B37478" w:rsidR="00D93616" w:rsidRPr="00D43281" w:rsidRDefault="00D1496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Значительные преимущества с точки зрения проектирования и обслуживания. Стандартная комплектация обеспечивает объекту ликвидный рынок.</w:t>
            </w:r>
          </w:p>
        </w:tc>
        <w:tc>
          <w:tcPr>
            <w:tcW w:w="1974" w:type="dxa"/>
            <w:tcBorders>
              <w:top w:val="single" w:sz="6" w:space="0" w:color="000000"/>
              <w:left w:val="single" w:sz="6" w:space="0" w:color="000000"/>
              <w:bottom w:val="single" w:sz="6" w:space="0" w:color="000000"/>
              <w:right w:val="single" w:sz="6" w:space="0" w:color="000000"/>
            </w:tcBorders>
            <w:hideMark/>
          </w:tcPr>
          <w:p w14:paraId="3FADB3D5" w14:textId="73C56A1F" w:rsidR="00D93616" w:rsidRPr="00D43281" w:rsidRDefault="00D1496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Проектирование и обслуживание выше среднего уровня. Стандартная конфигурация, возможно, с некоторыми очень ограниченными исключениями, поэтому объект имеет ликвидный рынок.</w:t>
            </w:r>
          </w:p>
        </w:tc>
        <w:tc>
          <w:tcPr>
            <w:tcW w:w="1584" w:type="dxa"/>
            <w:tcBorders>
              <w:top w:val="single" w:sz="6" w:space="0" w:color="000000"/>
              <w:left w:val="single" w:sz="6" w:space="0" w:color="000000"/>
              <w:bottom w:val="single" w:sz="6" w:space="0" w:color="000000"/>
              <w:right w:val="single" w:sz="6" w:space="0" w:color="000000"/>
            </w:tcBorders>
            <w:hideMark/>
          </w:tcPr>
          <w:p w14:paraId="05D8CCD2" w14:textId="60F42DC6" w:rsidR="00D93616" w:rsidRPr="00D43281" w:rsidRDefault="002A3602"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Проектирование и обслуживание среднего уровня</w:t>
            </w:r>
            <w:r w:rsidR="00D93616" w:rsidRPr="00D43281">
              <w:rPr>
                <w:rFonts w:ascii="Times New Roman" w:eastAsia="Times New Roman" w:hAnsi="Times New Roman" w:cs="Times New Roman"/>
                <w:sz w:val="24"/>
                <w:szCs w:val="24"/>
                <w:lang w:val="ru-RU" w:eastAsia="ro-MD"/>
              </w:rPr>
              <w:t xml:space="preserve">. </w:t>
            </w:r>
            <w:r w:rsidRPr="00D43281">
              <w:rPr>
                <w:rFonts w:ascii="Times New Roman" w:eastAsia="Times New Roman" w:hAnsi="Times New Roman" w:cs="Times New Roman"/>
                <w:sz w:val="24"/>
                <w:szCs w:val="24"/>
                <w:lang w:val="ru-RU" w:eastAsia="ro-MD"/>
              </w:rPr>
              <w:t>Данная конфигурация несколько специфична, что может привести к сужению рынка сбыта этого товара</w:t>
            </w:r>
            <w:r w:rsidR="00D93616" w:rsidRPr="00D43281">
              <w:rPr>
                <w:rFonts w:ascii="Times New Roman" w:eastAsia="Times New Roman" w:hAnsi="Times New Roman" w:cs="Times New Roman"/>
                <w:sz w:val="24"/>
                <w:szCs w:val="24"/>
                <w:lang w:val="ru-RU" w:eastAsia="ro-MD"/>
              </w:rPr>
              <w:t>.</w:t>
            </w:r>
          </w:p>
        </w:tc>
        <w:tc>
          <w:tcPr>
            <w:tcW w:w="1593" w:type="dxa"/>
            <w:tcBorders>
              <w:top w:val="single" w:sz="6" w:space="0" w:color="000000"/>
              <w:left w:val="single" w:sz="6" w:space="0" w:color="000000"/>
              <w:bottom w:val="single" w:sz="6" w:space="0" w:color="000000"/>
              <w:right w:val="single" w:sz="6" w:space="0" w:color="000000"/>
            </w:tcBorders>
            <w:hideMark/>
          </w:tcPr>
          <w:p w14:paraId="693650FB" w14:textId="4D87772F" w:rsidR="00D93616" w:rsidRPr="00D43281" w:rsidRDefault="00AE301C"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Проектирование и техническое обслуживание ниже среднего уровня. Объект приближается к концу своего экономического срока службы. Конфигурация очень специфична; рынок сбыта данного товара очень узок.</w:t>
            </w:r>
          </w:p>
        </w:tc>
      </w:tr>
      <w:tr w:rsidR="00D93616" w:rsidRPr="00D43281" w14:paraId="181189FC"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20"/>
              <w:gridCol w:w="2149"/>
            </w:tblGrid>
            <w:tr w:rsidR="00D93616" w:rsidRPr="00D43281" w14:paraId="464C3C1A" w14:textId="77777777" w:rsidTr="00D14969">
              <w:tc>
                <w:tcPr>
                  <w:tcW w:w="6" w:type="dxa"/>
                  <w:hideMark/>
                </w:tcPr>
                <w:p w14:paraId="5F7F7A50" w14:textId="0C31AB0C" w:rsidR="00D93616" w:rsidRPr="00D43281" w:rsidRDefault="00D93616" w:rsidP="00EC6123">
                  <w:pPr>
                    <w:spacing w:before="120" w:after="0" w:line="240" w:lineRule="auto"/>
                    <w:rPr>
                      <w:rFonts w:ascii="Times New Roman" w:eastAsia="Times New Roman" w:hAnsi="Times New Roman" w:cs="Times New Roman"/>
                      <w:sz w:val="24"/>
                      <w:szCs w:val="24"/>
                      <w:lang w:val="ru-RU" w:eastAsia="ro-MD"/>
                    </w:rPr>
                  </w:pPr>
                </w:p>
              </w:tc>
              <w:tc>
                <w:tcPr>
                  <w:tcW w:w="2163" w:type="dxa"/>
                  <w:hideMark/>
                </w:tcPr>
                <w:p w14:paraId="38844B5F" w14:textId="4B27B3A5" w:rsidR="00D93616" w:rsidRPr="00D43281" w:rsidRDefault="00412AAB" w:rsidP="00EC6123">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2.</w:t>
                  </w:r>
                  <w:r w:rsidR="00F453BF" w:rsidRPr="00D43281">
                    <w:rPr>
                      <w:sz w:val="24"/>
                      <w:szCs w:val="24"/>
                      <w:lang w:val="ru-RU"/>
                    </w:rPr>
                    <w:t xml:space="preserve"> </w:t>
                  </w:r>
                  <w:proofErr w:type="spellStart"/>
                  <w:r w:rsidR="00F453BF" w:rsidRPr="00D43281">
                    <w:rPr>
                      <w:rFonts w:ascii="Times New Roman" w:eastAsia="Times New Roman" w:hAnsi="Times New Roman" w:cs="Times New Roman"/>
                      <w:sz w:val="24"/>
                      <w:szCs w:val="24"/>
                      <w:lang w:val="ru-RU" w:eastAsia="ro-MD"/>
                    </w:rPr>
                    <w:t>Подфактор</w:t>
                  </w:r>
                  <w:proofErr w:type="spellEnd"/>
                  <w:r w:rsidR="00F453BF" w:rsidRPr="00D43281">
                    <w:rPr>
                      <w:rFonts w:ascii="Times New Roman" w:eastAsia="Times New Roman" w:hAnsi="Times New Roman" w:cs="Times New Roman"/>
                      <w:sz w:val="24"/>
                      <w:szCs w:val="24"/>
                      <w:lang w:val="ru-RU" w:eastAsia="ro-MD"/>
                    </w:rPr>
                    <w:t>: стоимость при перепродаже</w:t>
                  </w:r>
                </w:p>
              </w:tc>
            </w:tr>
          </w:tbl>
          <w:p w14:paraId="75AA7AF2" w14:textId="77777777" w:rsidR="00D93616" w:rsidRPr="00D43281" w:rsidRDefault="00D93616" w:rsidP="00EC6123">
            <w:pPr>
              <w:spacing w:after="0" w:line="240" w:lineRule="auto"/>
              <w:rPr>
                <w:rFonts w:ascii="Times New Roman" w:eastAsia="Times New Roman" w:hAnsi="Times New Roman" w:cs="Times New Roman"/>
                <w:sz w:val="24"/>
                <w:szCs w:val="24"/>
                <w:lang w:val="ru-RU"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283B9D63" w14:textId="751F118A" w:rsidR="00D93616" w:rsidRPr="00D43281" w:rsidRDefault="00F03186"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Текущая стоимость перепродажи значительно превышает сумму долга.</w:t>
            </w:r>
          </w:p>
        </w:tc>
        <w:tc>
          <w:tcPr>
            <w:tcW w:w="1974" w:type="dxa"/>
            <w:tcBorders>
              <w:top w:val="single" w:sz="6" w:space="0" w:color="000000"/>
              <w:left w:val="single" w:sz="6" w:space="0" w:color="000000"/>
              <w:bottom w:val="single" w:sz="6" w:space="0" w:color="000000"/>
              <w:right w:val="single" w:sz="6" w:space="0" w:color="000000"/>
            </w:tcBorders>
            <w:hideMark/>
          </w:tcPr>
          <w:p w14:paraId="1211A207" w14:textId="4FC00D00" w:rsidR="00D93616" w:rsidRPr="00D43281" w:rsidRDefault="00F03186"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Стоимость при перепродаже несколько выше, чем стоимость задолженности.</w:t>
            </w:r>
          </w:p>
        </w:tc>
        <w:tc>
          <w:tcPr>
            <w:tcW w:w="1584" w:type="dxa"/>
            <w:tcBorders>
              <w:top w:val="single" w:sz="6" w:space="0" w:color="000000"/>
              <w:left w:val="single" w:sz="6" w:space="0" w:color="000000"/>
              <w:bottom w:val="single" w:sz="6" w:space="0" w:color="000000"/>
              <w:right w:val="single" w:sz="6" w:space="0" w:color="000000"/>
            </w:tcBorders>
            <w:hideMark/>
          </w:tcPr>
          <w:p w14:paraId="4981AFD3" w14:textId="6B49F303" w:rsidR="00D93616" w:rsidRPr="00D43281" w:rsidRDefault="0066387C"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Стоимость при перепродаже немного выше, чем стоимость задолженности.</w:t>
            </w:r>
          </w:p>
        </w:tc>
        <w:tc>
          <w:tcPr>
            <w:tcW w:w="1593" w:type="dxa"/>
            <w:tcBorders>
              <w:top w:val="single" w:sz="6" w:space="0" w:color="000000"/>
              <w:left w:val="single" w:sz="6" w:space="0" w:color="000000"/>
              <w:bottom w:val="single" w:sz="6" w:space="0" w:color="000000"/>
              <w:right w:val="single" w:sz="6" w:space="0" w:color="000000"/>
            </w:tcBorders>
            <w:hideMark/>
          </w:tcPr>
          <w:p w14:paraId="0F42FDDC" w14:textId="46143F2B" w:rsidR="00D93616" w:rsidRPr="00D43281" w:rsidRDefault="0066387C"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Стоимость при перепродаже ниже суммы долга.</w:t>
            </w:r>
          </w:p>
        </w:tc>
      </w:tr>
      <w:tr w:rsidR="00D93616" w:rsidRPr="00D43281" w14:paraId="3F83D4B5"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20"/>
              <w:gridCol w:w="2149"/>
            </w:tblGrid>
            <w:tr w:rsidR="00D93616" w:rsidRPr="00D43281" w14:paraId="5817458E" w14:textId="77777777" w:rsidTr="00D14969">
              <w:tc>
                <w:tcPr>
                  <w:tcW w:w="6" w:type="dxa"/>
                  <w:hideMark/>
                </w:tcPr>
                <w:p w14:paraId="73E750B3" w14:textId="5D67C532" w:rsidR="00D93616" w:rsidRPr="00D43281" w:rsidRDefault="00D93616" w:rsidP="00EC6123">
                  <w:pPr>
                    <w:spacing w:before="120" w:after="0" w:line="240" w:lineRule="auto"/>
                    <w:rPr>
                      <w:rFonts w:ascii="Times New Roman" w:eastAsia="Times New Roman" w:hAnsi="Times New Roman" w:cs="Times New Roman"/>
                      <w:sz w:val="24"/>
                      <w:szCs w:val="24"/>
                      <w:lang w:val="ru-MD" w:eastAsia="ro-MD"/>
                    </w:rPr>
                  </w:pPr>
                </w:p>
              </w:tc>
              <w:tc>
                <w:tcPr>
                  <w:tcW w:w="2163" w:type="dxa"/>
                  <w:hideMark/>
                </w:tcPr>
                <w:p w14:paraId="0C0FE029" w14:textId="7AB1920F" w:rsidR="00D93616" w:rsidRPr="00D43281" w:rsidRDefault="00412AAB" w:rsidP="00EC6123">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3.</w:t>
                  </w:r>
                  <w:r w:rsidR="00AD44A2" w:rsidRPr="00D43281">
                    <w:rPr>
                      <w:sz w:val="24"/>
                      <w:szCs w:val="24"/>
                      <w:lang w:val="ru-MD"/>
                    </w:rPr>
                    <w:t xml:space="preserve"> </w:t>
                  </w:r>
                  <w:proofErr w:type="spellStart"/>
                  <w:r w:rsidR="00AD44A2" w:rsidRPr="00D43281">
                    <w:rPr>
                      <w:rFonts w:ascii="Times New Roman" w:eastAsia="Times New Roman" w:hAnsi="Times New Roman" w:cs="Times New Roman"/>
                      <w:sz w:val="24"/>
                      <w:szCs w:val="24"/>
                      <w:lang w:val="ru-MD" w:eastAsia="ro-MD"/>
                    </w:rPr>
                    <w:t>Подфактор</w:t>
                  </w:r>
                  <w:proofErr w:type="spellEnd"/>
                  <w:r w:rsidR="00AD44A2" w:rsidRPr="00D43281">
                    <w:rPr>
                      <w:rFonts w:ascii="Times New Roman" w:eastAsia="Times New Roman" w:hAnsi="Times New Roman" w:cs="Times New Roman"/>
                      <w:sz w:val="24"/>
                      <w:szCs w:val="24"/>
                      <w:lang w:val="ru-MD" w:eastAsia="ro-MD"/>
                    </w:rPr>
                    <w:t>: чувствительность стоимости активов и ликвидности к экономическим циклам</w:t>
                  </w:r>
                </w:p>
              </w:tc>
            </w:tr>
          </w:tbl>
          <w:p w14:paraId="0FD44F6D" w14:textId="77777777" w:rsidR="00D93616" w:rsidRPr="00D43281" w:rsidRDefault="00D93616" w:rsidP="00EC6123">
            <w:pPr>
              <w:spacing w:after="0" w:line="240" w:lineRule="auto"/>
              <w:rPr>
                <w:rFonts w:ascii="Times New Roman" w:eastAsia="Times New Roman" w:hAnsi="Times New Roman" w:cs="Times New Roman"/>
                <w:sz w:val="24"/>
                <w:szCs w:val="24"/>
                <w:lang w:val="ru-MD"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5EF7BF38" w14:textId="0BFA66E0" w:rsidR="00D93616" w:rsidRPr="00D43281" w:rsidRDefault="00717994"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Стоимость и ликвидность актива относительно нечувствительны к экономическим циклам.</w:t>
            </w:r>
          </w:p>
        </w:tc>
        <w:tc>
          <w:tcPr>
            <w:tcW w:w="1974" w:type="dxa"/>
            <w:tcBorders>
              <w:top w:val="single" w:sz="6" w:space="0" w:color="000000"/>
              <w:left w:val="single" w:sz="6" w:space="0" w:color="000000"/>
              <w:bottom w:val="single" w:sz="6" w:space="0" w:color="000000"/>
              <w:right w:val="single" w:sz="6" w:space="0" w:color="000000"/>
            </w:tcBorders>
            <w:hideMark/>
          </w:tcPr>
          <w:p w14:paraId="616FB124" w14:textId="2EAF47E3" w:rsidR="00D93616" w:rsidRPr="00D43281" w:rsidRDefault="00717994"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Стоимость и ликвидность актива чувствительны к экономическим циклам</w:t>
            </w:r>
            <w:r w:rsidR="00D93616" w:rsidRPr="00D43281">
              <w:rPr>
                <w:rFonts w:ascii="Times New Roman" w:eastAsia="Times New Roman" w:hAnsi="Times New Roman" w:cs="Times New Roman"/>
                <w:sz w:val="24"/>
                <w:szCs w:val="24"/>
                <w:lang w:val="ru-MD" w:eastAsia="ro-MD"/>
              </w:rPr>
              <w:t>.</w:t>
            </w:r>
          </w:p>
        </w:tc>
        <w:tc>
          <w:tcPr>
            <w:tcW w:w="1584" w:type="dxa"/>
            <w:tcBorders>
              <w:top w:val="single" w:sz="6" w:space="0" w:color="000000"/>
              <w:left w:val="single" w:sz="6" w:space="0" w:color="000000"/>
              <w:bottom w:val="single" w:sz="6" w:space="0" w:color="000000"/>
              <w:right w:val="single" w:sz="6" w:space="0" w:color="000000"/>
            </w:tcBorders>
            <w:hideMark/>
          </w:tcPr>
          <w:p w14:paraId="14EB9E34" w14:textId="683993A1" w:rsidR="00D93616" w:rsidRPr="00D43281" w:rsidRDefault="00717994"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Стоимость и ликвидность актива довольно чувствительны к экономическим циклам.</w:t>
            </w:r>
          </w:p>
        </w:tc>
        <w:tc>
          <w:tcPr>
            <w:tcW w:w="1593" w:type="dxa"/>
            <w:tcBorders>
              <w:top w:val="single" w:sz="6" w:space="0" w:color="000000"/>
              <w:left w:val="single" w:sz="6" w:space="0" w:color="000000"/>
              <w:bottom w:val="single" w:sz="6" w:space="0" w:color="000000"/>
              <w:right w:val="single" w:sz="6" w:space="0" w:color="000000"/>
            </w:tcBorders>
            <w:hideMark/>
          </w:tcPr>
          <w:p w14:paraId="2E20E87D" w14:textId="66FE51B6" w:rsidR="00D93616" w:rsidRPr="00D43281" w:rsidRDefault="00717994"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Стоимость и ликвидность актива очень чувствительны к экономическим циклам.</w:t>
            </w:r>
          </w:p>
        </w:tc>
      </w:tr>
      <w:tr w:rsidR="00D93616" w:rsidRPr="00D43281" w14:paraId="267CF1C3" w14:textId="77777777" w:rsidTr="00D14969">
        <w:tc>
          <w:tcPr>
            <w:tcW w:w="2184" w:type="dxa"/>
            <w:tcBorders>
              <w:top w:val="single" w:sz="6" w:space="0" w:color="000000"/>
              <w:left w:val="single" w:sz="6" w:space="0" w:color="000000"/>
              <w:bottom w:val="single" w:sz="6" w:space="0" w:color="000000"/>
              <w:right w:val="single" w:sz="6" w:space="0" w:color="000000"/>
            </w:tcBorders>
            <w:hideMark/>
          </w:tcPr>
          <w:p w14:paraId="3F8400AA" w14:textId="723DAA67" w:rsidR="00D93616" w:rsidRPr="00D43281" w:rsidRDefault="006D0BF4"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b/>
                <w:bCs/>
                <w:sz w:val="24"/>
                <w:szCs w:val="24"/>
                <w:lang w:val="ru-RU" w:eastAsia="ro-MD"/>
              </w:rPr>
              <w:t>Фактор: надежность спонсора (включая государственно-частные партнерства)</w:t>
            </w:r>
          </w:p>
        </w:tc>
        <w:tc>
          <w:tcPr>
            <w:tcW w:w="2003" w:type="dxa"/>
            <w:tcBorders>
              <w:top w:val="single" w:sz="6" w:space="0" w:color="000000"/>
              <w:left w:val="single" w:sz="6" w:space="0" w:color="000000"/>
              <w:bottom w:val="single" w:sz="6" w:space="0" w:color="000000"/>
              <w:right w:val="single" w:sz="6" w:space="0" w:color="000000"/>
            </w:tcBorders>
            <w:hideMark/>
          </w:tcPr>
          <w:p w14:paraId="461A5C97"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1974" w:type="dxa"/>
            <w:tcBorders>
              <w:top w:val="single" w:sz="6" w:space="0" w:color="000000"/>
              <w:left w:val="single" w:sz="6" w:space="0" w:color="000000"/>
              <w:bottom w:val="single" w:sz="6" w:space="0" w:color="000000"/>
              <w:right w:val="single" w:sz="6" w:space="0" w:color="000000"/>
            </w:tcBorders>
            <w:hideMark/>
          </w:tcPr>
          <w:p w14:paraId="7C5ED6BB"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1584" w:type="dxa"/>
            <w:tcBorders>
              <w:top w:val="single" w:sz="6" w:space="0" w:color="000000"/>
              <w:left w:val="single" w:sz="6" w:space="0" w:color="000000"/>
              <w:bottom w:val="single" w:sz="6" w:space="0" w:color="000000"/>
              <w:right w:val="single" w:sz="6" w:space="0" w:color="000000"/>
            </w:tcBorders>
            <w:hideMark/>
          </w:tcPr>
          <w:p w14:paraId="5D60C7E1"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1593" w:type="dxa"/>
            <w:tcBorders>
              <w:top w:val="single" w:sz="6" w:space="0" w:color="000000"/>
              <w:left w:val="single" w:sz="6" w:space="0" w:color="000000"/>
              <w:bottom w:val="single" w:sz="6" w:space="0" w:color="000000"/>
              <w:right w:val="single" w:sz="6" w:space="0" w:color="000000"/>
            </w:tcBorders>
            <w:hideMark/>
          </w:tcPr>
          <w:p w14:paraId="64E0FDFE"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r>
      <w:tr w:rsidR="00D93616" w:rsidRPr="00D43281" w14:paraId="05F99330"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2268" w:type="dxa"/>
              <w:tblInd w:w="127" w:type="dxa"/>
              <w:tblLayout w:type="fixed"/>
              <w:tblCellMar>
                <w:left w:w="0" w:type="dxa"/>
                <w:right w:w="0" w:type="dxa"/>
              </w:tblCellMar>
              <w:tblLook w:val="04A0" w:firstRow="1" w:lastRow="0" w:firstColumn="1" w:lastColumn="0" w:noHBand="0" w:noVBand="1"/>
            </w:tblPr>
            <w:tblGrid>
              <w:gridCol w:w="20"/>
              <w:gridCol w:w="2248"/>
            </w:tblGrid>
            <w:tr w:rsidR="00D93616" w:rsidRPr="00D43281" w14:paraId="3D5F2619" w14:textId="77777777" w:rsidTr="00D14969">
              <w:trPr>
                <w:trHeight w:val="816"/>
              </w:trPr>
              <w:tc>
                <w:tcPr>
                  <w:tcW w:w="6" w:type="dxa"/>
                  <w:hideMark/>
                </w:tcPr>
                <w:p w14:paraId="22537C51" w14:textId="714B8491" w:rsidR="00D93616" w:rsidRPr="00D43281" w:rsidRDefault="00D93616" w:rsidP="00EC6123">
                  <w:pPr>
                    <w:spacing w:before="120" w:after="0" w:line="240" w:lineRule="auto"/>
                    <w:rPr>
                      <w:rFonts w:ascii="Times New Roman" w:eastAsia="Times New Roman" w:hAnsi="Times New Roman" w:cs="Times New Roman"/>
                      <w:sz w:val="24"/>
                      <w:szCs w:val="24"/>
                      <w:lang w:val="ru-RU" w:eastAsia="ro-MD"/>
                    </w:rPr>
                  </w:pPr>
                </w:p>
              </w:tc>
              <w:tc>
                <w:tcPr>
                  <w:tcW w:w="2262" w:type="dxa"/>
                  <w:hideMark/>
                </w:tcPr>
                <w:p w14:paraId="77D4E4EC" w14:textId="60A6FD70" w:rsidR="00D93616" w:rsidRPr="00D43281" w:rsidRDefault="006D0BF4" w:rsidP="00EC6123">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история и финансовая устойчивость спонсоров</w:t>
                  </w:r>
                </w:p>
              </w:tc>
            </w:tr>
          </w:tbl>
          <w:p w14:paraId="06456A5F" w14:textId="77777777" w:rsidR="00D93616" w:rsidRPr="00D43281" w:rsidRDefault="00D93616" w:rsidP="00EC6123">
            <w:pPr>
              <w:spacing w:after="0" w:line="240" w:lineRule="auto"/>
              <w:rPr>
                <w:rFonts w:ascii="Times New Roman" w:eastAsia="Times New Roman" w:hAnsi="Times New Roman" w:cs="Times New Roman"/>
                <w:sz w:val="24"/>
                <w:szCs w:val="24"/>
                <w:lang w:val="ru-RU"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300E7775" w14:textId="0339DF68" w:rsidR="00D93616" w:rsidRPr="00D43281" w:rsidRDefault="00B3680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Спонсоры имеют отличную репутацию и высокую финансовую состоятельность</w:t>
            </w:r>
          </w:p>
        </w:tc>
        <w:tc>
          <w:tcPr>
            <w:tcW w:w="1974" w:type="dxa"/>
            <w:tcBorders>
              <w:top w:val="single" w:sz="6" w:space="0" w:color="000000"/>
              <w:left w:val="single" w:sz="6" w:space="0" w:color="000000"/>
              <w:bottom w:val="single" w:sz="6" w:space="0" w:color="000000"/>
              <w:right w:val="single" w:sz="6" w:space="0" w:color="000000"/>
            </w:tcBorders>
            <w:hideMark/>
          </w:tcPr>
          <w:p w14:paraId="36099F24" w14:textId="1692C6D9" w:rsidR="00D93616" w:rsidRPr="00D43281" w:rsidRDefault="00B3680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Спонсоры имеют отличную репутацию и высокую финансовую состоятельность</w:t>
            </w:r>
          </w:p>
        </w:tc>
        <w:tc>
          <w:tcPr>
            <w:tcW w:w="1584" w:type="dxa"/>
            <w:tcBorders>
              <w:top w:val="single" w:sz="6" w:space="0" w:color="000000"/>
              <w:left w:val="single" w:sz="6" w:space="0" w:color="000000"/>
              <w:bottom w:val="single" w:sz="6" w:space="0" w:color="000000"/>
              <w:right w:val="single" w:sz="6" w:space="0" w:color="000000"/>
            </w:tcBorders>
            <w:hideMark/>
          </w:tcPr>
          <w:p w14:paraId="2A2B078A" w14:textId="41ED9605" w:rsidR="00D93616" w:rsidRPr="00D43281" w:rsidRDefault="00B3680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Спонсоры имеют достаточную репутацию и достаточную финансовую состоятельность</w:t>
            </w:r>
          </w:p>
        </w:tc>
        <w:tc>
          <w:tcPr>
            <w:tcW w:w="1593" w:type="dxa"/>
            <w:tcBorders>
              <w:top w:val="single" w:sz="6" w:space="0" w:color="000000"/>
              <w:left w:val="single" w:sz="6" w:space="0" w:color="000000"/>
              <w:bottom w:val="single" w:sz="6" w:space="0" w:color="000000"/>
              <w:right w:val="single" w:sz="6" w:space="0" w:color="000000"/>
            </w:tcBorders>
            <w:hideMark/>
          </w:tcPr>
          <w:p w14:paraId="4FCCFC58" w14:textId="1D0F170B" w:rsidR="00D93616" w:rsidRPr="00D43281" w:rsidRDefault="00B36803"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Спонсоры не имеют репутации или имеют сомнительную репутацию и/или финансовые недостатки</w:t>
            </w:r>
          </w:p>
        </w:tc>
      </w:tr>
      <w:tr w:rsidR="00D93616" w:rsidRPr="00D43281" w14:paraId="7F9F940D" w14:textId="77777777" w:rsidTr="00D14969">
        <w:tc>
          <w:tcPr>
            <w:tcW w:w="2184" w:type="dxa"/>
            <w:tcBorders>
              <w:top w:val="single" w:sz="6" w:space="0" w:color="000000"/>
              <w:left w:val="single" w:sz="6" w:space="0" w:color="000000"/>
              <w:bottom w:val="single" w:sz="6" w:space="0" w:color="000000"/>
              <w:right w:val="single" w:sz="6" w:space="0" w:color="000000"/>
            </w:tcBorders>
            <w:hideMark/>
          </w:tcPr>
          <w:p w14:paraId="52905C66" w14:textId="39693659" w:rsidR="00D93616" w:rsidRPr="00D43281" w:rsidRDefault="0094757E" w:rsidP="00EC6123">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b/>
                <w:bCs/>
                <w:sz w:val="24"/>
                <w:szCs w:val="24"/>
                <w:lang w:val="ru-MD" w:eastAsia="ro-MD"/>
              </w:rPr>
              <w:t>Фактор: гарантийные механизмы</w:t>
            </w:r>
          </w:p>
        </w:tc>
        <w:tc>
          <w:tcPr>
            <w:tcW w:w="2003" w:type="dxa"/>
            <w:tcBorders>
              <w:top w:val="single" w:sz="6" w:space="0" w:color="000000"/>
              <w:left w:val="single" w:sz="6" w:space="0" w:color="000000"/>
              <w:bottom w:val="single" w:sz="6" w:space="0" w:color="000000"/>
              <w:right w:val="single" w:sz="6" w:space="0" w:color="000000"/>
            </w:tcBorders>
            <w:hideMark/>
          </w:tcPr>
          <w:p w14:paraId="0735853B"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1974" w:type="dxa"/>
            <w:tcBorders>
              <w:top w:val="single" w:sz="6" w:space="0" w:color="000000"/>
              <w:left w:val="single" w:sz="6" w:space="0" w:color="000000"/>
              <w:bottom w:val="single" w:sz="6" w:space="0" w:color="000000"/>
              <w:right w:val="single" w:sz="6" w:space="0" w:color="000000"/>
            </w:tcBorders>
            <w:hideMark/>
          </w:tcPr>
          <w:p w14:paraId="2B44E98C"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1584" w:type="dxa"/>
            <w:tcBorders>
              <w:top w:val="single" w:sz="6" w:space="0" w:color="000000"/>
              <w:left w:val="single" w:sz="6" w:space="0" w:color="000000"/>
              <w:bottom w:val="single" w:sz="6" w:space="0" w:color="000000"/>
              <w:right w:val="single" w:sz="6" w:space="0" w:color="000000"/>
            </w:tcBorders>
            <w:hideMark/>
          </w:tcPr>
          <w:p w14:paraId="0DC073C8"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1593" w:type="dxa"/>
            <w:tcBorders>
              <w:top w:val="single" w:sz="6" w:space="0" w:color="000000"/>
              <w:left w:val="single" w:sz="6" w:space="0" w:color="000000"/>
              <w:bottom w:val="single" w:sz="6" w:space="0" w:color="000000"/>
              <w:right w:val="single" w:sz="6" w:space="0" w:color="000000"/>
            </w:tcBorders>
            <w:hideMark/>
          </w:tcPr>
          <w:p w14:paraId="2B2683EB"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r>
      <w:tr w:rsidR="00D93616" w:rsidRPr="00D43281" w14:paraId="50DF5814"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165"/>
              <w:gridCol w:w="2004"/>
            </w:tblGrid>
            <w:tr w:rsidR="00D93616" w:rsidRPr="00D43281" w14:paraId="450A4DFB" w14:textId="77777777" w:rsidTr="00D14969">
              <w:tc>
                <w:tcPr>
                  <w:tcW w:w="165" w:type="dxa"/>
                  <w:hideMark/>
                </w:tcPr>
                <w:p w14:paraId="27FFB414" w14:textId="018E1AB8" w:rsidR="00D93616" w:rsidRPr="00D43281" w:rsidRDefault="00412AAB" w:rsidP="00EC6123">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1.</w:t>
                  </w:r>
                </w:p>
              </w:tc>
              <w:tc>
                <w:tcPr>
                  <w:tcW w:w="2004" w:type="dxa"/>
                  <w:hideMark/>
                </w:tcPr>
                <w:p w14:paraId="17AC38C3" w14:textId="69A7B001" w:rsidR="00D93616" w:rsidRPr="00D43281" w:rsidRDefault="0094757E" w:rsidP="00EC6123">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контроль активов</w:t>
                  </w:r>
                </w:p>
              </w:tc>
            </w:tr>
          </w:tbl>
          <w:p w14:paraId="375E786A" w14:textId="77777777" w:rsidR="00D93616" w:rsidRPr="00D43281" w:rsidRDefault="00D93616" w:rsidP="00EC6123">
            <w:pPr>
              <w:spacing w:after="0" w:line="240" w:lineRule="auto"/>
              <w:rPr>
                <w:rFonts w:ascii="Times New Roman" w:eastAsia="Times New Roman" w:hAnsi="Times New Roman" w:cs="Times New Roman"/>
                <w:sz w:val="24"/>
                <w:szCs w:val="24"/>
                <w:lang w:val="ru-MD"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3E3E595E" w14:textId="669D5E7E" w:rsidR="00D93616" w:rsidRPr="00D43281" w:rsidRDefault="0094757E"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Юридическая документация предоставляет кредитору фактический контроль (например, первоочередное залоговое право или лизинговую структуру, включающую такое залоговое право) над активом или </w:t>
            </w:r>
            <w:r w:rsidR="00175E4F" w:rsidRPr="00D43281">
              <w:rPr>
                <w:rFonts w:ascii="Times New Roman" w:eastAsia="Times New Roman" w:hAnsi="Times New Roman" w:cs="Times New Roman"/>
                <w:sz w:val="24"/>
                <w:szCs w:val="24"/>
                <w:lang w:val="ru-MD" w:eastAsia="ro-MD"/>
              </w:rPr>
              <w:t>предприятием</w:t>
            </w:r>
            <w:r w:rsidRPr="00D43281">
              <w:rPr>
                <w:rFonts w:ascii="Times New Roman" w:eastAsia="Times New Roman" w:hAnsi="Times New Roman" w:cs="Times New Roman"/>
                <w:sz w:val="24"/>
                <w:szCs w:val="24"/>
                <w:lang w:val="ru-MD" w:eastAsia="ro-MD"/>
              </w:rPr>
              <w:t>, которому он принадлежит.</w:t>
            </w:r>
          </w:p>
        </w:tc>
        <w:tc>
          <w:tcPr>
            <w:tcW w:w="1974" w:type="dxa"/>
            <w:tcBorders>
              <w:top w:val="single" w:sz="6" w:space="0" w:color="000000"/>
              <w:left w:val="single" w:sz="6" w:space="0" w:color="000000"/>
              <w:bottom w:val="single" w:sz="6" w:space="0" w:color="000000"/>
              <w:right w:val="single" w:sz="6" w:space="0" w:color="000000"/>
            </w:tcBorders>
            <w:hideMark/>
          </w:tcPr>
          <w:p w14:paraId="78F74356" w14:textId="0AA576EF" w:rsidR="00D93616" w:rsidRPr="00D43281" w:rsidRDefault="00175E4F"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Юридически оформленные документы предоставляют кредитору фактический контроль (например, залоговое обеспечение, имеющее юридическую силу, или лизинговую структуру, включающую такое залоговое обеспечение) над активом или предприятием, которому он принадлежит.</w:t>
            </w:r>
          </w:p>
        </w:tc>
        <w:tc>
          <w:tcPr>
            <w:tcW w:w="1584" w:type="dxa"/>
            <w:tcBorders>
              <w:top w:val="single" w:sz="6" w:space="0" w:color="000000"/>
              <w:left w:val="single" w:sz="6" w:space="0" w:color="000000"/>
              <w:bottom w:val="single" w:sz="6" w:space="0" w:color="000000"/>
              <w:right w:val="single" w:sz="6" w:space="0" w:color="000000"/>
            </w:tcBorders>
            <w:hideMark/>
          </w:tcPr>
          <w:p w14:paraId="40DF326D" w14:textId="7C184503" w:rsidR="00D93616" w:rsidRPr="00D43281" w:rsidRDefault="00175E4F"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Юридически оформленные документы предоставляют кредитору фактический контроль (например, залоговое обеспечение, имеющее юридическую силу, или лизинговую структуру, включающую такое залоговое обеспечение) над активом или </w:t>
            </w:r>
            <w:r w:rsidR="00D619D4" w:rsidRPr="00D43281">
              <w:rPr>
                <w:rFonts w:ascii="Times New Roman" w:eastAsia="Times New Roman" w:hAnsi="Times New Roman" w:cs="Times New Roman"/>
                <w:sz w:val="24"/>
                <w:szCs w:val="24"/>
                <w:lang w:val="ru-MD" w:eastAsia="ro-MD"/>
              </w:rPr>
              <w:t>предприятием</w:t>
            </w:r>
            <w:r w:rsidRPr="00D43281">
              <w:rPr>
                <w:rFonts w:ascii="Times New Roman" w:eastAsia="Times New Roman" w:hAnsi="Times New Roman" w:cs="Times New Roman"/>
                <w:sz w:val="24"/>
                <w:szCs w:val="24"/>
                <w:lang w:val="ru-MD" w:eastAsia="ro-MD"/>
              </w:rPr>
              <w:t xml:space="preserve">, </w:t>
            </w:r>
            <w:r w:rsidRPr="00D43281">
              <w:rPr>
                <w:rFonts w:ascii="Times New Roman" w:eastAsia="Times New Roman" w:hAnsi="Times New Roman" w:cs="Times New Roman"/>
                <w:sz w:val="24"/>
                <w:szCs w:val="24"/>
                <w:lang w:val="ru-MD" w:eastAsia="ro-MD"/>
              </w:rPr>
              <w:lastRenderedPageBreak/>
              <w:t>которому он принадлежит.</w:t>
            </w:r>
          </w:p>
        </w:tc>
        <w:tc>
          <w:tcPr>
            <w:tcW w:w="1593" w:type="dxa"/>
            <w:tcBorders>
              <w:top w:val="single" w:sz="6" w:space="0" w:color="000000"/>
              <w:left w:val="single" w:sz="6" w:space="0" w:color="000000"/>
              <w:bottom w:val="single" w:sz="6" w:space="0" w:color="000000"/>
              <w:right w:val="single" w:sz="6" w:space="0" w:color="000000"/>
            </w:tcBorders>
            <w:hideMark/>
          </w:tcPr>
          <w:p w14:paraId="4D9E66EC" w14:textId="173A874F" w:rsidR="00D93616" w:rsidRPr="00D43281" w:rsidRDefault="00D619D4"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Договор предоставляет кредитору мало гарантий и допускает определенный риск потери контроля над активом.</w:t>
            </w:r>
          </w:p>
        </w:tc>
      </w:tr>
      <w:tr w:rsidR="00D93616" w:rsidRPr="00D43281" w14:paraId="3C15DEE1"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20"/>
              <w:gridCol w:w="2149"/>
            </w:tblGrid>
            <w:tr w:rsidR="00D93616" w:rsidRPr="00D43281" w14:paraId="43AED18E" w14:textId="77777777" w:rsidTr="00D14969">
              <w:tc>
                <w:tcPr>
                  <w:tcW w:w="6" w:type="dxa"/>
                  <w:hideMark/>
                </w:tcPr>
                <w:p w14:paraId="2342EA22" w14:textId="103AA1EA" w:rsidR="00D93616" w:rsidRPr="00D43281" w:rsidRDefault="00D93616" w:rsidP="00EC6123">
                  <w:pPr>
                    <w:spacing w:before="120" w:after="0" w:line="240" w:lineRule="auto"/>
                    <w:rPr>
                      <w:rFonts w:ascii="Times New Roman" w:eastAsia="Times New Roman" w:hAnsi="Times New Roman" w:cs="Times New Roman"/>
                      <w:sz w:val="24"/>
                      <w:szCs w:val="24"/>
                      <w:lang w:val="ru-MD" w:eastAsia="ro-MD"/>
                    </w:rPr>
                  </w:pPr>
                </w:p>
              </w:tc>
              <w:tc>
                <w:tcPr>
                  <w:tcW w:w="2163" w:type="dxa"/>
                  <w:hideMark/>
                </w:tcPr>
                <w:p w14:paraId="591CDF49" w14:textId="5BBD4292" w:rsidR="00D93616" w:rsidRPr="00D43281" w:rsidRDefault="00412AAB" w:rsidP="00EC6123">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2.</w:t>
                  </w:r>
                  <w:r w:rsidR="00BB06E9" w:rsidRPr="00D43281">
                    <w:rPr>
                      <w:sz w:val="24"/>
                      <w:szCs w:val="24"/>
                      <w:lang w:val="ru-MD"/>
                    </w:rPr>
                    <w:t xml:space="preserve"> </w:t>
                  </w:r>
                  <w:proofErr w:type="spellStart"/>
                  <w:r w:rsidR="00BB06E9" w:rsidRPr="00D43281">
                    <w:rPr>
                      <w:rFonts w:ascii="Times New Roman" w:eastAsia="Times New Roman" w:hAnsi="Times New Roman" w:cs="Times New Roman"/>
                      <w:sz w:val="24"/>
                      <w:szCs w:val="24"/>
                      <w:lang w:val="ru-MD" w:eastAsia="ro-MD"/>
                    </w:rPr>
                    <w:t>Подфактор</w:t>
                  </w:r>
                  <w:proofErr w:type="spellEnd"/>
                  <w:r w:rsidR="00BB06E9" w:rsidRPr="00D43281">
                    <w:rPr>
                      <w:rFonts w:ascii="Times New Roman" w:eastAsia="Times New Roman" w:hAnsi="Times New Roman" w:cs="Times New Roman"/>
                      <w:sz w:val="24"/>
                      <w:szCs w:val="24"/>
                      <w:lang w:val="ru-MD" w:eastAsia="ro-MD"/>
                    </w:rPr>
                    <w:t>: права и средства, доступные кредитору для контроля местонахождения и состояния актива</w:t>
                  </w:r>
                </w:p>
              </w:tc>
            </w:tr>
          </w:tbl>
          <w:p w14:paraId="24AA0CDA" w14:textId="77777777" w:rsidR="00D93616" w:rsidRPr="00D43281" w:rsidRDefault="00D93616" w:rsidP="00EC6123">
            <w:pPr>
              <w:spacing w:after="0" w:line="240" w:lineRule="auto"/>
              <w:rPr>
                <w:rFonts w:ascii="Times New Roman" w:eastAsia="Times New Roman" w:hAnsi="Times New Roman" w:cs="Times New Roman"/>
                <w:sz w:val="24"/>
                <w:szCs w:val="24"/>
                <w:lang w:val="ru-MD"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2ABBDFFD" w14:textId="5B2A0E44" w:rsidR="00D93616" w:rsidRPr="00D43281" w:rsidRDefault="00BB06E9"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Кредитор может в любое время и в любом месте отслеживать местонахождение и состояние актива (посредством периодических отчетов, возможности проведения инспекций).</w:t>
            </w:r>
          </w:p>
        </w:tc>
        <w:tc>
          <w:tcPr>
            <w:tcW w:w="1974" w:type="dxa"/>
            <w:tcBorders>
              <w:top w:val="single" w:sz="6" w:space="0" w:color="000000"/>
              <w:left w:val="single" w:sz="6" w:space="0" w:color="000000"/>
              <w:bottom w:val="single" w:sz="6" w:space="0" w:color="000000"/>
              <w:right w:val="single" w:sz="6" w:space="0" w:color="000000"/>
            </w:tcBorders>
            <w:hideMark/>
          </w:tcPr>
          <w:p w14:paraId="048CA9C2" w14:textId="2E10922E" w:rsidR="00D93616" w:rsidRPr="00D43281" w:rsidRDefault="00BB06E9"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Кредитор может отслеживать местонахождение и состояние актива практически в любое время и в любом месте.</w:t>
            </w:r>
          </w:p>
        </w:tc>
        <w:tc>
          <w:tcPr>
            <w:tcW w:w="1584" w:type="dxa"/>
            <w:tcBorders>
              <w:top w:val="single" w:sz="6" w:space="0" w:color="000000"/>
              <w:left w:val="single" w:sz="6" w:space="0" w:color="000000"/>
              <w:bottom w:val="single" w:sz="6" w:space="0" w:color="000000"/>
              <w:right w:val="single" w:sz="6" w:space="0" w:color="000000"/>
            </w:tcBorders>
            <w:hideMark/>
          </w:tcPr>
          <w:p w14:paraId="23591779" w14:textId="1167B9D4" w:rsidR="00D93616" w:rsidRPr="00D43281" w:rsidRDefault="00BB06E9"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Кредитор может отслеживать местонахождение и состояние актива практически в любое время и в любом месте.</w:t>
            </w:r>
          </w:p>
        </w:tc>
        <w:tc>
          <w:tcPr>
            <w:tcW w:w="1593" w:type="dxa"/>
            <w:tcBorders>
              <w:top w:val="single" w:sz="6" w:space="0" w:color="000000"/>
              <w:left w:val="single" w:sz="6" w:space="0" w:color="000000"/>
              <w:bottom w:val="single" w:sz="6" w:space="0" w:color="000000"/>
              <w:right w:val="single" w:sz="6" w:space="0" w:color="000000"/>
            </w:tcBorders>
            <w:hideMark/>
          </w:tcPr>
          <w:p w14:paraId="2BE645F0" w14:textId="64B628D7" w:rsidR="00D93616" w:rsidRPr="00D43281" w:rsidRDefault="00BB06E9"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Возможности кредитора по отслеживанию местонахождения и состояния актива ограничены.</w:t>
            </w:r>
          </w:p>
        </w:tc>
      </w:tr>
      <w:tr w:rsidR="00D93616" w:rsidRPr="00D43281" w14:paraId="6B7F4E20" w14:textId="77777777" w:rsidTr="00D14969">
        <w:tc>
          <w:tcPr>
            <w:tcW w:w="2184" w:type="dxa"/>
            <w:tcBorders>
              <w:top w:val="single" w:sz="6" w:space="0" w:color="000000"/>
              <w:left w:val="single" w:sz="6" w:space="0" w:color="000000"/>
              <w:bottom w:val="single" w:sz="6" w:space="0" w:color="000000"/>
              <w:right w:val="single" w:sz="6" w:space="0" w:color="000000"/>
            </w:tcBorders>
            <w:hideMark/>
          </w:tcPr>
          <w:tbl>
            <w:tblPr>
              <w:tblW w:w="5000" w:type="pct"/>
              <w:tblLayout w:type="fixed"/>
              <w:tblCellMar>
                <w:left w:w="0" w:type="dxa"/>
                <w:right w:w="0" w:type="dxa"/>
              </w:tblCellMar>
              <w:tblLook w:val="04A0" w:firstRow="1" w:lastRow="0" w:firstColumn="1" w:lastColumn="0" w:noHBand="0" w:noVBand="1"/>
            </w:tblPr>
            <w:tblGrid>
              <w:gridCol w:w="20"/>
              <w:gridCol w:w="2149"/>
            </w:tblGrid>
            <w:tr w:rsidR="00D93616" w:rsidRPr="00D43281" w14:paraId="306FF539" w14:textId="77777777" w:rsidTr="00D14969">
              <w:tc>
                <w:tcPr>
                  <w:tcW w:w="6" w:type="dxa"/>
                  <w:hideMark/>
                </w:tcPr>
                <w:p w14:paraId="2E143DA6" w14:textId="229296DC" w:rsidR="00D93616" w:rsidRPr="00D43281" w:rsidRDefault="00D93616" w:rsidP="00EC6123">
                  <w:pPr>
                    <w:spacing w:before="120" w:after="0" w:line="240" w:lineRule="auto"/>
                    <w:rPr>
                      <w:rFonts w:ascii="Times New Roman" w:eastAsia="Times New Roman" w:hAnsi="Times New Roman" w:cs="Times New Roman"/>
                      <w:sz w:val="24"/>
                      <w:szCs w:val="24"/>
                      <w:lang w:val="ru-RU" w:eastAsia="ro-MD"/>
                    </w:rPr>
                  </w:pPr>
                </w:p>
              </w:tc>
              <w:tc>
                <w:tcPr>
                  <w:tcW w:w="2163" w:type="dxa"/>
                  <w:hideMark/>
                </w:tcPr>
                <w:p w14:paraId="598DCFF6" w14:textId="6FFD9943" w:rsidR="00D93616" w:rsidRPr="00D43281" w:rsidRDefault="00412AAB" w:rsidP="00EC6123">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3.</w:t>
                  </w:r>
                  <w:r w:rsidR="00132DCD" w:rsidRPr="00D43281">
                    <w:rPr>
                      <w:sz w:val="24"/>
                      <w:szCs w:val="24"/>
                      <w:lang w:val="ru-RU"/>
                    </w:rPr>
                    <w:t xml:space="preserve"> </w:t>
                  </w:r>
                  <w:proofErr w:type="spellStart"/>
                  <w:r w:rsidR="00132DCD" w:rsidRPr="00D43281">
                    <w:rPr>
                      <w:rFonts w:ascii="Times New Roman" w:eastAsia="Times New Roman" w:hAnsi="Times New Roman" w:cs="Times New Roman"/>
                      <w:sz w:val="24"/>
                      <w:szCs w:val="24"/>
                      <w:lang w:val="ru-RU" w:eastAsia="ro-MD"/>
                    </w:rPr>
                    <w:t>Подфактор</w:t>
                  </w:r>
                  <w:proofErr w:type="spellEnd"/>
                  <w:r w:rsidR="00132DCD" w:rsidRPr="00D43281">
                    <w:rPr>
                      <w:rFonts w:ascii="Times New Roman" w:eastAsia="Times New Roman" w:hAnsi="Times New Roman" w:cs="Times New Roman"/>
                      <w:sz w:val="24"/>
                      <w:szCs w:val="24"/>
                      <w:lang w:val="ru-RU" w:eastAsia="ro-MD"/>
                    </w:rPr>
                    <w:t>: страхование от повреждений</w:t>
                  </w:r>
                </w:p>
              </w:tc>
            </w:tr>
          </w:tbl>
          <w:p w14:paraId="521F51EA" w14:textId="77777777" w:rsidR="00D93616" w:rsidRPr="00D43281" w:rsidRDefault="00D93616" w:rsidP="00EC6123">
            <w:pPr>
              <w:spacing w:after="0" w:line="240" w:lineRule="auto"/>
              <w:rPr>
                <w:rFonts w:ascii="Times New Roman" w:eastAsia="Times New Roman" w:hAnsi="Times New Roman" w:cs="Times New Roman"/>
                <w:sz w:val="24"/>
                <w:szCs w:val="24"/>
                <w:lang w:val="ru-RU" w:eastAsia="ro-MD"/>
              </w:rPr>
            </w:pPr>
          </w:p>
        </w:tc>
        <w:tc>
          <w:tcPr>
            <w:tcW w:w="2003" w:type="dxa"/>
            <w:tcBorders>
              <w:top w:val="single" w:sz="6" w:space="0" w:color="000000"/>
              <w:left w:val="single" w:sz="6" w:space="0" w:color="000000"/>
              <w:bottom w:val="single" w:sz="6" w:space="0" w:color="000000"/>
              <w:right w:val="single" w:sz="6" w:space="0" w:color="000000"/>
            </w:tcBorders>
            <w:hideMark/>
          </w:tcPr>
          <w:p w14:paraId="16965F6B" w14:textId="08CB2315" w:rsidR="00D93616" w:rsidRPr="00D43281" w:rsidRDefault="00132DCD"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Расширенное страховое покрытие, включая возмещение сопутствующего ущерба, в рамках договоров страхования, заключенных с лучшими страховыми компаниями</w:t>
            </w:r>
          </w:p>
        </w:tc>
        <w:tc>
          <w:tcPr>
            <w:tcW w:w="1974" w:type="dxa"/>
            <w:tcBorders>
              <w:top w:val="single" w:sz="6" w:space="0" w:color="000000"/>
              <w:left w:val="single" w:sz="6" w:space="0" w:color="000000"/>
              <w:bottom w:val="single" w:sz="6" w:space="0" w:color="000000"/>
              <w:right w:val="single" w:sz="6" w:space="0" w:color="000000"/>
            </w:tcBorders>
            <w:hideMark/>
          </w:tcPr>
          <w:p w14:paraId="21D74472" w14:textId="784B4542" w:rsidR="00D93616" w:rsidRPr="00D43281" w:rsidRDefault="005E64B5"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Удовлетворительное страховое покрытие (за исключением сопутствующего ущерба) по договорам страхования, заключенным с надежными страховыми компаниями.</w:t>
            </w:r>
          </w:p>
        </w:tc>
        <w:tc>
          <w:tcPr>
            <w:tcW w:w="1584" w:type="dxa"/>
            <w:tcBorders>
              <w:top w:val="single" w:sz="6" w:space="0" w:color="000000"/>
              <w:left w:val="single" w:sz="6" w:space="0" w:color="000000"/>
              <w:bottom w:val="single" w:sz="6" w:space="0" w:color="000000"/>
              <w:right w:val="single" w:sz="6" w:space="0" w:color="000000"/>
            </w:tcBorders>
            <w:hideMark/>
          </w:tcPr>
          <w:p w14:paraId="5A698235" w14:textId="122AC7DD" w:rsidR="00D93616" w:rsidRPr="00D43281" w:rsidRDefault="005E64B5"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Допустимое страховое покрытие (за исключением сопутствующего ущерба) по договорам страхования, заключенным со страховыми компаниями приемлемого качества.</w:t>
            </w:r>
          </w:p>
        </w:tc>
        <w:tc>
          <w:tcPr>
            <w:tcW w:w="1593" w:type="dxa"/>
            <w:tcBorders>
              <w:top w:val="single" w:sz="6" w:space="0" w:color="000000"/>
              <w:left w:val="single" w:sz="6" w:space="0" w:color="000000"/>
              <w:bottom w:val="single" w:sz="6" w:space="0" w:color="000000"/>
              <w:right w:val="single" w:sz="6" w:space="0" w:color="000000"/>
            </w:tcBorders>
            <w:hideMark/>
          </w:tcPr>
          <w:p w14:paraId="1CB51F52" w14:textId="3BA89C37" w:rsidR="00D93616" w:rsidRPr="00D43281" w:rsidRDefault="005E64B5"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Низкий уровень страхового покрытия (за исключением сопутствующего ущерба) по договорам страхования, заключенным с компаниями низкого качества.</w:t>
            </w:r>
          </w:p>
        </w:tc>
      </w:tr>
    </w:tbl>
    <w:p w14:paraId="6EB04A88" w14:textId="1AF3950E" w:rsidR="00D93616" w:rsidRPr="00D43281" w:rsidRDefault="00D93616" w:rsidP="00D93616">
      <w:pPr>
        <w:spacing w:before="120" w:after="120" w:line="240" w:lineRule="auto"/>
        <w:rPr>
          <w:rFonts w:ascii="Times New Roman" w:eastAsia="Times New Roman" w:hAnsi="Times New Roman" w:cs="Times New Roman"/>
          <w:sz w:val="24"/>
          <w:szCs w:val="24"/>
          <w:lang w:eastAsia="ro-MD"/>
        </w:rPr>
      </w:pPr>
    </w:p>
    <w:p w14:paraId="7C28233C" w14:textId="16F39007" w:rsidR="00D93616" w:rsidRPr="00D43281" w:rsidRDefault="007431E1" w:rsidP="0007215A">
      <w:pPr>
        <w:shd w:val="clear" w:color="auto" w:fill="FFFFFF"/>
        <w:spacing w:before="240" w:after="120" w:line="240" w:lineRule="auto"/>
        <w:jc w:val="right"/>
        <w:rPr>
          <w:rFonts w:ascii="Times New Roman" w:eastAsia="Times New Roman" w:hAnsi="Times New Roman" w:cs="Times New Roman"/>
          <w:b/>
          <w:bCs/>
          <w:i/>
          <w:iCs/>
          <w:color w:val="000000"/>
          <w:sz w:val="24"/>
          <w:szCs w:val="24"/>
          <w:lang w:eastAsia="ro-MD"/>
        </w:rPr>
      </w:pPr>
      <w:r w:rsidRPr="00D43281">
        <w:rPr>
          <w:rFonts w:ascii="Times New Roman" w:eastAsia="Times New Roman" w:hAnsi="Times New Roman" w:cs="Times New Roman"/>
          <w:b/>
          <w:bCs/>
          <w:i/>
          <w:iCs/>
          <w:color w:val="000000"/>
          <w:sz w:val="24"/>
          <w:szCs w:val="24"/>
          <w:lang w:val="ru-RU" w:eastAsia="ro-MD"/>
        </w:rPr>
        <w:t>Таблица</w:t>
      </w:r>
      <w:r w:rsidRPr="00BB1E28">
        <w:rPr>
          <w:rFonts w:ascii="Times New Roman" w:eastAsia="Times New Roman" w:hAnsi="Times New Roman" w:cs="Times New Roman"/>
          <w:b/>
          <w:bCs/>
          <w:i/>
          <w:iCs/>
          <w:color w:val="000000"/>
          <w:sz w:val="24"/>
          <w:szCs w:val="24"/>
          <w:lang w:val="ru-RU" w:eastAsia="ro-MD"/>
        </w:rPr>
        <w:t xml:space="preserve"> № </w:t>
      </w:r>
      <w:r w:rsidR="0007215A" w:rsidRPr="00D43281">
        <w:rPr>
          <w:rFonts w:ascii="Times New Roman" w:eastAsia="Times New Roman" w:hAnsi="Times New Roman" w:cs="Times New Roman"/>
          <w:b/>
          <w:bCs/>
          <w:i/>
          <w:iCs/>
          <w:color w:val="000000"/>
          <w:sz w:val="24"/>
          <w:szCs w:val="24"/>
          <w:lang w:eastAsia="ro-MD"/>
        </w:rPr>
        <w:t>4</w:t>
      </w:r>
    </w:p>
    <w:p w14:paraId="2ADCC14A" w14:textId="66120521" w:rsidR="00D93616" w:rsidRPr="00D43281" w:rsidRDefault="00084922" w:rsidP="00D93616">
      <w:pPr>
        <w:shd w:val="clear" w:color="auto" w:fill="FFFFFF"/>
        <w:spacing w:before="240" w:after="120" w:line="240" w:lineRule="auto"/>
        <w:jc w:val="center"/>
        <w:rPr>
          <w:rFonts w:ascii="Times New Roman" w:eastAsia="Times New Roman" w:hAnsi="Times New Roman" w:cs="Times New Roman"/>
          <w:b/>
          <w:bCs/>
          <w:color w:val="000000"/>
          <w:sz w:val="24"/>
          <w:szCs w:val="24"/>
          <w:lang w:val="ru-RU" w:eastAsia="ro-MD"/>
        </w:rPr>
      </w:pPr>
      <w:r w:rsidRPr="00D43281">
        <w:rPr>
          <w:rFonts w:ascii="Times New Roman" w:eastAsia="Times New Roman" w:hAnsi="Times New Roman" w:cs="Times New Roman"/>
          <w:b/>
          <w:bCs/>
          <w:color w:val="000000"/>
          <w:sz w:val="24"/>
          <w:szCs w:val="24"/>
          <w:lang w:val="ru-RU" w:eastAsia="ro-MD"/>
        </w:rPr>
        <w:t>Критерии оценки для подверженностей из финансирования товаров</w:t>
      </w:r>
    </w:p>
    <w:tbl>
      <w:tblPr>
        <w:tblW w:w="5000" w:type="pct"/>
        <w:tblBorders>
          <w:top w:val="single" w:sz="6" w:space="0" w:color="000000"/>
          <w:left w:val="single" w:sz="6" w:space="0" w:color="000000"/>
          <w:bottom w:val="single" w:sz="6" w:space="0" w:color="000000"/>
          <w:right w:val="single" w:sz="6" w:space="0" w:color="000000"/>
        </w:tblBorders>
        <w:tblCellMar>
          <w:left w:w="0" w:type="dxa"/>
          <w:right w:w="0" w:type="dxa"/>
        </w:tblCellMar>
        <w:tblLook w:val="04A0" w:firstRow="1" w:lastRow="0" w:firstColumn="1" w:lastColumn="0" w:noHBand="0" w:noVBand="1"/>
      </w:tblPr>
      <w:tblGrid>
        <w:gridCol w:w="1741"/>
        <w:gridCol w:w="1795"/>
        <w:gridCol w:w="1852"/>
        <w:gridCol w:w="1907"/>
        <w:gridCol w:w="2043"/>
      </w:tblGrid>
      <w:tr w:rsidR="0073659E" w:rsidRPr="00D43281" w14:paraId="5FBAB1E3" w14:textId="77777777" w:rsidTr="00FC1FB1">
        <w:tc>
          <w:tcPr>
            <w:tcW w:w="0" w:type="auto"/>
            <w:tcBorders>
              <w:top w:val="single" w:sz="6" w:space="0" w:color="000000"/>
              <w:left w:val="single" w:sz="6" w:space="0" w:color="000000"/>
              <w:bottom w:val="single" w:sz="6" w:space="0" w:color="000000"/>
              <w:right w:val="single" w:sz="6" w:space="0" w:color="000000"/>
            </w:tcBorders>
            <w:hideMark/>
          </w:tcPr>
          <w:p w14:paraId="71EFFD89"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eastAsia="ro-MD"/>
              </w:rPr>
            </w:pPr>
            <w:r w:rsidRPr="00D43281">
              <w:rPr>
                <w:rFonts w:ascii="Times New Roman" w:eastAsia="Times New Roman" w:hAnsi="Times New Roman" w:cs="Times New Roman"/>
                <w:sz w:val="24"/>
                <w:szCs w:val="24"/>
                <w:lang w:eastAsia="ro-MD"/>
              </w:rPr>
              <w:t> </w:t>
            </w:r>
          </w:p>
        </w:tc>
        <w:tc>
          <w:tcPr>
            <w:tcW w:w="943" w:type="pct"/>
            <w:tcBorders>
              <w:top w:val="single" w:sz="6" w:space="0" w:color="000000"/>
              <w:left w:val="single" w:sz="6" w:space="0" w:color="000000"/>
              <w:bottom w:val="single" w:sz="6" w:space="0" w:color="000000"/>
              <w:right w:val="single" w:sz="6" w:space="0" w:color="000000"/>
            </w:tcBorders>
            <w:hideMark/>
          </w:tcPr>
          <w:p w14:paraId="1EDE5FD1" w14:textId="37F5633B" w:rsidR="00D93616" w:rsidRPr="00D43281" w:rsidRDefault="00084922" w:rsidP="00DF083B">
            <w:pPr>
              <w:spacing w:before="60" w:after="60" w:line="240" w:lineRule="auto"/>
              <w:ind w:right="195"/>
              <w:jc w:val="center"/>
              <w:rPr>
                <w:rFonts w:ascii="Times New Roman" w:eastAsia="Times New Roman" w:hAnsi="Times New Roman" w:cs="Times New Roman"/>
                <w:b/>
                <w:bCs/>
                <w:sz w:val="24"/>
                <w:szCs w:val="24"/>
                <w:lang w:eastAsia="ro-MD"/>
              </w:rPr>
            </w:pPr>
            <w:r w:rsidRPr="00D43281">
              <w:rPr>
                <w:rFonts w:ascii="Times New Roman" w:eastAsia="Times New Roman" w:hAnsi="Times New Roman" w:cs="Times New Roman"/>
                <w:b/>
                <w:bCs/>
                <w:sz w:val="24"/>
                <w:szCs w:val="24"/>
                <w:lang w:val="ru-RU" w:eastAsia="ro-MD"/>
              </w:rPr>
              <w:t xml:space="preserve">Категория </w:t>
            </w:r>
            <w:r w:rsidR="00D93616" w:rsidRPr="00D43281">
              <w:rPr>
                <w:rFonts w:ascii="Times New Roman" w:eastAsia="Times New Roman" w:hAnsi="Times New Roman" w:cs="Times New Roman"/>
                <w:b/>
                <w:bCs/>
                <w:sz w:val="24"/>
                <w:szCs w:val="24"/>
                <w:lang w:eastAsia="ro-MD"/>
              </w:rPr>
              <w:t>1</w:t>
            </w:r>
          </w:p>
        </w:tc>
        <w:tc>
          <w:tcPr>
            <w:tcW w:w="857" w:type="pct"/>
            <w:tcBorders>
              <w:top w:val="single" w:sz="6" w:space="0" w:color="000000"/>
              <w:left w:val="single" w:sz="6" w:space="0" w:color="000000"/>
              <w:bottom w:val="single" w:sz="6" w:space="0" w:color="000000"/>
              <w:right w:val="single" w:sz="6" w:space="0" w:color="000000"/>
            </w:tcBorders>
            <w:hideMark/>
          </w:tcPr>
          <w:p w14:paraId="540E8FE5" w14:textId="6C3EEC7C" w:rsidR="00D93616" w:rsidRPr="00D43281" w:rsidRDefault="00084922" w:rsidP="00DF083B">
            <w:pPr>
              <w:spacing w:before="60" w:after="60" w:line="240" w:lineRule="auto"/>
              <w:ind w:right="195"/>
              <w:jc w:val="center"/>
              <w:rPr>
                <w:rFonts w:ascii="Times New Roman" w:eastAsia="Times New Roman" w:hAnsi="Times New Roman" w:cs="Times New Roman"/>
                <w:b/>
                <w:bCs/>
                <w:sz w:val="24"/>
                <w:szCs w:val="24"/>
                <w:lang w:eastAsia="ro-MD"/>
              </w:rPr>
            </w:pPr>
            <w:r w:rsidRPr="00D43281">
              <w:rPr>
                <w:rFonts w:ascii="Times New Roman" w:eastAsia="Times New Roman" w:hAnsi="Times New Roman" w:cs="Times New Roman"/>
                <w:b/>
                <w:bCs/>
                <w:sz w:val="24"/>
                <w:szCs w:val="24"/>
                <w:lang w:val="ru-RU" w:eastAsia="ro-MD"/>
              </w:rPr>
              <w:t>Категория</w:t>
            </w:r>
            <w:r w:rsidR="00D93616" w:rsidRPr="00D43281">
              <w:rPr>
                <w:rFonts w:ascii="Times New Roman" w:eastAsia="Times New Roman" w:hAnsi="Times New Roman" w:cs="Times New Roman"/>
                <w:b/>
                <w:bCs/>
                <w:sz w:val="24"/>
                <w:szCs w:val="24"/>
                <w:lang w:eastAsia="ro-MD"/>
              </w:rPr>
              <w:t xml:space="preserve"> 2</w:t>
            </w:r>
          </w:p>
        </w:tc>
        <w:tc>
          <w:tcPr>
            <w:tcW w:w="0" w:type="auto"/>
            <w:tcBorders>
              <w:top w:val="single" w:sz="6" w:space="0" w:color="000000"/>
              <w:left w:val="single" w:sz="6" w:space="0" w:color="000000"/>
              <w:bottom w:val="single" w:sz="6" w:space="0" w:color="000000"/>
              <w:right w:val="single" w:sz="6" w:space="0" w:color="000000"/>
            </w:tcBorders>
            <w:hideMark/>
          </w:tcPr>
          <w:p w14:paraId="4DB31C28" w14:textId="27CD1E8D" w:rsidR="00D93616" w:rsidRPr="00D43281" w:rsidRDefault="00084922" w:rsidP="00DF083B">
            <w:pPr>
              <w:spacing w:before="60" w:after="60" w:line="240" w:lineRule="auto"/>
              <w:ind w:right="195"/>
              <w:jc w:val="center"/>
              <w:rPr>
                <w:rFonts w:ascii="Times New Roman" w:eastAsia="Times New Roman" w:hAnsi="Times New Roman" w:cs="Times New Roman"/>
                <w:b/>
                <w:bCs/>
                <w:sz w:val="24"/>
                <w:szCs w:val="24"/>
                <w:lang w:eastAsia="ro-MD"/>
              </w:rPr>
            </w:pPr>
            <w:r w:rsidRPr="00D43281">
              <w:rPr>
                <w:rFonts w:ascii="Times New Roman" w:eastAsia="Times New Roman" w:hAnsi="Times New Roman" w:cs="Times New Roman"/>
                <w:b/>
                <w:bCs/>
                <w:sz w:val="24"/>
                <w:szCs w:val="24"/>
                <w:lang w:val="ru-RU" w:eastAsia="ro-MD"/>
              </w:rPr>
              <w:t>Категория</w:t>
            </w:r>
            <w:r w:rsidR="00D93616" w:rsidRPr="00D43281">
              <w:rPr>
                <w:rFonts w:ascii="Times New Roman" w:eastAsia="Times New Roman" w:hAnsi="Times New Roman" w:cs="Times New Roman"/>
                <w:b/>
                <w:bCs/>
                <w:sz w:val="24"/>
                <w:szCs w:val="24"/>
                <w:lang w:eastAsia="ro-MD"/>
              </w:rPr>
              <w:t xml:space="preserve"> 3</w:t>
            </w:r>
          </w:p>
        </w:tc>
        <w:tc>
          <w:tcPr>
            <w:tcW w:w="0" w:type="auto"/>
            <w:tcBorders>
              <w:top w:val="single" w:sz="6" w:space="0" w:color="000000"/>
              <w:left w:val="single" w:sz="6" w:space="0" w:color="000000"/>
              <w:bottom w:val="single" w:sz="6" w:space="0" w:color="000000"/>
              <w:right w:val="single" w:sz="6" w:space="0" w:color="000000"/>
            </w:tcBorders>
            <w:hideMark/>
          </w:tcPr>
          <w:p w14:paraId="6B4C0DCF" w14:textId="12B6962B" w:rsidR="00D93616" w:rsidRPr="00D43281" w:rsidRDefault="00084922" w:rsidP="00DF083B">
            <w:pPr>
              <w:spacing w:before="60" w:after="60" w:line="240" w:lineRule="auto"/>
              <w:ind w:right="195"/>
              <w:jc w:val="center"/>
              <w:rPr>
                <w:rFonts w:ascii="Times New Roman" w:eastAsia="Times New Roman" w:hAnsi="Times New Roman" w:cs="Times New Roman"/>
                <w:b/>
                <w:bCs/>
                <w:sz w:val="24"/>
                <w:szCs w:val="24"/>
                <w:lang w:eastAsia="ro-MD"/>
              </w:rPr>
            </w:pPr>
            <w:r w:rsidRPr="00D43281">
              <w:rPr>
                <w:rFonts w:ascii="Times New Roman" w:eastAsia="Times New Roman" w:hAnsi="Times New Roman" w:cs="Times New Roman"/>
                <w:b/>
                <w:bCs/>
                <w:sz w:val="24"/>
                <w:szCs w:val="24"/>
                <w:lang w:val="ru-RU" w:eastAsia="ro-MD"/>
              </w:rPr>
              <w:t>Категория</w:t>
            </w:r>
            <w:r w:rsidR="00D93616" w:rsidRPr="00D43281">
              <w:rPr>
                <w:rFonts w:ascii="Times New Roman" w:eastAsia="Times New Roman" w:hAnsi="Times New Roman" w:cs="Times New Roman"/>
                <w:b/>
                <w:bCs/>
                <w:sz w:val="24"/>
                <w:szCs w:val="24"/>
                <w:lang w:eastAsia="ro-MD"/>
              </w:rPr>
              <w:t xml:space="preserve"> 4</w:t>
            </w:r>
          </w:p>
        </w:tc>
      </w:tr>
      <w:tr w:rsidR="0073659E" w:rsidRPr="00D43281" w14:paraId="63036066" w14:textId="77777777" w:rsidTr="00FC1FB1">
        <w:tc>
          <w:tcPr>
            <w:tcW w:w="0" w:type="auto"/>
            <w:tcBorders>
              <w:top w:val="single" w:sz="6" w:space="0" w:color="000000"/>
              <w:left w:val="single" w:sz="6" w:space="0" w:color="000000"/>
              <w:bottom w:val="single" w:sz="6" w:space="0" w:color="000000"/>
              <w:right w:val="single" w:sz="6" w:space="0" w:color="000000"/>
            </w:tcBorders>
            <w:hideMark/>
          </w:tcPr>
          <w:p w14:paraId="18473CB1" w14:textId="65F5A45F" w:rsidR="00D93616" w:rsidRPr="00D43281" w:rsidRDefault="00074ADD"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b/>
                <w:bCs/>
                <w:sz w:val="24"/>
                <w:szCs w:val="24"/>
                <w:lang w:val="ru-RU" w:eastAsia="ro-MD"/>
              </w:rPr>
              <w:t>Фактор: финансовая устойчивость</w:t>
            </w:r>
          </w:p>
        </w:tc>
        <w:tc>
          <w:tcPr>
            <w:tcW w:w="943" w:type="pct"/>
            <w:tcBorders>
              <w:top w:val="single" w:sz="6" w:space="0" w:color="000000"/>
              <w:left w:val="single" w:sz="6" w:space="0" w:color="000000"/>
              <w:bottom w:val="single" w:sz="6" w:space="0" w:color="000000"/>
              <w:right w:val="single" w:sz="6" w:space="0" w:color="000000"/>
            </w:tcBorders>
            <w:hideMark/>
          </w:tcPr>
          <w:p w14:paraId="7FF00300"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857" w:type="pct"/>
            <w:tcBorders>
              <w:top w:val="single" w:sz="6" w:space="0" w:color="000000"/>
              <w:left w:val="single" w:sz="6" w:space="0" w:color="000000"/>
              <w:bottom w:val="single" w:sz="6" w:space="0" w:color="000000"/>
              <w:right w:val="single" w:sz="6" w:space="0" w:color="000000"/>
            </w:tcBorders>
            <w:hideMark/>
          </w:tcPr>
          <w:p w14:paraId="35B019C0"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FD8B33E"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76118DA"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r>
      <w:tr w:rsidR="0073659E" w:rsidRPr="00D43281" w14:paraId="581D62E9" w14:textId="77777777" w:rsidTr="00FC1FB1">
        <w:tc>
          <w:tcPr>
            <w:tcW w:w="0" w:type="auto"/>
            <w:tcBorders>
              <w:top w:val="single" w:sz="6" w:space="0" w:color="000000"/>
              <w:left w:val="single" w:sz="6" w:space="0" w:color="000000"/>
              <w:bottom w:val="single" w:sz="6" w:space="0" w:color="000000"/>
              <w:right w:val="single" w:sz="6" w:space="0" w:color="000000"/>
            </w:tcBorders>
            <w:hideMark/>
          </w:tcPr>
          <w:tbl>
            <w:tblPr>
              <w:tblW w:w="1857" w:type="dxa"/>
              <w:tblInd w:w="127" w:type="dxa"/>
              <w:tblCellMar>
                <w:left w:w="0" w:type="dxa"/>
                <w:right w:w="0" w:type="dxa"/>
              </w:tblCellMar>
              <w:tblLook w:val="04A0" w:firstRow="1" w:lastRow="0" w:firstColumn="1" w:lastColumn="0" w:noHBand="0" w:noVBand="1"/>
            </w:tblPr>
            <w:tblGrid>
              <w:gridCol w:w="6"/>
              <w:gridCol w:w="1851"/>
            </w:tblGrid>
            <w:tr w:rsidR="00D93616" w:rsidRPr="00D43281" w14:paraId="0A51BE60" w14:textId="77777777" w:rsidTr="00412AAB">
              <w:tc>
                <w:tcPr>
                  <w:tcW w:w="0" w:type="auto"/>
                  <w:hideMark/>
                </w:tcPr>
                <w:p w14:paraId="139616FA" w14:textId="7BF8CFBC"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p>
              </w:tc>
              <w:tc>
                <w:tcPr>
                  <w:tcW w:w="0" w:type="auto"/>
                  <w:hideMark/>
                </w:tcPr>
                <w:p w14:paraId="7FFC3A33" w14:textId="5CA7DFC4" w:rsidR="00D93616" w:rsidRPr="00D43281" w:rsidRDefault="00074ADD" w:rsidP="00DF083B">
                  <w:pPr>
                    <w:spacing w:before="120" w:after="0" w:line="240" w:lineRule="auto"/>
                    <w:ind w:right="159"/>
                    <w:jc w:val="both"/>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степень избыточного обеспечения сделок</w:t>
                  </w:r>
                </w:p>
              </w:tc>
            </w:tr>
          </w:tbl>
          <w:p w14:paraId="7D01287C" w14:textId="77777777" w:rsidR="00D93616" w:rsidRPr="00D43281" w:rsidRDefault="00D93616" w:rsidP="00DF083B">
            <w:pPr>
              <w:spacing w:after="0" w:line="240" w:lineRule="auto"/>
              <w:rPr>
                <w:rFonts w:ascii="Times New Roman" w:eastAsia="Times New Roman" w:hAnsi="Times New Roman" w:cs="Times New Roman"/>
                <w:sz w:val="24"/>
                <w:szCs w:val="24"/>
                <w:lang w:val="ru-RU" w:eastAsia="ro-MD"/>
              </w:rPr>
            </w:pPr>
          </w:p>
        </w:tc>
        <w:tc>
          <w:tcPr>
            <w:tcW w:w="943" w:type="pct"/>
            <w:tcBorders>
              <w:top w:val="single" w:sz="6" w:space="0" w:color="000000"/>
              <w:left w:val="single" w:sz="6" w:space="0" w:color="000000"/>
              <w:bottom w:val="single" w:sz="6" w:space="0" w:color="000000"/>
              <w:right w:val="single" w:sz="6" w:space="0" w:color="000000"/>
            </w:tcBorders>
            <w:hideMark/>
          </w:tcPr>
          <w:p w14:paraId="307B256B" w14:textId="286D72E0" w:rsidR="00D93616" w:rsidRPr="00D43281" w:rsidRDefault="00074ADD"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Высокий</w:t>
            </w:r>
          </w:p>
        </w:tc>
        <w:tc>
          <w:tcPr>
            <w:tcW w:w="857" w:type="pct"/>
            <w:tcBorders>
              <w:top w:val="single" w:sz="6" w:space="0" w:color="000000"/>
              <w:left w:val="single" w:sz="6" w:space="0" w:color="000000"/>
              <w:bottom w:val="single" w:sz="6" w:space="0" w:color="000000"/>
              <w:right w:val="single" w:sz="6" w:space="0" w:color="000000"/>
            </w:tcBorders>
            <w:hideMark/>
          </w:tcPr>
          <w:p w14:paraId="7F5743D2" w14:textId="105929B4" w:rsidR="00D93616" w:rsidRPr="00D43281" w:rsidRDefault="00D622A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Адекватный</w:t>
            </w:r>
          </w:p>
        </w:tc>
        <w:tc>
          <w:tcPr>
            <w:tcW w:w="0" w:type="auto"/>
            <w:tcBorders>
              <w:top w:val="single" w:sz="6" w:space="0" w:color="000000"/>
              <w:left w:val="single" w:sz="6" w:space="0" w:color="000000"/>
              <w:bottom w:val="single" w:sz="6" w:space="0" w:color="000000"/>
              <w:right w:val="single" w:sz="6" w:space="0" w:color="000000"/>
            </w:tcBorders>
            <w:hideMark/>
          </w:tcPr>
          <w:p w14:paraId="51D1DA35" w14:textId="6590802A" w:rsidR="00D93616" w:rsidRPr="00D43281" w:rsidRDefault="00D622A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Удовлетворительный</w:t>
            </w:r>
          </w:p>
        </w:tc>
        <w:tc>
          <w:tcPr>
            <w:tcW w:w="0" w:type="auto"/>
            <w:tcBorders>
              <w:top w:val="single" w:sz="6" w:space="0" w:color="000000"/>
              <w:left w:val="single" w:sz="6" w:space="0" w:color="000000"/>
              <w:bottom w:val="single" w:sz="6" w:space="0" w:color="000000"/>
              <w:right w:val="single" w:sz="6" w:space="0" w:color="000000"/>
            </w:tcBorders>
            <w:hideMark/>
          </w:tcPr>
          <w:p w14:paraId="7AACF419" w14:textId="72E7795D" w:rsidR="00D93616" w:rsidRPr="00D43281" w:rsidRDefault="00D622A9"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Недостаточный</w:t>
            </w:r>
          </w:p>
        </w:tc>
      </w:tr>
      <w:tr w:rsidR="0073659E" w:rsidRPr="00D43281" w14:paraId="18476FD3" w14:textId="77777777" w:rsidTr="00FC1FB1">
        <w:tc>
          <w:tcPr>
            <w:tcW w:w="0" w:type="auto"/>
            <w:tcBorders>
              <w:top w:val="single" w:sz="6" w:space="0" w:color="000000"/>
              <w:left w:val="single" w:sz="6" w:space="0" w:color="000000"/>
              <w:bottom w:val="single" w:sz="6" w:space="0" w:color="000000"/>
              <w:right w:val="single" w:sz="6" w:space="0" w:color="000000"/>
            </w:tcBorders>
            <w:hideMark/>
          </w:tcPr>
          <w:p w14:paraId="7A6859FC" w14:textId="5EB3EB9A" w:rsidR="00D93616" w:rsidRPr="00D43281" w:rsidRDefault="00F15E66"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b/>
                <w:bCs/>
                <w:sz w:val="24"/>
                <w:szCs w:val="24"/>
                <w:lang w:val="ru-MD" w:eastAsia="ro-MD"/>
              </w:rPr>
              <w:t>Фактор: политическая и правовая среда</w:t>
            </w:r>
          </w:p>
        </w:tc>
        <w:tc>
          <w:tcPr>
            <w:tcW w:w="943" w:type="pct"/>
            <w:tcBorders>
              <w:top w:val="single" w:sz="6" w:space="0" w:color="000000"/>
              <w:left w:val="single" w:sz="6" w:space="0" w:color="000000"/>
              <w:bottom w:val="single" w:sz="6" w:space="0" w:color="000000"/>
              <w:right w:val="single" w:sz="6" w:space="0" w:color="000000"/>
            </w:tcBorders>
            <w:hideMark/>
          </w:tcPr>
          <w:p w14:paraId="1051147B"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857" w:type="pct"/>
            <w:tcBorders>
              <w:top w:val="single" w:sz="6" w:space="0" w:color="000000"/>
              <w:left w:val="single" w:sz="6" w:space="0" w:color="000000"/>
              <w:bottom w:val="single" w:sz="6" w:space="0" w:color="000000"/>
              <w:right w:val="single" w:sz="6" w:space="0" w:color="000000"/>
            </w:tcBorders>
            <w:hideMark/>
          </w:tcPr>
          <w:p w14:paraId="118B76F2"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E5EE799"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9E7AF94"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r>
      <w:tr w:rsidR="0073659E" w:rsidRPr="00D43281" w14:paraId="2D88C6E7" w14:textId="77777777" w:rsidTr="00FC1FB1">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546"/>
            </w:tblGrid>
            <w:tr w:rsidR="00D93616" w:rsidRPr="00D43281" w14:paraId="16E674DA" w14:textId="77777777" w:rsidTr="00DF083B">
              <w:tc>
                <w:tcPr>
                  <w:tcW w:w="0" w:type="auto"/>
                  <w:hideMark/>
                </w:tcPr>
                <w:p w14:paraId="0799A7D4" w14:textId="558AF198" w:rsidR="00D93616" w:rsidRPr="00D43281" w:rsidRDefault="00DB5227" w:rsidP="00EC6123">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1.</w:t>
                  </w:r>
                </w:p>
              </w:tc>
              <w:tc>
                <w:tcPr>
                  <w:tcW w:w="0" w:type="auto"/>
                  <w:hideMark/>
                </w:tcPr>
                <w:p w14:paraId="2CC83002" w14:textId="23A71AE1" w:rsidR="00D93616" w:rsidRPr="00D43281" w:rsidRDefault="00F15E66" w:rsidP="00EC6123">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страновой риск</w:t>
                  </w:r>
                </w:p>
              </w:tc>
            </w:tr>
          </w:tbl>
          <w:p w14:paraId="221D848C" w14:textId="77777777" w:rsidR="00D93616" w:rsidRPr="00D43281" w:rsidRDefault="00D93616" w:rsidP="00EC6123">
            <w:pPr>
              <w:spacing w:after="0" w:line="240" w:lineRule="auto"/>
              <w:rPr>
                <w:rFonts w:ascii="Times New Roman" w:eastAsia="Times New Roman" w:hAnsi="Times New Roman" w:cs="Times New Roman"/>
                <w:sz w:val="24"/>
                <w:szCs w:val="24"/>
                <w:lang w:val="ru-MD" w:eastAsia="ro-MD"/>
              </w:rPr>
            </w:pPr>
          </w:p>
        </w:tc>
        <w:tc>
          <w:tcPr>
            <w:tcW w:w="943" w:type="pct"/>
            <w:tcBorders>
              <w:top w:val="single" w:sz="6" w:space="0" w:color="000000"/>
              <w:left w:val="single" w:sz="6" w:space="0" w:color="000000"/>
              <w:bottom w:val="single" w:sz="6" w:space="0" w:color="000000"/>
              <w:right w:val="single" w:sz="6" w:space="0" w:color="000000"/>
            </w:tcBorders>
            <w:hideMark/>
          </w:tcPr>
          <w:p w14:paraId="6172AEEC" w14:textId="6019EC41" w:rsidR="00D93616" w:rsidRPr="00D43281" w:rsidRDefault="00F15E66"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Нет странового риска</w:t>
            </w:r>
          </w:p>
        </w:tc>
        <w:tc>
          <w:tcPr>
            <w:tcW w:w="857" w:type="pct"/>
            <w:tcBorders>
              <w:top w:val="single" w:sz="6" w:space="0" w:color="000000"/>
              <w:left w:val="single" w:sz="6" w:space="0" w:color="000000"/>
              <w:bottom w:val="single" w:sz="6" w:space="0" w:color="000000"/>
              <w:right w:val="single" w:sz="6" w:space="0" w:color="000000"/>
            </w:tcBorders>
            <w:hideMark/>
          </w:tcPr>
          <w:p w14:paraId="07AD7931" w14:textId="447EC631" w:rsidR="00D93616" w:rsidRPr="00D43281" w:rsidRDefault="00F15E66"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Ограниченная подверженность страновым рискам (особенно </w:t>
            </w:r>
            <w:r w:rsidRPr="00D43281">
              <w:rPr>
                <w:rFonts w:ascii="Times New Roman" w:eastAsia="Times New Roman" w:hAnsi="Times New Roman" w:cs="Times New Roman"/>
                <w:sz w:val="24"/>
                <w:szCs w:val="24"/>
                <w:lang w:val="ru-MD" w:eastAsia="ro-MD"/>
              </w:rPr>
              <w:lastRenderedPageBreak/>
              <w:t>в связи с размещением месторождений на шельфе развивающихся стран).</w:t>
            </w:r>
          </w:p>
        </w:tc>
        <w:tc>
          <w:tcPr>
            <w:tcW w:w="0" w:type="auto"/>
            <w:tcBorders>
              <w:top w:val="single" w:sz="6" w:space="0" w:color="000000"/>
              <w:left w:val="single" w:sz="6" w:space="0" w:color="000000"/>
              <w:bottom w:val="single" w:sz="6" w:space="0" w:color="000000"/>
              <w:right w:val="single" w:sz="6" w:space="0" w:color="000000"/>
            </w:tcBorders>
            <w:hideMark/>
          </w:tcPr>
          <w:p w14:paraId="250EFE08" w14:textId="42ACB6A4" w:rsidR="00D93616" w:rsidRPr="00D43281" w:rsidRDefault="00B91A63"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Подверженность страновому риску (в частности, в результате </w:t>
            </w:r>
            <w:r w:rsidRPr="00D43281">
              <w:rPr>
                <w:rFonts w:ascii="Times New Roman" w:eastAsia="Times New Roman" w:hAnsi="Times New Roman" w:cs="Times New Roman"/>
                <w:sz w:val="24"/>
                <w:szCs w:val="24"/>
                <w:lang w:val="ru-MD" w:eastAsia="ro-MD"/>
              </w:rPr>
              <w:lastRenderedPageBreak/>
              <w:t>размещения запасов на шельфе развивающихся стран).</w:t>
            </w:r>
          </w:p>
        </w:tc>
        <w:tc>
          <w:tcPr>
            <w:tcW w:w="0" w:type="auto"/>
            <w:tcBorders>
              <w:top w:val="single" w:sz="6" w:space="0" w:color="000000"/>
              <w:left w:val="single" w:sz="6" w:space="0" w:color="000000"/>
              <w:bottom w:val="single" w:sz="6" w:space="0" w:color="000000"/>
              <w:right w:val="single" w:sz="6" w:space="0" w:color="000000"/>
            </w:tcBorders>
            <w:hideMark/>
          </w:tcPr>
          <w:p w14:paraId="4B343958" w14:textId="75E8927D" w:rsidR="00D93616" w:rsidRPr="00D43281" w:rsidRDefault="00B91A63"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Высокая подверженность страновым рискам (особенно за счет </w:t>
            </w:r>
            <w:r w:rsidRPr="00D43281">
              <w:rPr>
                <w:rFonts w:ascii="Times New Roman" w:eastAsia="Times New Roman" w:hAnsi="Times New Roman" w:cs="Times New Roman"/>
                <w:sz w:val="24"/>
                <w:szCs w:val="24"/>
                <w:lang w:val="ru-MD" w:eastAsia="ro-MD"/>
              </w:rPr>
              <w:lastRenderedPageBreak/>
              <w:t>резервов, расположенных на территории развивающейся страны).</w:t>
            </w:r>
          </w:p>
        </w:tc>
      </w:tr>
      <w:tr w:rsidR="0073659E" w:rsidRPr="00D43281" w14:paraId="376273C9" w14:textId="77777777" w:rsidTr="00FC1FB1">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546"/>
            </w:tblGrid>
            <w:tr w:rsidR="00D93616" w:rsidRPr="00D43281" w14:paraId="6BB9839D" w14:textId="77777777" w:rsidTr="00DF083B">
              <w:tc>
                <w:tcPr>
                  <w:tcW w:w="0" w:type="auto"/>
                  <w:hideMark/>
                </w:tcPr>
                <w:p w14:paraId="73434EE7" w14:textId="38C9B25E" w:rsidR="00D93616" w:rsidRPr="00D43281" w:rsidRDefault="00DB5227" w:rsidP="00EC6123">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2.</w:t>
                  </w:r>
                </w:p>
              </w:tc>
              <w:tc>
                <w:tcPr>
                  <w:tcW w:w="0" w:type="auto"/>
                  <w:hideMark/>
                </w:tcPr>
                <w:p w14:paraId="7836DC97" w14:textId="252B6FBA" w:rsidR="00D93616" w:rsidRPr="00D43281" w:rsidRDefault="00903E9F" w:rsidP="00EC6123">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снижение страновых рисков</w:t>
                  </w:r>
                </w:p>
              </w:tc>
            </w:tr>
          </w:tbl>
          <w:p w14:paraId="46FB1A7E" w14:textId="77777777" w:rsidR="00D93616" w:rsidRPr="00D43281" w:rsidRDefault="00D93616" w:rsidP="00EC6123">
            <w:pPr>
              <w:spacing w:after="0" w:line="240" w:lineRule="auto"/>
              <w:rPr>
                <w:rFonts w:ascii="Times New Roman" w:eastAsia="Times New Roman" w:hAnsi="Times New Roman" w:cs="Times New Roman"/>
                <w:sz w:val="24"/>
                <w:szCs w:val="24"/>
                <w:lang w:val="ru-RU" w:eastAsia="ro-MD"/>
              </w:rPr>
            </w:pPr>
          </w:p>
        </w:tc>
        <w:tc>
          <w:tcPr>
            <w:tcW w:w="943" w:type="pct"/>
            <w:tcBorders>
              <w:top w:val="single" w:sz="6" w:space="0" w:color="000000"/>
              <w:left w:val="single" w:sz="6" w:space="0" w:color="000000"/>
              <w:bottom w:val="single" w:sz="6" w:space="0" w:color="000000"/>
              <w:right w:val="single" w:sz="6" w:space="0" w:color="000000"/>
            </w:tcBorders>
            <w:hideMark/>
          </w:tcPr>
          <w:p w14:paraId="7A5A3A8A" w14:textId="2EDE2157" w:rsidR="00D93616" w:rsidRPr="00D43281" w:rsidRDefault="00903E9F"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xml:space="preserve">Очень резкое снижение: Сильные </w:t>
            </w:r>
            <w:r w:rsidR="00FC1FB1" w:rsidRPr="00D43281">
              <w:rPr>
                <w:rFonts w:ascii="Times New Roman" w:eastAsia="Times New Roman" w:hAnsi="Times New Roman" w:cs="Times New Roman"/>
                <w:sz w:val="24"/>
                <w:szCs w:val="24"/>
                <w:lang w:val="ru-RU" w:eastAsia="ro-MD"/>
              </w:rPr>
              <w:t xml:space="preserve">оффшорные </w:t>
            </w:r>
            <w:r w:rsidRPr="00D43281">
              <w:rPr>
                <w:rFonts w:ascii="Times New Roman" w:eastAsia="Times New Roman" w:hAnsi="Times New Roman" w:cs="Times New Roman"/>
                <w:sz w:val="24"/>
                <w:szCs w:val="24"/>
                <w:lang w:val="ru-RU" w:eastAsia="ro-MD"/>
              </w:rPr>
              <w:t>механизмы. Стратегический товар, покупатель лучшего качества.</w:t>
            </w:r>
          </w:p>
        </w:tc>
        <w:tc>
          <w:tcPr>
            <w:tcW w:w="857" w:type="pct"/>
            <w:tcBorders>
              <w:top w:val="single" w:sz="6" w:space="0" w:color="000000"/>
              <w:left w:val="single" w:sz="6" w:space="0" w:color="000000"/>
              <w:bottom w:val="single" w:sz="6" w:space="0" w:color="000000"/>
              <w:right w:val="single" w:sz="6" w:space="0" w:color="000000"/>
            </w:tcBorders>
            <w:hideMark/>
          </w:tcPr>
          <w:p w14:paraId="32FA0734" w14:textId="097A8B56" w:rsidR="00D93616" w:rsidRPr="00D43281" w:rsidRDefault="00FC1FB1"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Резкое снижение: Оффшорные механизмы. Стратегический товар, сильный покупатель.</w:t>
            </w:r>
          </w:p>
        </w:tc>
        <w:tc>
          <w:tcPr>
            <w:tcW w:w="0" w:type="auto"/>
            <w:tcBorders>
              <w:top w:val="single" w:sz="6" w:space="0" w:color="000000"/>
              <w:left w:val="single" w:sz="6" w:space="0" w:color="000000"/>
              <w:bottom w:val="single" w:sz="6" w:space="0" w:color="000000"/>
              <w:right w:val="single" w:sz="6" w:space="0" w:color="000000"/>
            </w:tcBorders>
            <w:hideMark/>
          </w:tcPr>
          <w:p w14:paraId="1652AF53" w14:textId="3E607261" w:rsidR="00D93616" w:rsidRPr="00D43281" w:rsidRDefault="005E7E9B"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Допустимое снижение: Оффшорные механизмы. Меньше стратегических товаров, приемлемый покупатель.</w:t>
            </w:r>
          </w:p>
        </w:tc>
        <w:tc>
          <w:tcPr>
            <w:tcW w:w="0" w:type="auto"/>
            <w:tcBorders>
              <w:top w:val="single" w:sz="6" w:space="0" w:color="000000"/>
              <w:left w:val="single" w:sz="6" w:space="0" w:color="000000"/>
              <w:bottom w:val="single" w:sz="6" w:space="0" w:color="000000"/>
              <w:right w:val="single" w:sz="6" w:space="0" w:color="000000"/>
            </w:tcBorders>
            <w:hideMark/>
          </w:tcPr>
          <w:p w14:paraId="6A7F796E" w14:textId="471294AA" w:rsidR="00D93616" w:rsidRPr="00D43281" w:rsidRDefault="005E7E9B"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Частичное снижение: Отсутствие оффшорных механизмов. Нестратегический товар, покупатель низкого качества.</w:t>
            </w:r>
          </w:p>
        </w:tc>
      </w:tr>
      <w:tr w:rsidR="0073659E" w:rsidRPr="00D43281" w14:paraId="270A7AC1" w14:textId="77777777" w:rsidTr="00FC1FB1">
        <w:tc>
          <w:tcPr>
            <w:tcW w:w="0" w:type="auto"/>
            <w:tcBorders>
              <w:top w:val="single" w:sz="6" w:space="0" w:color="000000"/>
              <w:left w:val="single" w:sz="6" w:space="0" w:color="000000"/>
              <w:bottom w:val="single" w:sz="6" w:space="0" w:color="000000"/>
              <w:right w:val="single" w:sz="6" w:space="0" w:color="000000"/>
            </w:tcBorders>
            <w:hideMark/>
          </w:tcPr>
          <w:p w14:paraId="5700C567" w14:textId="5F5CC1BB" w:rsidR="00D93616" w:rsidRPr="00D43281" w:rsidRDefault="00710138" w:rsidP="00EC6123">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b/>
                <w:bCs/>
                <w:sz w:val="24"/>
                <w:szCs w:val="24"/>
                <w:lang w:val="ru-MD" w:eastAsia="ro-MD"/>
              </w:rPr>
              <w:t>Фактор: характеристики активов</w:t>
            </w:r>
          </w:p>
        </w:tc>
        <w:tc>
          <w:tcPr>
            <w:tcW w:w="943" w:type="pct"/>
            <w:tcBorders>
              <w:top w:val="single" w:sz="6" w:space="0" w:color="000000"/>
              <w:left w:val="single" w:sz="6" w:space="0" w:color="000000"/>
              <w:bottom w:val="single" w:sz="6" w:space="0" w:color="000000"/>
              <w:right w:val="single" w:sz="6" w:space="0" w:color="000000"/>
            </w:tcBorders>
            <w:hideMark/>
          </w:tcPr>
          <w:p w14:paraId="53A1E306"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857" w:type="pct"/>
            <w:tcBorders>
              <w:top w:val="single" w:sz="6" w:space="0" w:color="000000"/>
              <w:left w:val="single" w:sz="6" w:space="0" w:color="000000"/>
              <w:bottom w:val="single" w:sz="6" w:space="0" w:color="000000"/>
              <w:right w:val="single" w:sz="6" w:space="0" w:color="000000"/>
            </w:tcBorders>
            <w:hideMark/>
          </w:tcPr>
          <w:p w14:paraId="048F3885"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57809E8"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6920B69C"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r>
      <w:tr w:rsidR="0073659E" w:rsidRPr="00D43281" w14:paraId="40FD39D9" w14:textId="77777777" w:rsidTr="00FC1FB1">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6"/>
              <w:gridCol w:w="1720"/>
            </w:tblGrid>
            <w:tr w:rsidR="00D93616" w:rsidRPr="00D43281" w14:paraId="29BB7AD3" w14:textId="77777777" w:rsidTr="00DF083B">
              <w:tc>
                <w:tcPr>
                  <w:tcW w:w="0" w:type="auto"/>
                  <w:hideMark/>
                </w:tcPr>
                <w:p w14:paraId="58141029" w14:textId="5782460D" w:rsidR="00D93616" w:rsidRPr="00D43281" w:rsidRDefault="00D93616" w:rsidP="00EC6123">
                  <w:pPr>
                    <w:spacing w:before="120" w:after="0" w:line="240" w:lineRule="auto"/>
                    <w:rPr>
                      <w:rFonts w:ascii="Times New Roman" w:eastAsia="Times New Roman" w:hAnsi="Times New Roman" w:cs="Times New Roman"/>
                      <w:sz w:val="24"/>
                      <w:szCs w:val="24"/>
                      <w:lang w:val="ru-MD" w:eastAsia="ro-MD"/>
                    </w:rPr>
                  </w:pPr>
                </w:p>
              </w:tc>
              <w:tc>
                <w:tcPr>
                  <w:tcW w:w="0" w:type="auto"/>
                  <w:hideMark/>
                </w:tcPr>
                <w:p w14:paraId="14BCCAC4" w14:textId="24DD9132" w:rsidR="00D93616" w:rsidRPr="00D43281" w:rsidRDefault="00710138" w:rsidP="00EC6123">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ликвидность и чувствительность к ухудшению.</w:t>
                  </w:r>
                </w:p>
              </w:tc>
            </w:tr>
          </w:tbl>
          <w:p w14:paraId="1863BE48" w14:textId="77777777" w:rsidR="00D93616" w:rsidRPr="00D43281" w:rsidRDefault="00D93616" w:rsidP="00EC6123">
            <w:pPr>
              <w:spacing w:after="0" w:line="240" w:lineRule="auto"/>
              <w:rPr>
                <w:rFonts w:ascii="Times New Roman" w:eastAsia="Times New Roman" w:hAnsi="Times New Roman" w:cs="Times New Roman"/>
                <w:sz w:val="24"/>
                <w:szCs w:val="24"/>
                <w:lang w:val="ru-MD" w:eastAsia="ro-MD"/>
              </w:rPr>
            </w:pPr>
          </w:p>
        </w:tc>
        <w:tc>
          <w:tcPr>
            <w:tcW w:w="943" w:type="pct"/>
            <w:tcBorders>
              <w:top w:val="single" w:sz="6" w:space="0" w:color="000000"/>
              <w:left w:val="single" w:sz="6" w:space="0" w:color="000000"/>
              <w:bottom w:val="single" w:sz="6" w:space="0" w:color="000000"/>
              <w:right w:val="single" w:sz="6" w:space="0" w:color="000000"/>
            </w:tcBorders>
            <w:hideMark/>
          </w:tcPr>
          <w:p w14:paraId="45878A86" w14:textId="3247050A" w:rsidR="00D93616" w:rsidRPr="00D43281" w:rsidRDefault="00710138"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Данный товар </w:t>
            </w:r>
            <w:r w:rsidR="00D61E35" w:rsidRPr="00D43281">
              <w:rPr>
                <w:rFonts w:ascii="Times New Roman" w:eastAsia="Times New Roman" w:hAnsi="Times New Roman" w:cs="Times New Roman"/>
                <w:sz w:val="24"/>
                <w:szCs w:val="24"/>
                <w:lang w:val="ru-MD" w:eastAsia="ro-MD"/>
              </w:rPr>
              <w:t>котируется и</w:t>
            </w:r>
            <w:r w:rsidRPr="00D43281">
              <w:rPr>
                <w:rFonts w:ascii="Times New Roman" w:eastAsia="Times New Roman" w:hAnsi="Times New Roman" w:cs="Times New Roman"/>
                <w:sz w:val="24"/>
                <w:szCs w:val="24"/>
                <w:lang w:val="ru-MD" w:eastAsia="ro-MD"/>
              </w:rPr>
              <w:t xml:space="preserve"> может быть захеджирован с помощью фьючерсов или внебиржевых инструментов. Товар не подвержен порче.</w:t>
            </w:r>
          </w:p>
        </w:tc>
        <w:tc>
          <w:tcPr>
            <w:tcW w:w="857" w:type="pct"/>
            <w:tcBorders>
              <w:top w:val="single" w:sz="6" w:space="0" w:color="000000"/>
              <w:left w:val="single" w:sz="6" w:space="0" w:color="000000"/>
              <w:bottom w:val="single" w:sz="6" w:space="0" w:color="000000"/>
              <w:right w:val="single" w:sz="6" w:space="0" w:color="000000"/>
            </w:tcBorders>
            <w:hideMark/>
          </w:tcPr>
          <w:p w14:paraId="7BDA239F" w14:textId="31FCACC8" w:rsidR="00D93616" w:rsidRPr="00D43281" w:rsidRDefault="009865FC"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xml:space="preserve">Товар </w:t>
            </w:r>
            <w:r w:rsidR="00D61E35" w:rsidRPr="00D43281">
              <w:rPr>
                <w:rFonts w:ascii="Times New Roman" w:eastAsia="Times New Roman" w:hAnsi="Times New Roman" w:cs="Times New Roman"/>
                <w:sz w:val="24"/>
                <w:szCs w:val="24"/>
                <w:lang w:val="ru-MD" w:eastAsia="ro-MD"/>
              </w:rPr>
              <w:t>котируется и</w:t>
            </w:r>
            <w:r w:rsidRPr="00D43281">
              <w:rPr>
                <w:rFonts w:ascii="Times New Roman" w:eastAsia="Times New Roman" w:hAnsi="Times New Roman" w:cs="Times New Roman"/>
                <w:sz w:val="24"/>
                <w:szCs w:val="24"/>
                <w:lang w:val="ru-MD" w:eastAsia="ro-MD"/>
              </w:rPr>
              <w:t xml:space="preserve"> может быть застрахован от рисков с </w:t>
            </w:r>
            <w:proofErr w:type="gramStart"/>
            <w:r w:rsidRPr="00D43281">
              <w:rPr>
                <w:rFonts w:ascii="Times New Roman" w:eastAsia="Times New Roman" w:hAnsi="Times New Roman" w:cs="Times New Roman"/>
                <w:sz w:val="24"/>
                <w:szCs w:val="24"/>
                <w:lang w:val="ru-MD" w:eastAsia="ro-MD"/>
              </w:rPr>
              <w:t>помощью  инструментов</w:t>
            </w:r>
            <w:proofErr w:type="gramEnd"/>
            <w:r w:rsidRPr="00D43281">
              <w:rPr>
                <w:rFonts w:ascii="Times New Roman" w:eastAsia="Times New Roman" w:hAnsi="Times New Roman" w:cs="Times New Roman"/>
                <w:sz w:val="24"/>
                <w:szCs w:val="24"/>
                <w:lang w:val="ru-MD" w:eastAsia="ro-MD"/>
              </w:rPr>
              <w:t xml:space="preserve"> ОТС. Товар не чувствителен к ухудшению качества.</w:t>
            </w:r>
          </w:p>
        </w:tc>
        <w:tc>
          <w:tcPr>
            <w:tcW w:w="0" w:type="auto"/>
            <w:tcBorders>
              <w:top w:val="single" w:sz="6" w:space="0" w:color="000000"/>
              <w:left w:val="single" w:sz="6" w:space="0" w:color="000000"/>
              <w:bottom w:val="single" w:sz="6" w:space="0" w:color="000000"/>
              <w:right w:val="single" w:sz="6" w:space="0" w:color="000000"/>
            </w:tcBorders>
            <w:hideMark/>
          </w:tcPr>
          <w:p w14:paraId="7A958F02" w14:textId="33F5FC83" w:rsidR="00D93616" w:rsidRPr="00D43281" w:rsidRDefault="00D61E35"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Товар не котируется, но является ликвидным. Возможность хеджирования рисков неопределенна. Товар не чувствителен к повреждениям.</w:t>
            </w:r>
          </w:p>
        </w:tc>
        <w:tc>
          <w:tcPr>
            <w:tcW w:w="0" w:type="auto"/>
            <w:tcBorders>
              <w:top w:val="single" w:sz="6" w:space="0" w:color="000000"/>
              <w:left w:val="single" w:sz="6" w:space="0" w:color="000000"/>
              <w:bottom w:val="single" w:sz="6" w:space="0" w:color="000000"/>
              <w:right w:val="single" w:sz="6" w:space="0" w:color="000000"/>
            </w:tcBorders>
            <w:hideMark/>
          </w:tcPr>
          <w:p w14:paraId="569C307E" w14:textId="49D040C4" w:rsidR="00D93616" w:rsidRPr="00D43281" w:rsidRDefault="00D61E35"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Товар не котируется. Ликвидность ограничена, учитывая размер и глубину рынка. Отсутствуют адекватные инструменты хеджирования. Товар подвержен порче.</w:t>
            </w:r>
          </w:p>
        </w:tc>
      </w:tr>
      <w:tr w:rsidR="0073659E" w:rsidRPr="00D43281" w14:paraId="55F377EC" w14:textId="77777777" w:rsidTr="00FC1FB1">
        <w:tc>
          <w:tcPr>
            <w:tcW w:w="0" w:type="auto"/>
            <w:tcBorders>
              <w:top w:val="single" w:sz="6" w:space="0" w:color="000000"/>
              <w:left w:val="single" w:sz="6" w:space="0" w:color="000000"/>
              <w:bottom w:val="single" w:sz="6" w:space="0" w:color="000000"/>
              <w:right w:val="single" w:sz="6" w:space="0" w:color="000000"/>
            </w:tcBorders>
            <w:hideMark/>
          </w:tcPr>
          <w:p w14:paraId="4DA11F22" w14:textId="79D22747" w:rsidR="00D93616" w:rsidRPr="00D43281" w:rsidRDefault="0025754F" w:rsidP="00EC6123">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b/>
                <w:bCs/>
                <w:sz w:val="24"/>
                <w:szCs w:val="24"/>
                <w:lang w:val="ru-RU" w:eastAsia="ro-MD"/>
              </w:rPr>
              <w:t>Фактор: надежность спонсора (включая государственно-частные партнерства).</w:t>
            </w:r>
          </w:p>
        </w:tc>
        <w:tc>
          <w:tcPr>
            <w:tcW w:w="943" w:type="pct"/>
            <w:tcBorders>
              <w:top w:val="single" w:sz="6" w:space="0" w:color="000000"/>
              <w:left w:val="single" w:sz="6" w:space="0" w:color="000000"/>
              <w:bottom w:val="single" w:sz="6" w:space="0" w:color="000000"/>
              <w:right w:val="single" w:sz="6" w:space="0" w:color="000000"/>
            </w:tcBorders>
            <w:hideMark/>
          </w:tcPr>
          <w:p w14:paraId="39344B5F"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857" w:type="pct"/>
            <w:tcBorders>
              <w:top w:val="single" w:sz="6" w:space="0" w:color="000000"/>
              <w:left w:val="single" w:sz="6" w:space="0" w:color="000000"/>
              <w:bottom w:val="single" w:sz="6" w:space="0" w:color="000000"/>
              <w:right w:val="single" w:sz="6" w:space="0" w:color="000000"/>
            </w:tcBorders>
            <w:hideMark/>
          </w:tcPr>
          <w:p w14:paraId="263C4432"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7110ECFB"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31604994"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w:t>
            </w:r>
          </w:p>
        </w:tc>
      </w:tr>
      <w:tr w:rsidR="0073659E" w:rsidRPr="00D43281" w14:paraId="158B514E" w14:textId="77777777" w:rsidTr="00FC1FB1">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546"/>
            </w:tblGrid>
            <w:tr w:rsidR="00D93616" w:rsidRPr="00D43281" w14:paraId="63429ABD" w14:textId="77777777" w:rsidTr="00DF083B">
              <w:tc>
                <w:tcPr>
                  <w:tcW w:w="0" w:type="auto"/>
                  <w:hideMark/>
                </w:tcPr>
                <w:p w14:paraId="784C8BAC" w14:textId="2767DCA0" w:rsidR="00D93616" w:rsidRPr="00D43281" w:rsidRDefault="00DB5227" w:rsidP="00EC6123">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1.</w:t>
                  </w:r>
                </w:p>
              </w:tc>
              <w:tc>
                <w:tcPr>
                  <w:tcW w:w="0" w:type="auto"/>
                  <w:hideMark/>
                </w:tcPr>
                <w:p w14:paraId="2B9737C0" w14:textId="7AA31948" w:rsidR="00D93616" w:rsidRPr="00D43281" w:rsidRDefault="0025754F" w:rsidP="00EC6123">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финансовая устойчивость трейдера</w:t>
                  </w:r>
                </w:p>
              </w:tc>
            </w:tr>
          </w:tbl>
          <w:p w14:paraId="0D372446" w14:textId="77777777" w:rsidR="00D93616" w:rsidRPr="00D43281" w:rsidRDefault="00D93616" w:rsidP="00EC6123">
            <w:pPr>
              <w:spacing w:after="0" w:line="240" w:lineRule="auto"/>
              <w:rPr>
                <w:rFonts w:ascii="Times New Roman" w:eastAsia="Times New Roman" w:hAnsi="Times New Roman" w:cs="Times New Roman"/>
                <w:sz w:val="24"/>
                <w:szCs w:val="24"/>
                <w:lang w:val="ru-RU" w:eastAsia="ro-MD"/>
              </w:rPr>
            </w:pPr>
          </w:p>
        </w:tc>
        <w:tc>
          <w:tcPr>
            <w:tcW w:w="943" w:type="pct"/>
            <w:tcBorders>
              <w:top w:val="single" w:sz="6" w:space="0" w:color="000000"/>
              <w:left w:val="single" w:sz="6" w:space="0" w:color="000000"/>
              <w:bottom w:val="single" w:sz="6" w:space="0" w:color="000000"/>
              <w:right w:val="single" w:sz="6" w:space="0" w:color="000000"/>
            </w:tcBorders>
            <w:hideMark/>
          </w:tcPr>
          <w:p w14:paraId="17773C37" w14:textId="0B96B4C7" w:rsidR="00D93616" w:rsidRPr="00D43281" w:rsidRDefault="00F15920"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Очень высокая, учитывая торговую философию и связанные с ней риски</w:t>
            </w:r>
          </w:p>
        </w:tc>
        <w:tc>
          <w:tcPr>
            <w:tcW w:w="857" w:type="pct"/>
            <w:tcBorders>
              <w:top w:val="single" w:sz="6" w:space="0" w:color="000000"/>
              <w:left w:val="single" w:sz="6" w:space="0" w:color="000000"/>
              <w:bottom w:val="single" w:sz="6" w:space="0" w:color="000000"/>
              <w:right w:val="single" w:sz="6" w:space="0" w:color="000000"/>
            </w:tcBorders>
            <w:hideMark/>
          </w:tcPr>
          <w:p w14:paraId="544DD8F4" w14:textId="67B5582C" w:rsidR="00D93616" w:rsidRPr="00D43281" w:rsidRDefault="00F15920"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Высокая</w:t>
            </w:r>
          </w:p>
        </w:tc>
        <w:tc>
          <w:tcPr>
            <w:tcW w:w="0" w:type="auto"/>
            <w:tcBorders>
              <w:top w:val="single" w:sz="6" w:space="0" w:color="000000"/>
              <w:left w:val="single" w:sz="6" w:space="0" w:color="000000"/>
              <w:bottom w:val="single" w:sz="6" w:space="0" w:color="000000"/>
              <w:right w:val="single" w:sz="6" w:space="0" w:color="000000"/>
            </w:tcBorders>
            <w:hideMark/>
          </w:tcPr>
          <w:p w14:paraId="4988F3B7" w14:textId="7697258C" w:rsidR="00D93616" w:rsidRPr="00D43281" w:rsidRDefault="00F15920"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Удовлетворительная</w:t>
            </w:r>
          </w:p>
        </w:tc>
        <w:tc>
          <w:tcPr>
            <w:tcW w:w="0" w:type="auto"/>
            <w:tcBorders>
              <w:top w:val="single" w:sz="6" w:space="0" w:color="000000"/>
              <w:left w:val="single" w:sz="6" w:space="0" w:color="000000"/>
              <w:bottom w:val="single" w:sz="6" w:space="0" w:color="000000"/>
              <w:right w:val="single" w:sz="6" w:space="0" w:color="000000"/>
            </w:tcBorders>
            <w:hideMark/>
          </w:tcPr>
          <w:p w14:paraId="25FA7C9D" w14:textId="6D8B15CA" w:rsidR="00D93616" w:rsidRPr="00D43281" w:rsidRDefault="00F15920"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Неудовлетворительная</w:t>
            </w:r>
          </w:p>
        </w:tc>
      </w:tr>
      <w:tr w:rsidR="0073659E" w:rsidRPr="00D43281" w14:paraId="273ACB40" w14:textId="77777777" w:rsidTr="00FC1FB1">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546"/>
            </w:tblGrid>
            <w:tr w:rsidR="00D93616" w:rsidRPr="00D43281" w14:paraId="2DE2115C" w14:textId="77777777" w:rsidTr="00DF083B">
              <w:tc>
                <w:tcPr>
                  <w:tcW w:w="0" w:type="auto"/>
                  <w:hideMark/>
                </w:tcPr>
                <w:p w14:paraId="1CBACEA4" w14:textId="4DCC129B" w:rsidR="00D93616" w:rsidRPr="00D43281" w:rsidRDefault="00DB5227" w:rsidP="00EC6123">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2.</w:t>
                  </w:r>
                </w:p>
              </w:tc>
              <w:tc>
                <w:tcPr>
                  <w:tcW w:w="0" w:type="auto"/>
                  <w:hideMark/>
                </w:tcPr>
                <w:p w14:paraId="459630FC" w14:textId="271EA8C4" w:rsidR="00D93616" w:rsidRPr="00D43281" w:rsidRDefault="00670E2F" w:rsidP="00EC6123">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xml:space="preserve">: опыт, включая умение управлять </w:t>
                  </w:r>
                  <w:r w:rsidRPr="00D43281">
                    <w:rPr>
                      <w:rFonts w:ascii="Times New Roman" w:eastAsia="Times New Roman" w:hAnsi="Times New Roman" w:cs="Times New Roman"/>
                      <w:sz w:val="24"/>
                      <w:szCs w:val="24"/>
                      <w:lang w:val="ru-MD" w:eastAsia="ro-MD"/>
                    </w:rPr>
                    <w:lastRenderedPageBreak/>
                    <w:t>логистическим процессом</w:t>
                  </w:r>
                </w:p>
              </w:tc>
            </w:tr>
          </w:tbl>
          <w:p w14:paraId="54C0B9C8" w14:textId="77777777" w:rsidR="00D93616" w:rsidRPr="00D43281" w:rsidRDefault="00D93616" w:rsidP="00EC6123">
            <w:pPr>
              <w:spacing w:after="0" w:line="240" w:lineRule="auto"/>
              <w:rPr>
                <w:rFonts w:ascii="Times New Roman" w:eastAsia="Times New Roman" w:hAnsi="Times New Roman" w:cs="Times New Roman"/>
                <w:sz w:val="24"/>
                <w:szCs w:val="24"/>
                <w:lang w:val="ru-MD" w:eastAsia="ro-MD"/>
              </w:rPr>
            </w:pPr>
          </w:p>
        </w:tc>
        <w:tc>
          <w:tcPr>
            <w:tcW w:w="943" w:type="pct"/>
            <w:tcBorders>
              <w:top w:val="single" w:sz="6" w:space="0" w:color="000000"/>
              <w:left w:val="single" w:sz="6" w:space="0" w:color="000000"/>
              <w:bottom w:val="single" w:sz="6" w:space="0" w:color="000000"/>
              <w:right w:val="single" w:sz="6" w:space="0" w:color="000000"/>
            </w:tcBorders>
            <w:hideMark/>
          </w:tcPr>
          <w:p w14:paraId="00A412D0" w14:textId="3DEA8E6E" w:rsidR="00D93616" w:rsidRPr="00D43281" w:rsidRDefault="00670E2F"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Обширный опыт в проведении сделок данного типа. Успешный опыт, </w:t>
            </w:r>
            <w:r w:rsidRPr="00D43281">
              <w:rPr>
                <w:rFonts w:ascii="Times New Roman" w:eastAsia="Times New Roman" w:hAnsi="Times New Roman" w:cs="Times New Roman"/>
                <w:sz w:val="24"/>
                <w:szCs w:val="24"/>
                <w:lang w:val="ru-MD" w:eastAsia="ro-MD"/>
              </w:rPr>
              <w:lastRenderedPageBreak/>
              <w:t>демонстрирующий высокий уровень операционной эффективности и экономичности.</w:t>
            </w:r>
          </w:p>
        </w:tc>
        <w:tc>
          <w:tcPr>
            <w:tcW w:w="857" w:type="pct"/>
            <w:tcBorders>
              <w:top w:val="single" w:sz="6" w:space="0" w:color="000000"/>
              <w:left w:val="single" w:sz="6" w:space="0" w:color="000000"/>
              <w:bottom w:val="single" w:sz="6" w:space="0" w:color="000000"/>
              <w:right w:val="single" w:sz="6" w:space="0" w:color="000000"/>
            </w:tcBorders>
            <w:hideMark/>
          </w:tcPr>
          <w:p w14:paraId="31727148" w14:textId="15D67AD1" w:rsidR="00D93616" w:rsidRPr="00D43281" w:rsidRDefault="00670E2F"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Достаточный опыт в проведении сделок данного типа. Послужной </w:t>
            </w:r>
            <w:r w:rsidRPr="00D43281">
              <w:rPr>
                <w:rFonts w:ascii="Times New Roman" w:eastAsia="Times New Roman" w:hAnsi="Times New Roman" w:cs="Times New Roman"/>
                <w:sz w:val="24"/>
                <w:szCs w:val="24"/>
                <w:lang w:val="ru-MD" w:eastAsia="ro-MD"/>
              </w:rPr>
              <w:lastRenderedPageBreak/>
              <w:t>список, демонстрирующий операционный успех и эффективность затрат выше среднего уровня.</w:t>
            </w:r>
          </w:p>
        </w:tc>
        <w:tc>
          <w:tcPr>
            <w:tcW w:w="0" w:type="auto"/>
            <w:tcBorders>
              <w:top w:val="single" w:sz="6" w:space="0" w:color="000000"/>
              <w:left w:val="single" w:sz="6" w:space="0" w:color="000000"/>
              <w:bottom w:val="single" w:sz="6" w:space="0" w:color="000000"/>
              <w:right w:val="single" w:sz="6" w:space="0" w:color="000000"/>
            </w:tcBorders>
            <w:hideMark/>
          </w:tcPr>
          <w:p w14:paraId="0E70A815" w14:textId="2ACE0FAC" w:rsidR="00D93616" w:rsidRPr="00D43281" w:rsidRDefault="00670E2F"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Ограниченный опыт работы с подобными сделками. История </w:t>
            </w:r>
            <w:r w:rsidRPr="00D43281">
              <w:rPr>
                <w:rFonts w:ascii="Times New Roman" w:eastAsia="Times New Roman" w:hAnsi="Times New Roman" w:cs="Times New Roman"/>
                <w:sz w:val="24"/>
                <w:szCs w:val="24"/>
                <w:lang w:val="ru-MD" w:eastAsia="ro-MD"/>
              </w:rPr>
              <w:lastRenderedPageBreak/>
              <w:t>показывает средний уровень операционной успешности и эффективности затрат.</w:t>
            </w:r>
          </w:p>
        </w:tc>
        <w:tc>
          <w:tcPr>
            <w:tcW w:w="0" w:type="auto"/>
            <w:tcBorders>
              <w:top w:val="single" w:sz="6" w:space="0" w:color="000000"/>
              <w:left w:val="single" w:sz="6" w:space="0" w:color="000000"/>
              <w:bottom w:val="single" w:sz="6" w:space="0" w:color="000000"/>
              <w:right w:val="single" w:sz="6" w:space="0" w:color="000000"/>
            </w:tcBorders>
            <w:hideMark/>
          </w:tcPr>
          <w:p w14:paraId="7391783E" w14:textId="77777777" w:rsidR="0001594D" w:rsidRPr="00D43281" w:rsidRDefault="0001594D" w:rsidP="0001594D">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История, как правило, ограничена или неопределенна.</w:t>
            </w:r>
          </w:p>
          <w:p w14:paraId="12ECF334" w14:textId="2EBEEA38" w:rsidR="00D93616" w:rsidRPr="00D43281" w:rsidRDefault="0001594D" w:rsidP="0001594D">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 xml:space="preserve"> Затраты и прибыль нестабильны.</w:t>
            </w:r>
          </w:p>
        </w:tc>
      </w:tr>
      <w:tr w:rsidR="0073659E" w:rsidRPr="00D43281" w14:paraId="5CA2BBBC" w14:textId="77777777" w:rsidTr="00FC1FB1">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546"/>
            </w:tblGrid>
            <w:tr w:rsidR="00D93616" w:rsidRPr="00D43281" w14:paraId="5BE51E5A" w14:textId="77777777" w:rsidTr="00DF083B">
              <w:tc>
                <w:tcPr>
                  <w:tcW w:w="0" w:type="auto"/>
                  <w:hideMark/>
                </w:tcPr>
                <w:p w14:paraId="15941EAC" w14:textId="0B1ABA3D" w:rsidR="00D93616" w:rsidRPr="00D43281" w:rsidRDefault="00DB5227" w:rsidP="00EC6123">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lastRenderedPageBreak/>
                    <w:t>3.</w:t>
                  </w:r>
                </w:p>
              </w:tc>
              <w:tc>
                <w:tcPr>
                  <w:tcW w:w="0" w:type="auto"/>
                  <w:hideMark/>
                </w:tcPr>
                <w:p w14:paraId="6E696218" w14:textId="5D87AE90" w:rsidR="00D93616" w:rsidRPr="00D43281" w:rsidRDefault="00C9521F" w:rsidP="00EC6123">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контроль за торговыми операциями и политика хеджирования</w:t>
                  </w:r>
                </w:p>
              </w:tc>
            </w:tr>
          </w:tbl>
          <w:p w14:paraId="7FCA4D04" w14:textId="77777777" w:rsidR="00D93616" w:rsidRPr="00D43281" w:rsidRDefault="00D93616" w:rsidP="00EC6123">
            <w:pPr>
              <w:spacing w:after="0" w:line="240" w:lineRule="auto"/>
              <w:rPr>
                <w:rFonts w:ascii="Times New Roman" w:eastAsia="Times New Roman" w:hAnsi="Times New Roman" w:cs="Times New Roman"/>
                <w:sz w:val="24"/>
                <w:szCs w:val="24"/>
                <w:lang w:val="ru-MD" w:eastAsia="ro-MD"/>
              </w:rPr>
            </w:pPr>
          </w:p>
        </w:tc>
        <w:tc>
          <w:tcPr>
            <w:tcW w:w="943" w:type="pct"/>
            <w:tcBorders>
              <w:top w:val="single" w:sz="6" w:space="0" w:color="000000"/>
              <w:left w:val="single" w:sz="6" w:space="0" w:color="000000"/>
              <w:bottom w:val="single" w:sz="6" w:space="0" w:color="000000"/>
              <w:right w:val="single" w:sz="6" w:space="0" w:color="000000"/>
            </w:tcBorders>
            <w:hideMark/>
          </w:tcPr>
          <w:p w14:paraId="0EF988FE" w14:textId="15D2B83B" w:rsidR="00D93616" w:rsidRPr="00D43281" w:rsidRDefault="00C9521F"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Строгие стандарты отбора контрагентов, хеджирования и мониторинга.</w:t>
            </w:r>
          </w:p>
        </w:tc>
        <w:tc>
          <w:tcPr>
            <w:tcW w:w="857" w:type="pct"/>
            <w:tcBorders>
              <w:top w:val="single" w:sz="6" w:space="0" w:color="000000"/>
              <w:left w:val="single" w:sz="6" w:space="0" w:color="000000"/>
              <w:bottom w:val="single" w:sz="6" w:space="0" w:color="000000"/>
              <w:right w:val="single" w:sz="6" w:space="0" w:color="000000"/>
            </w:tcBorders>
            <w:hideMark/>
          </w:tcPr>
          <w:p w14:paraId="1609398A" w14:textId="17BF0C46" w:rsidR="00D93616" w:rsidRPr="00D43281" w:rsidRDefault="00C9521F"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Надлежащие стандарты для выбора контрагентов, хеджирования и мониторинга.</w:t>
            </w:r>
          </w:p>
        </w:tc>
        <w:tc>
          <w:tcPr>
            <w:tcW w:w="0" w:type="auto"/>
            <w:tcBorders>
              <w:top w:val="single" w:sz="6" w:space="0" w:color="000000"/>
              <w:left w:val="single" w:sz="6" w:space="0" w:color="000000"/>
              <w:bottom w:val="single" w:sz="6" w:space="0" w:color="000000"/>
              <w:right w:val="single" w:sz="6" w:space="0" w:color="000000"/>
            </w:tcBorders>
            <w:hideMark/>
          </w:tcPr>
          <w:p w14:paraId="7AF11E9F" w14:textId="191B98F6" w:rsidR="00D93616" w:rsidRPr="00D43281" w:rsidRDefault="00C9521F"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Предыдущие сделки не сопровождались проблемами или сопровождались незначительными неполадками.</w:t>
            </w:r>
          </w:p>
        </w:tc>
        <w:tc>
          <w:tcPr>
            <w:tcW w:w="0" w:type="auto"/>
            <w:tcBorders>
              <w:top w:val="single" w:sz="6" w:space="0" w:color="000000"/>
              <w:left w:val="single" w:sz="6" w:space="0" w:color="000000"/>
              <w:bottom w:val="single" w:sz="6" w:space="0" w:color="000000"/>
              <w:right w:val="single" w:sz="6" w:space="0" w:color="000000"/>
            </w:tcBorders>
            <w:hideMark/>
          </w:tcPr>
          <w:p w14:paraId="0F30C282" w14:textId="2140EBB7" w:rsidR="00D93616" w:rsidRPr="00D43281" w:rsidRDefault="00697619"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Трейдер понес значительные убытки в предыдущих сделках.</w:t>
            </w:r>
          </w:p>
        </w:tc>
      </w:tr>
      <w:tr w:rsidR="0073659E" w:rsidRPr="00D43281" w14:paraId="03F6B261" w14:textId="77777777" w:rsidTr="00FC1FB1">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546"/>
            </w:tblGrid>
            <w:tr w:rsidR="00D93616" w:rsidRPr="00D43281" w14:paraId="7B3ABA9D" w14:textId="77777777" w:rsidTr="00DF083B">
              <w:tc>
                <w:tcPr>
                  <w:tcW w:w="0" w:type="auto"/>
                  <w:hideMark/>
                </w:tcPr>
                <w:p w14:paraId="6A08F236" w14:textId="19273DF2" w:rsidR="00D93616" w:rsidRPr="00D43281" w:rsidRDefault="00DB5227" w:rsidP="00EC6123">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4.</w:t>
                  </w:r>
                </w:p>
              </w:tc>
              <w:tc>
                <w:tcPr>
                  <w:tcW w:w="0" w:type="auto"/>
                  <w:hideMark/>
                </w:tcPr>
                <w:p w14:paraId="7440F66D" w14:textId="6D2C563E" w:rsidR="00D93616" w:rsidRPr="00D43281" w:rsidRDefault="00697619" w:rsidP="00EC6123">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качество финансовой информации</w:t>
                  </w:r>
                </w:p>
              </w:tc>
            </w:tr>
          </w:tbl>
          <w:p w14:paraId="17162587" w14:textId="77777777" w:rsidR="00D93616" w:rsidRPr="00D43281" w:rsidRDefault="00D93616" w:rsidP="00EC6123">
            <w:pPr>
              <w:spacing w:after="0" w:line="240" w:lineRule="auto"/>
              <w:rPr>
                <w:rFonts w:ascii="Times New Roman" w:eastAsia="Times New Roman" w:hAnsi="Times New Roman" w:cs="Times New Roman"/>
                <w:sz w:val="24"/>
                <w:szCs w:val="24"/>
                <w:lang w:val="ru-MD" w:eastAsia="ro-MD"/>
              </w:rPr>
            </w:pPr>
          </w:p>
        </w:tc>
        <w:tc>
          <w:tcPr>
            <w:tcW w:w="943" w:type="pct"/>
            <w:tcBorders>
              <w:top w:val="single" w:sz="6" w:space="0" w:color="000000"/>
              <w:left w:val="single" w:sz="6" w:space="0" w:color="000000"/>
              <w:bottom w:val="single" w:sz="6" w:space="0" w:color="000000"/>
              <w:right w:val="single" w:sz="6" w:space="0" w:color="000000"/>
            </w:tcBorders>
            <w:hideMark/>
          </w:tcPr>
          <w:p w14:paraId="47AA75B3" w14:textId="1481FE33" w:rsidR="00D93616" w:rsidRPr="00D43281" w:rsidRDefault="00067F9A"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Отлично</w:t>
            </w:r>
          </w:p>
        </w:tc>
        <w:tc>
          <w:tcPr>
            <w:tcW w:w="857" w:type="pct"/>
            <w:tcBorders>
              <w:top w:val="single" w:sz="6" w:space="0" w:color="000000"/>
              <w:left w:val="single" w:sz="6" w:space="0" w:color="000000"/>
              <w:bottom w:val="single" w:sz="6" w:space="0" w:color="000000"/>
              <w:right w:val="single" w:sz="6" w:space="0" w:color="000000"/>
            </w:tcBorders>
            <w:hideMark/>
          </w:tcPr>
          <w:p w14:paraId="71721CB5" w14:textId="2F2B678E" w:rsidR="00D93616" w:rsidRPr="00D43281" w:rsidRDefault="00067F9A"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Хорошо</w:t>
            </w:r>
          </w:p>
        </w:tc>
        <w:tc>
          <w:tcPr>
            <w:tcW w:w="0" w:type="auto"/>
            <w:tcBorders>
              <w:top w:val="single" w:sz="6" w:space="0" w:color="000000"/>
              <w:left w:val="single" w:sz="6" w:space="0" w:color="000000"/>
              <w:bottom w:val="single" w:sz="6" w:space="0" w:color="000000"/>
              <w:right w:val="single" w:sz="6" w:space="0" w:color="000000"/>
            </w:tcBorders>
            <w:hideMark/>
          </w:tcPr>
          <w:p w14:paraId="41C42CF0" w14:textId="7BDBDA00" w:rsidR="00D93616" w:rsidRPr="00D43281" w:rsidRDefault="00067F9A"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Удовлетворительно</w:t>
            </w:r>
          </w:p>
        </w:tc>
        <w:tc>
          <w:tcPr>
            <w:tcW w:w="0" w:type="auto"/>
            <w:tcBorders>
              <w:top w:val="single" w:sz="6" w:space="0" w:color="000000"/>
              <w:left w:val="single" w:sz="6" w:space="0" w:color="000000"/>
              <w:bottom w:val="single" w:sz="6" w:space="0" w:color="000000"/>
              <w:right w:val="single" w:sz="6" w:space="0" w:color="000000"/>
            </w:tcBorders>
            <w:hideMark/>
          </w:tcPr>
          <w:p w14:paraId="1DFCBD4B" w14:textId="0924E891" w:rsidR="00D93616" w:rsidRPr="00D43281" w:rsidRDefault="00154FED"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Финансовая информация содержит некоторые неопределенности или является недостаточной</w:t>
            </w:r>
          </w:p>
        </w:tc>
      </w:tr>
      <w:tr w:rsidR="0073659E" w:rsidRPr="00D43281" w14:paraId="62964E20" w14:textId="77777777" w:rsidTr="00FC1FB1">
        <w:tc>
          <w:tcPr>
            <w:tcW w:w="0" w:type="auto"/>
            <w:tcBorders>
              <w:top w:val="single" w:sz="6" w:space="0" w:color="000000"/>
              <w:left w:val="single" w:sz="6" w:space="0" w:color="000000"/>
              <w:bottom w:val="single" w:sz="6" w:space="0" w:color="000000"/>
              <w:right w:val="single" w:sz="6" w:space="0" w:color="000000"/>
            </w:tcBorders>
            <w:hideMark/>
          </w:tcPr>
          <w:p w14:paraId="2A25D555" w14:textId="5E4A1A7F" w:rsidR="00D93616" w:rsidRPr="00D43281" w:rsidRDefault="00442D53"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b/>
                <w:bCs/>
                <w:sz w:val="24"/>
                <w:szCs w:val="24"/>
                <w:lang w:val="ru-MD" w:eastAsia="ro-MD"/>
              </w:rPr>
              <w:t>Фактор: гарантийные механизмы</w:t>
            </w:r>
          </w:p>
        </w:tc>
        <w:tc>
          <w:tcPr>
            <w:tcW w:w="943" w:type="pct"/>
            <w:tcBorders>
              <w:top w:val="single" w:sz="6" w:space="0" w:color="000000"/>
              <w:left w:val="single" w:sz="6" w:space="0" w:color="000000"/>
              <w:bottom w:val="single" w:sz="6" w:space="0" w:color="000000"/>
              <w:right w:val="single" w:sz="6" w:space="0" w:color="000000"/>
            </w:tcBorders>
            <w:hideMark/>
          </w:tcPr>
          <w:p w14:paraId="0875EA29"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857" w:type="pct"/>
            <w:tcBorders>
              <w:top w:val="single" w:sz="6" w:space="0" w:color="000000"/>
              <w:left w:val="single" w:sz="6" w:space="0" w:color="000000"/>
              <w:bottom w:val="single" w:sz="6" w:space="0" w:color="000000"/>
              <w:right w:val="single" w:sz="6" w:space="0" w:color="000000"/>
            </w:tcBorders>
            <w:hideMark/>
          </w:tcPr>
          <w:p w14:paraId="2EA4D6ED"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04D60623"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c>
          <w:tcPr>
            <w:tcW w:w="0" w:type="auto"/>
            <w:tcBorders>
              <w:top w:val="single" w:sz="6" w:space="0" w:color="000000"/>
              <w:left w:val="single" w:sz="6" w:space="0" w:color="000000"/>
              <w:bottom w:val="single" w:sz="6" w:space="0" w:color="000000"/>
              <w:right w:val="single" w:sz="6" w:space="0" w:color="000000"/>
            </w:tcBorders>
            <w:hideMark/>
          </w:tcPr>
          <w:p w14:paraId="21B61D7F" w14:textId="77777777" w:rsidR="00D93616" w:rsidRPr="00D43281" w:rsidRDefault="00D93616" w:rsidP="00DF083B">
            <w:pPr>
              <w:spacing w:before="120" w:after="0" w:line="240" w:lineRule="auto"/>
              <w:jc w:val="both"/>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 </w:t>
            </w:r>
          </w:p>
        </w:tc>
      </w:tr>
      <w:tr w:rsidR="0073659E" w:rsidRPr="00D43281" w14:paraId="3510CDFE" w14:textId="77777777" w:rsidTr="00FC1FB1">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546"/>
            </w:tblGrid>
            <w:tr w:rsidR="00D93616" w:rsidRPr="00D43281" w14:paraId="34FA046B" w14:textId="77777777" w:rsidTr="00DF083B">
              <w:tc>
                <w:tcPr>
                  <w:tcW w:w="0" w:type="auto"/>
                  <w:hideMark/>
                </w:tcPr>
                <w:p w14:paraId="3B401C49" w14:textId="3F727A4F" w:rsidR="00D93616" w:rsidRPr="00D43281" w:rsidRDefault="00DB5227" w:rsidP="00EC6123">
                  <w:pPr>
                    <w:spacing w:before="120" w:after="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1.</w:t>
                  </w:r>
                </w:p>
              </w:tc>
              <w:tc>
                <w:tcPr>
                  <w:tcW w:w="0" w:type="auto"/>
                  <w:hideMark/>
                </w:tcPr>
                <w:p w14:paraId="2589DD42" w14:textId="4FABA287" w:rsidR="00D93616" w:rsidRPr="00D43281" w:rsidRDefault="00442D53" w:rsidP="00EC6123">
                  <w:pPr>
                    <w:spacing w:before="120" w:after="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Подфактор</w:t>
                  </w:r>
                  <w:proofErr w:type="spellEnd"/>
                  <w:r w:rsidRPr="00D43281">
                    <w:rPr>
                      <w:rFonts w:ascii="Times New Roman" w:eastAsia="Times New Roman" w:hAnsi="Times New Roman" w:cs="Times New Roman"/>
                      <w:sz w:val="24"/>
                      <w:szCs w:val="24"/>
                      <w:lang w:val="ru-MD" w:eastAsia="ro-MD"/>
                    </w:rPr>
                    <w:t>: контроль активов</w:t>
                  </w:r>
                </w:p>
              </w:tc>
            </w:tr>
          </w:tbl>
          <w:p w14:paraId="768855BC" w14:textId="77777777" w:rsidR="00D93616" w:rsidRPr="00D43281" w:rsidRDefault="00D93616" w:rsidP="00EC6123">
            <w:pPr>
              <w:spacing w:after="0" w:line="240" w:lineRule="auto"/>
              <w:rPr>
                <w:rFonts w:ascii="Times New Roman" w:eastAsia="Times New Roman" w:hAnsi="Times New Roman" w:cs="Times New Roman"/>
                <w:sz w:val="24"/>
                <w:szCs w:val="24"/>
                <w:lang w:val="ru-MD" w:eastAsia="ro-MD"/>
              </w:rPr>
            </w:pPr>
          </w:p>
        </w:tc>
        <w:tc>
          <w:tcPr>
            <w:tcW w:w="943" w:type="pct"/>
            <w:tcBorders>
              <w:top w:val="single" w:sz="6" w:space="0" w:color="000000"/>
              <w:left w:val="single" w:sz="6" w:space="0" w:color="000000"/>
              <w:bottom w:val="single" w:sz="6" w:space="0" w:color="000000"/>
              <w:right w:val="single" w:sz="6" w:space="0" w:color="000000"/>
            </w:tcBorders>
            <w:hideMark/>
          </w:tcPr>
          <w:p w14:paraId="674DF778" w14:textId="5813F619" w:rsidR="00D93616" w:rsidRPr="00D43281" w:rsidRDefault="0073659E" w:rsidP="00DF083B">
            <w:pPr>
              <w:spacing w:before="60" w:after="6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Противопоставимое</w:t>
            </w:r>
            <w:proofErr w:type="spellEnd"/>
            <w:r w:rsidRPr="00D43281">
              <w:rPr>
                <w:rFonts w:ascii="Times New Roman" w:eastAsia="Times New Roman" w:hAnsi="Times New Roman" w:cs="Times New Roman"/>
                <w:sz w:val="24"/>
                <w:szCs w:val="24"/>
                <w:lang w:val="ru-MD" w:eastAsia="ro-MD"/>
              </w:rPr>
              <w:t xml:space="preserve"> первоочередное обеспечение предоставляет кредитору юридический контроль над активами в любое время, если это необходимо.</w:t>
            </w:r>
          </w:p>
        </w:tc>
        <w:tc>
          <w:tcPr>
            <w:tcW w:w="857" w:type="pct"/>
            <w:tcBorders>
              <w:top w:val="single" w:sz="6" w:space="0" w:color="000000"/>
              <w:left w:val="single" w:sz="6" w:space="0" w:color="000000"/>
              <w:bottom w:val="single" w:sz="6" w:space="0" w:color="000000"/>
              <w:right w:val="single" w:sz="6" w:space="0" w:color="000000"/>
            </w:tcBorders>
            <w:hideMark/>
          </w:tcPr>
          <w:p w14:paraId="351B9F45" w14:textId="157CC6A9" w:rsidR="00D93616" w:rsidRPr="00D43281" w:rsidRDefault="0073659E" w:rsidP="00DF083B">
            <w:pPr>
              <w:spacing w:before="60" w:after="60" w:line="240" w:lineRule="auto"/>
              <w:rPr>
                <w:rFonts w:ascii="Times New Roman" w:eastAsia="Times New Roman" w:hAnsi="Times New Roman" w:cs="Times New Roman"/>
                <w:sz w:val="24"/>
                <w:szCs w:val="24"/>
                <w:lang w:val="ru-MD" w:eastAsia="ro-MD"/>
              </w:rPr>
            </w:pPr>
            <w:proofErr w:type="spellStart"/>
            <w:r w:rsidRPr="00D43281">
              <w:rPr>
                <w:rFonts w:ascii="Times New Roman" w:eastAsia="Times New Roman" w:hAnsi="Times New Roman" w:cs="Times New Roman"/>
                <w:sz w:val="24"/>
                <w:szCs w:val="24"/>
                <w:lang w:val="ru-MD" w:eastAsia="ro-MD"/>
              </w:rPr>
              <w:t>Противопоставимое</w:t>
            </w:r>
            <w:proofErr w:type="spellEnd"/>
            <w:r w:rsidRPr="00D43281">
              <w:rPr>
                <w:rFonts w:ascii="Times New Roman" w:eastAsia="Times New Roman" w:hAnsi="Times New Roman" w:cs="Times New Roman"/>
                <w:sz w:val="24"/>
                <w:szCs w:val="24"/>
                <w:lang w:val="ru-MD" w:eastAsia="ro-MD"/>
              </w:rPr>
              <w:t xml:space="preserve"> первоочередное обеспечение предоставляет кредитору юридический контроль над активами в любое время, если это необходимо.</w:t>
            </w:r>
          </w:p>
        </w:tc>
        <w:tc>
          <w:tcPr>
            <w:tcW w:w="0" w:type="auto"/>
            <w:tcBorders>
              <w:top w:val="single" w:sz="6" w:space="0" w:color="000000"/>
              <w:left w:val="single" w:sz="6" w:space="0" w:color="000000"/>
              <w:bottom w:val="single" w:sz="6" w:space="0" w:color="000000"/>
              <w:right w:val="single" w:sz="6" w:space="0" w:color="000000"/>
            </w:tcBorders>
            <w:hideMark/>
          </w:tcPr>
          <w:p w14:paraId="7FB9EA63" w14:textId="4DF7D455" w:rsidR="00D93616" w:rsidRPr="00D43281" w:rsidRDefault="0073659E"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На определенном этапе процесса кредитор теряет контроль над активами. Потеря контроля смягчается знанием процесса сделки или, в соответствующих случаях, принятием обязательств третьей стороной.</w:t>
            </w:r>
          </w:p>
        </w:tc>
        <w:tc>
          <w:tcPr>
            <w:tcW w:w="0" w:type="auto"/>
            <w:tcBorders>
              <w:top w:val="single" w:sz="6" w:space="0" w:color="000000"/>
              <w:left w:val="single" w:sz="6" w:space="0" w:color="000000"/>
              <w:bottom w:val="single" w:sz="6" w:space="0" w:color="000000"/>
              <w:right w:val="single" w:sz="6" w:space="0" w:color="000000"/>
            </w:tcBorders>
            <w:hideMark/>
          </w:tcPr>
          <w:p w14:paraId="1A61CD61" w14:textId="7795C447" w:rsidR="00D93616" w:rsidRPr="00D43281" w:rsidRDefault="00BF37F6" w:rsidP="00DF083B">
            <w:pPr>
              <w:spacing w:before="60" w:after="60" w:line="240" w:lineRule="auto"/>
              <w:rPr>
                <w:rFonts w:ascii="Times New Roman" w:eastAsia="Times New Roman" w:hAnsi="Times New Roman" w:cs="Times New Roman"/>
                <w:sz w:val="24"/>
                <w:szCs w:val="24"/>
                <w:lang w:val="ru-MD" w:eastAsia="ro-MD"/>
              </w:rPr>
            </w:pPr>
            <w:r w:rsidRPr="00D43281">
              <w:rPr>
                <w:rFonts w:ascii="Times New Roman" w:eastAsia="Times New Roman" w:hAnsi="Times New Roman" w:cs="Times New Roman"/>
                <w:sz w:val="24"/>
                <w:szCs w:val="24"/>
                <w:lang w:val="ru-MD" w:eastAsia="ro-MD"/>
              </w:rPr>
              <w:t>Контракт предусматривает определенный риск потери контроля над активами. Возврат средств может оказаться под угрозой.</w:t>
            </w:r>
          </w:p>
        </w:tc>
      </w:tr>
      <w:tr w:rsidR="0073659E" w:rsidRPr="00D43281" w14:paraId="431B3861" w14:textId="77777777" w:rsidTr="00FC1FB1">
        <w:tc>
          <w:tcPr>
            <w:tcW w:w="0" w:type="auto"/>
            <w:tcBorders>
              <w:top w:val="single" w:sz="6" w:space="0" w:color="000000"/>
              <w:left w:val="single" w:sz="6" w:space="0" w:color="000000"/>
              <w:bottom w:val="single" w:sz="6" w:space="0" w:color="000000"/>
              <w:right w:val="single" w:sz="6" w:space="0" w:color="000000"/>
            </w:tcBorders>
            <w:hideMark/>
          </w:tcPr>
          <w:tbl>
            <w:tblPr>
              <w:tblW w:w="5000" w:type="pct"/>
              <w:tblCellMar>
                <w:left w:w="0" w:type="dxa"/>
                <w:right w:w="0" w:type="dxa"/>
              </w:tblCellMar>
              <w:tblLook w:val="04A0" w:firstRow="1" w:lastRow="0" w:firstColumn="1" w:lastColumn="0" w:noHBand="0" w:noVBand="1"/>
            </w:tblPr>
            <w:tblGrid>
              <w:gridCol w:w="180"/>
              <w:gridCol w:w="1546"/>
            </w:tblGrid>
            <w:tr w:rsidR="00D93616" w:rsidRPr="00D43281" w14:paraId="73E241DE" w14:textId="77777777" w:rsidTr="00DF083B">
              <w:tc>
                <w:tcPr>
                  <w:tcW w:w="0" w:type="auto"/>
                  <w:hideMark/>
                </w:tcPr>
                <w:p w14:paraId="60BB5540" w14:textId="43F87E1C" w:rsidR="00D93616" w:rsidRPr="00D43281" w:rsidRDefault="00DB5227" w:rsidP="00EC6123">
                  <w:pPr>
                    <w:spacing w:before="120" w:after="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xml:space="preserve">2. </w:t>
                  </w:r>
                </w:p>
              </w:tc>
              <w:tc>
                <w:tcPr>
                  <w:tcW w:w="0" w:type="auto"/>
                  <w:hideMark/>
                </w:tcPr>
                <w:p w14:paraId="0DC25923" w14:textId="291D048B" w:rsidR="00D93616" w:rsidRPr="00D43281" w:rsidRDefault="00BF37F6" w:rsidP="00EC6123">
                  <w:pPr>
                    <w:spacing w:before="120" w:after="0" w:line="240" w:lineRule="auto"/>
                    <w:rPr>
                      <w:rFonts w:ascii="Times New Roman" w:eastAsia="Times New Roman" w:hAnsi="Times New Roman" w:cs="Times New Roman"/>
                      <w:sz w:val="24"/>
                      <w:szCs w:val="24"/>
                      <w:lang w:val="ru-RU" w:eastAsia="ro-MD"/>
                    </w:rPr>
                  </w:pPr>
                  <w:proofErr w:type="spellStart"/>
                  <w:r w:rsidRPr="00D43281">
                    <w:rPr>
                      <w:rFonts w:ascii="Times New Roman" w:eastAsia="Times New Roman" w:hAnsi="Times New Roman" w:cs="Times New Roman"/>
                      <w:sz w:val="24"/>
                      <w:szCs w:val="24"/>
                      <w:lang w:val="ru-RU" w:eastAsia="ro-MD"/>
                    </w:rPr>
                    <w:t>Подфактор</w:t>
                  </w:r>
                  <w:proofErr w:type="spellEnd"/>
                  <w:r w:rsidRPr="00D43281">
                    <w:rPr>
                      <w:rFonts w:ascii="Times New Roman" w:eastAsia="Times New Roman" w:hAnsi="Times New Roman" w:cs="Times New Roman"/>
                      <w:sz w:val="24"/>
                      <w:szCs w:val="24"/>
                      <w:lang w:val="ru-RU" w:eastAsia="ro-MD"/>
                    </w:rPr>
                    <w:t>: страхование от повреждений</w:t>
                  </w:r>
                </w:p>
              </w:tc>
            </w:tr>
          </w:tbl>
          <w:p w14:paraId="4A05DDA8" w14:textId="77777777" w:rsidR="00D93616" w:rsidRPr="00D43281" w:rsidRDefault="00D93616" w:rsidP="00EC6123">
            <w:pPr>
              <w:spacing w:after="0" w:line="240" w:lineRule="auto"/>
              <w:rPr>
                <w:rFonts w:ascii="Times New Roman" w:eastAsia="Times New Roman" w:hAnsi="Times New Roman" w:cs="Times New Roman"/>
                <w:sz w:val="24"/>
                <w:szCs w:val="24"/>
                <w:lang w:val="ru-RU" w:eastAsia="ro-MD"/>
              </w:rPr>
            </w:pPr>
          </w:p>
        </w:tc>
        <w:tc>
          <w:tcPr>
            <w:tcW w:w="943" w:type="pct"/>
            <w:tcBorders>
              <w:top w:val="single" w:sz="6" w:space="0" w:color="000000"/>
              <w:left w:val="single" w:sz="6" w:space="0" w:color="000000"/>
              <w:bottom w:val="single" w:sz="6" w:space="0" w:color="000000"/>
              <w:right w:val="single" w:sz="6" w:space="0" w:color="000000"/>
            </w:tcBorders>
            <w:hideMark/>
          </w:tcPr>
          <w:p w14:paraId="5E15412F" w14:textId="22A21852" w:rsidR="00D93616" w:rsidRPr="00D43281" w:rsidRDefault="000E426B"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t xml:space="preserve">Расширенное страховое покрытие, включая возмещение сопутствующего ущерба, в рамках договоров страхования, заключенных с лучшими </w:t>
            </w:r>
            <w:r w:rsidRPr="00D43281">
              <w:rPr>
                <w:rFonts w:ascii="Times New Roman" w:eastAsia="Times New Roman" w:hAnsi="Times New Roman" w:cs="Times New Roman"/>
                <w:sz w:val="24"/>
                <w:szCs w:val="24"/>
                <w:lang w:val="ru-RU" w:eastAsia="ro-MD"/>
              </w:rPr>
              <w:lastRenderedPageBreak/>
              <w:t>страховыми компаниями.</w:t>
            </w:r>
          </w:p>
        </w:tc>
        <w:tc>
          <w:tcPr>
            <w:tcW w:w="857" w:type="pct"/>
            <w:tcBorders>
              <w:top w:val="single" w:sz="6" w:space="0" w:color="000000"/>
              <w:left w:val="single" w:sz="6" w:space="0" w:color="000000"/>
              <w:bottom w:val="single" w:sz="6" w:space="0" w:color="000000"/>
              <w:right w:val="single" w:sz="6" w:space="0" w:color="000000"/>
            </w:tcBorders>
            <w:hideMark/>
          </w:tcPr>
          <w:p w14:paraId="70728907" w14:textId="0A47963B" w:rsidR="00D93616" w:rsidRPr="00D43281" w:rsidRDefault="000E426B"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 xml:space="preserve">Удовлетворительное страховое покрытие (за исключением сопутствующего ущерба) по договорам страхования, заключенным с надежными </w:t>
            </w:r>
            <w:r w:rsidRPr="00D43281">
              <w:rPr>
                <w:rFonts w:ascii="Times New Roman" w:eastAsia="Times New Roman" w:hAnsi="Times New Roman" w:cs="Times New Roman"/>
                <w:sz w:val="24"/>
                <w:szCs w:val="24"/>
                <w:lang w:val="ru-RU" w:eastAsia="ro-MD"/>
              </w:rPr>
              <w:lastRenderedPageBreak/>
              <w:t>страховыми компаниями.</w:t>
            </w:r>
          </w:p>
        </w:tc>
        <w:tc>
          <w:tcPr>
            <w:tcW w:w="0" w:type="auto"/>
            <w:tcBorders>
              <w:top w:val="single" w:sz="6" w:space="0" w:color="000000"/>
              <w:left w:val="single" w:sz="6" w:space="0" w:color="000000"/>
              <w:bottom w:val="single" w:sz="6" w:space="0" w:color="000000"/>
              <w:right w:val="single" w:sz="6" w:space="0" w:color="000000"/>
            </w:tcBorders>
            <w:hideMark/>
          </w:tcPr>
          <w:p w14:paraId="74FFD364" w14:textId="4CB2621A" w:rsidR="00D93616" w:rsidRPr="00D43281" w:rsidRDefault="007332E6"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 xml:space="preserve">Допустимое страховое покрытие (за исключением сопутствующего ущерба) по договорам страхования, заключенным со страховыми компаниями </w:t>
            </w:r>
            <w:r w:rsidRPr="00D43281">
              <w:rPr>
                <w:rFonts w:ascii="Times New Roman" w:eastAsia="Times New Roman" w:hAnsi="Times New Roman" w:cs="Times New Roman"/>
                <w:sz w:val="24"/>
                <w:szCs w:val="24"/>
                <w:lang w:val="ru-RU" w:eastAsia="ro-MD"/>
              </w:rPr>
              <w:lastRenderedPageBreak/>
              <w:t>приемлемого качества.</w:t>
            </w:r>
          </w:p>
        </w:tc>
        <w:tc>
          <w:tcPr>
            <w:tcW w:w="0" w:type="auto"/>
            <w:tcBorders>
              <w:top w:val="single" w:sz="6" w:space="0" w:color="000000"/>
              <w:left w:val="single" w:sz="6" w:space="0" w:color="000000"/>
              <w:bottom w:val="single" w:sz="6" w:space="0" w:color="000000"/>
              <w:right w:val="single" w:sz="6" w:space="0" w:color="000000"/>
            </w:tcBorders>
            <w:hideMark/>
          </w:tcPr>
          <w:p w14:paraId="155D9B4B" w14:textId="71AFA2D5" w:rsidR="00D93616" w:rsidRPr="00D43281" w:rsidRDefault="007332E6" w:rsidP="00DF083B">
            <w:pPr>
              <w:spacing w:before="60" w:after="60" w:line="240" w:lineRule="auto"/>
              <w:rPr>
                <w:rFonts w:ascii="Times New Roman" w:eastAsia="Times New Roman" w:hAnsi="Times New Roman" w:cs="Times New Roman"/>
                <w:sz w:val="24"/>
                <w:szCs w:val="24"/>
                <w:lang w:val="ru-RU" w:eastAsia="ro-MD"/>
              </w:rPr>
            </w:pPr>
            <w:r w:rsidRPr="00D43281">
              <w:rPr>
                <w:rFonts w:ascii="Times New Roman" w:eastAsia="Times New Roman" w:hAnsi="Times New Roman" w:cs="Times New Roman"/>
                <w:sz w:val="24"/>
                <w:szCs w:val="24"/>
                <w:lang w:val="ru-RU" w:eastAsia="ro-MD"/>
              </w:rPr>
              <w:lastRenderedPageBreak/>
              <w:t>Низкий уровень страхового покрытия (за исключением сопутствующего ущерба) по договорам страхования, заключенным с компаниями низкого качества.</w:t>
            </w:r>
          </w:p>
        </w:tc>
      </w:tr>
    </w:tbl>
    <w:p w14:paraId="5DC24E57" w14:textId="77777777" w:rsidR="00D93616" w:rsidRPr="00D43281" w:rsidRDefault="00D93616" w:rsidP="00D93616">
      <w:pPr>
        <w:rPr>
          <w:rFonts w:ascii="Times New Roman" w:hAnsi="Times New Roman" w:cs="Times New Roman"/>
          <w:sz w:val="24"/>
          <w:szCs w:val="24"/>
        </w:rPr>
      </w:pPr>
    </w:p>
    <w:p w14:paraId="6E95091C" w14:textId="77777777" w:rsidR="00FE4082" w:rsidRPr="00D43281" w:rsidRDefault="00FE4082" w:rsidP="00C37E52">
      <w:pPr>
        <w:pStyle w:val="ListParagraph"/>
        <w:shd w:val="clear" w:color="auto" w:fill="FFFFFF"/>
        <w:tabs>
          <w:tab w:val="left" w:pos="0"/>
        </w:tabs>
        <w:spacing w:before="60" w:after="0" w:line="240" w:lineRule="auto"/>
        <w:ind w:left="0"/>
        <w:jc w:val="center"/>
        <w:rPr>
          <w:rFonts w:ascii="Times New Roman" w:hAnsi="Times New Roman" w:cs="Times New Roman"/>
          <w:b/>
          <w:bCs/>
          <w:color w:val="000000" w:themeColor="text1"/>
          <w:sz w:val="24"/>
          <w:szCs w:val="24"/>
          <w:lang w:val="ro-RO"/>
        </w:rPr>
      </w:pPr>
    </w:p>
    <w:sectPr w:rsidR="00FE4082" w:rsidRPr="00D43281" w:rsidSect="0037200A">
      <w:headerReference w:type="default" r:id="rId15"/>
      <w:footerReference w:type="default" r:id="rId16"/>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E6C59F" w14:textId="77777777" w:rsidR="00124757" w:rsidRDefault="00124757" w:rsidP="004E0DE3">
      <w:pPr>
        <w:spacing w:after="0" w:line="240" w:lineRule="auto"/>
      </w:pPr>
      <w:r>
        <w:separator/>
      </w:r>
    </w:p>
  </w:endnote>
  <w:endnote w:type="continuationSeparator" w:id="0">
    <w:p w14:paraId="5E3B9846" w14:textId="77777777" w:rsidR="00124757" w:rsidRDefault="00124757" w:rsidP="004E0DE3">
      <w:pPr>
        <w:spacing w:after="0" w:line="240" w:lineRule="auto"/>
      </w:pPr>
      <w:r>
        <w:continuationSeparator/>
      </w:r>
    </w:p>
  </w:endnote>
  <w:endnote w:type="continuationNotice" w:id="1">
    <w:p w14:paraId="4F75251B" w14:textId="77777777" w:rsidR="00124757" w:rsidRDefault="0012475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Unicode MS">
    <w:altName w:val="Yu Gothic"/>
    <w:panose1 w:val="020B0604020202020204"/>
    <w:charset w:val="80"/>
    <w:family w:val="swiss"/>
    <w:pitch w:val="variable"/>
    <w:sig w:usb0="F7FFAEFF" w:usb1="F9DFFFFF" w:usb2="0000007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CF98C" w14:textId="0447ED32" w:rsidR="004E0DE3" w:rsidRPr="00506BD0" w:rsidRDefault="00000000">
    <w:pPr>
      <w:pStyle w:val="Footer"/>
      <w:jc w:val="right"/>
      <w:rPr>
        <w:rFonts w:ascii="Times New Roman" w:hAnsi="Times New Roman" w:cs="Times New Roman"/>
      </w:rPr>
    </w:pPr>
    <w:sdt>
      <w:sdtPr>
        <w:id w:val="620806644"/>
        <w:docPartObj>
          <w:docPartGallery w:val="Page Numbers (Bottom of Page)"/>
          <w:docPartUnique/>
        </w:docPartObj>
      </w:sdtPr>
      <w:sdtEndPr>
        <w:rPr>
          <w:rFonts w:ascii="Times New Roman" w:hAnsi="Times New Roman" w:cs="Times New Roman"/>
          <w:noProof/>
        </w:rPr>
      </w:sdtEndPr>
      <w:sdtContent>
        <w:r w:rsidR="004E0DE3" w:rsidRPr="00506BD0">
          <w:rPr>
            <w:rFonts w:ascii="Times New Roman" w:hAnsi="Times New Roman" w:cs="Times New Roman"/>
          </w:rPr>
          <w:fldChar w:fldCharType="begin"/>
        </w:r>
        <w:r w:rsidR="004E0DE3" w:rsidRPr="00EE2051">
          <w:rPr>
            <w:rFonts w:ascii="Times New Roman" w:hAnsi="Times New Roman" w:cs="Times New Roman"/>
          </w:rPr>
          <w:instrText xml:space="preserve"> PAGE   \* MERGEFORMAT </w:instrText>
        </w:r>
        <w:r w:rsidR="004E0DE3" w:rsidRPr="00506BD0">
          <w:rPr>
            <w:rFonts w:ascii="Times New Roman" w:hAnsi="Times New Roman" w:cs="Times New Roman"/>
          </w:rPr>
          <w:fldChar w:fldCharType="separate"/>
        </w:r>
        <w:r w:rsidR="004E0DE3" w:rsidRPr="00EE2051">
          <w:rPr>
            <w:rFonts w:ascii="Times New Roman" w:hAnsi="Times New Roman" w:cs="Times New Roman"/>
            <w:noProof/>
          </w:rPr>
          <w:t>2</w:t>
        </w:r>
        <w:r w:rsidR="004E0DE3" w:rsidRPr="00506BD0">
          <w:rPr>
            <w:rFonts w:ascii="Times New Roman" w:hAnsi="Times New Roman" w:cs="Times New Roman"/>
            <w:noProof/>
          </w:rPr>
          <w:fldChar w:fldCharType="end"/>
        </w:r>
      </w:sdtContent>
    </w:sdt>
  </w:p>
  <w:p w14:paraId="111935FE" w14:textId="77777777" w:rsidR="004E0DE3" w:rsidRDefault="004E0D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6BBC7E" w14:textId="77777777" w:rsidR="00124757" w:rsidRDefault="00124757" w:rsidP="004E0DE3">
      <w:pPr>
        <w:spacing w:after="0" w:line="240" w:lineRule="auto"/>
      </w:pPr>
      <w:r>
        <w:separator/>
      </w:r>
    </w:p>
  </w:footnote>
  <w:footnote w:type="continuationSeparator" w:id="0">
    <w:p w14:paraId="59943476" w14:textId="77777777" w:rsidR="00124757" w:rsidRDefault="00124757" w:rsidP="004E0DE3">
      <w:pPr>
        <w:spacing w:after="0" w:line="240" w:lineRule="auto"/>
      </w:pPr>
      <w:r>
        <w:continuationSeparator/>
      </w:r>
    </w:p>
  </w:footnote>
  <w:footnote w:type="continuationNotice" w:id="1">
    <w:p w14:paraId="0BFBED3A" w14:textId="77777777" w:rsidR="00124757" w:rsidRDefault="00124757">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7F22C" w14:textId="751F7C2C" w:rsidR="003D3EF6" w:rsidRDefault="00EB5857">
    <w:pPr>
      <w:pStyle w:val="Head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D35591"/>
    <w:multiLevelType w:val="multilevel"/>
    <w:tmpl w:val="4614C044"/>
    <w:lvl w:ilvl="0">
      <w:start w:val="1"/>
      <w:numFmt w:val="decimal"/>
      <w:suff w:val="space"/>
      <w:lvlText w:val="%1."/>
      <w:lvlJc w:val="left"/>
      <w:pPr>
        <w:ind w:left="786" w:hanging="360"/>
      </w:pPr>
      <w:rPr>
        <w:rFonts w:hint="default"/>
        <w:b/>
      </w:rPr>
    </w:lvl>
    <w:lvl w:ilvl="1">
      <w:start w:val="1"/>
      <w:numFmt w:val="decimal"/>
      <w:isLgl/>
      <w:suff w:val="space"/>
      <w:lvlText w:val="%1.%2."/>
      <w:lvlJc w:val="left"/>
      <w:pPr>
        <w:ind w:left="927" w:hanging="360"/>
      </w:pPr>
      <w:rPr>
        <w:rFonts w:hint="default"/>
        <w:b/>
        <w:bC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 w15:restartNumberingAfterBreak="0">
    <w:nsid w:val="1FB8170B"/>
    <w:multiLevelType w:val="multilevel"/>
    <w:tmpl w:val="FAD4517E"/>
    <w:lvl w:ilvl="0">
      <w:start w:val="1"/>
      <w:numFmt w:val="decimal"/>
      <w:suff w:val="space"/>
      <w:lvlText w:val="%1."/>
      <w:lvlJc w:val="left"/>
      <w:pPr>
        <w:ind w:left="0" w:firstLine="0"/>
      </w:pPr>
      <w:rPr>
        <w:rFonts w:hint="default"/>
        <w:b/>
        <w:bCs/>
      </w:rPr>
    </w:lvl>
    <w:lvl w:ilvl="1">
      <w:start w:val="1"/>
      <w:numFmt w:val="decimal"/>
      <w:suff w:val="space"/>
      <w:lvlText w:val="%1.%2."/>
      <w:lvlJc w:val="left"/>
      <w:pPr>
        <w:ind w:left="278" w:firstLine="567"/>
      </w:pPr>
      <w:rPr>
        <w:rFonts w:hint="default"/>
        <w:b/>
        <w:bCs/>
        <w:sz w:val="24"/>
        <w:szCs w:val="24"/>
      </w:rPr>
    </w:lvl>
    <w:lvl w:ilvl="2">
      <w:start w:val="1"/>
      <w:numFmt w:val="decimal"/>
      <w:suff w:val="space"/>
      <w:lvlText w:val="%1.%2.%3."/>
      <w:lvlJc w:val="left"/>
      <w:pPr>
        <w:ind w:left="556" w:firstLine="567"/>
      </w:pPr>
      <w:rPr>
        <w:rFonts w:hint="default"/>
        <w:b/>
        <w:bCs/>
      </w:rPr>
    </w:lvl>
    <w:lvl w:ilvl="3">
      <w:start w:val="1"/>
      <w:numFmt w:val="decimal"/>
      <w:lvlText w:val="%1.%2.%3.%4."/>
      <w:lvlJc w:val="left"/>
      <w:pPr>
        <w:ind w:left="834" w:firstLine="567"/>
      </w:pPr>
      <w:rPr>
        <w:rFonts w:hint="default"/>
        <w:b/>
        <w:bCs/>
      </w:rPr>
    </w:lvl>
    <w:lvl w:ilvl="4">
      <w:start w:val="1"/>
      <w:numFmt w:val="decimal"/>
      <w:lvlText w:val="%1.%2.%3.%4.%5."/>
      <w:lvlJc w:val="left"/>
      <w:pPr>
        <w:ind w:left="1112" w:firstLine="567"/>
      </w:pPr>
      <w:rPr>
        <w:rFonts w:hint="default"/>
      </w:rPr>
    </w:lvl>
    <w:lvl w:ilvl="5">
      <w:start w:val="1"/>
      <w:numFmt w:val="decimal"/>
      <w:lvlText w:val="%1.%2.%3.%4.%5.%6."/>
      <w:lvlJc w:val="left"/>
      <w:pPr>
        <w:ind w:left="1390" w:firstLine="567"/>
      </w:pPr>
      <w:rPr>
        <w:rFonts w:hint="default"/>
      </w:rPr>
    </w:lvl>
    <w:lvl w:ilvl="6">
      <w:start w:val="1"/>
      <w:numFmt w:val="decimal"/>
      <w:lvlText w:val="%1.%2.%3.%4.%5.%6.%7."/>
      <w:lvlJc w:val="left"/>
      <w:pPr>
        <w:ind w:left="1668" w:firstLine="567"/>
      </w:pPr>
      <w:rPr>
        <w:rFonts w:hint="default"/>
      </w:rPr>
    </w:lvl>
    <w:lvl w:ilvl="7">
      <w:start w:val="1"/>
      <w:numFmt w:val="decimal"/>
      <w:lvlText w:val="%1.%2.%3.%4.%5.%6.%7.%8."/>
      <w:lvlJc w:val="left"/>
      <w:pPr>
        <w:ind w:left="1946" w:firstLine="567"/>
      </w:pPr>
      <w:rPr>
        <w:rFonts w:hint="default"/>
      </w:rPr>
    </w:lvl>
    <w:lvl w:ilvl="8">
      <w:start w:val="1"/>
      <w:numFmt w:val="decimal"/>
      <w:lvlText w:val="%1.%2.%3.%4.%5.%6.%7.%8.%9."/>
      <w:lvlJc w:val="left"/>
      <w:pPr>
        <w:ind w:left="2224" w:firstLine="567"/>
      </w:pPr>
      <w:rPr>
        <w:rFonts w:hint="default"/>
      </w:rPr>
    </w:lvl>
  </w:abstractNum>
  <w:abstractNum w:abstractNumId="2" w15:restartNumberingAfterBreak="0">
    <w:nsid w:val="35BF1BB3"/>
    <w:multiLevelType w:val="hybridMultilevel"/>
    <w:tmpl w:val="CC765880"/>
    <w:lvl w:ilvl="0" w:tplc="98AC9AFE">
      <w:start w:val="1"/>
      <w:numFmt w:val="decimal"/>
      <w:lvlText w:val="%1."/>
      <w:lvlJc w:val="left"/>
      <w:pPr>
        <w:ind w:left="1060" w:hanging="360"/>
      </w:pPr>
    </w:lvl>
    <w:lvl w:ilvl="1" w:tplc="A254E0BE">
      <w:start w:val="1"/>
      <w:numFmt w:val="decimal"/>
      <w:lvlText w:val="%2."/>
      <w:lvlJc w:val="left"/>
      <w:pPr>
        <w:ind w:left="1060" w:hanging="360"/>
      </w:pPr>
    </w:lvl>
    <w:lvl w:ilvl="2" w:tplc="7736AE66">
      <w:start w:val="1"/>
      <w:numFmt w:val="decimal"/>
      <w:lvlText w:val="%3."/>
      <w:lvlJc w:val="left"/>
      <w:pPr>
        <w:ind w:left="1060" w:hanging="360"/>
      </w:pPr>
    </w:lvl>
    <w:lvl w:ilvl="3" w:tplc="08004648">
      <w:start w:val="1"/>
      <w:numFmt w:val="decimal"/>
      <w:lvlText w:val="%4."/>
      <w:lvlJc w:val="left"/>
      <w:pPr>
        <w:ind w:left="1060" w:hanging="360"/>
      </w:pPr>
    </w:lvl>
    <w:lvl w:ilvl="4" w:tplc="C4EABDD0">
      <w:start w:val="1"/>
      <w:numFmt w:val="decimal"/>
      <w:lvlText w:val="%5."/>
      <w:lvlJc w:val="left"/>
      <w:pPr>
        <w:ind w:left="1060" w:hanging="360"/>
      </w:pPr>
    </w:lvl>
    <w:lvl w:ilvl="5" w:tplc="572A7046">
      <w:start w:val="1"/>
      <w:numFmt w:val="decimal"/>
      <w:lvlText w:val="%6."/>
      <w:lvlJc w:val="left"/>
      <w:pPr>
        <w:ind w:left="1060" w:hanging="360"/>
      </w:pPr>
    </w:lvl>
    <w:lvl w:ilvl="6" w:tplc="BC0EF7AE">
      <w:start w:val="1"/>
      <w:numFmt w:val="decimal"/>
      <w:lvlText w:val="%7."/>
      <w:lvlJc w:val="left"/>
      <w:pPr>
        <w:ind w:left="1060" w:hanging="360"/>
      </w:pPr>
    </w:lvl>
    <w:lvl w:ilvl="7" w:tplc="700882F4">
      <w:start w:val="1"/>
      <w:numFmt w:val="decimal"/>
      <w:lvlText w:val="%8."/>
      <w:lvlJc w:val="left"/>
      <w:pPr>
        <w:ind w:left="1060" w:hanging="360"/>
      </w:pPr>
    </w:lvl>
    <w:lvl w:ilvl="8" w:tplc="53AE988E">
      <w:start w:val="1"/>
      <w:numFmt w:val="decimal"/>
      <w:lvlText w:val="%9."/>
      <w:lvlJc w:val="left"/>
      <w:pPr>
        <w:ind w:left="1060" w:hanging="360"/>
      </w:pPr>
    </w:lvl>
  </w:abstractNum>
  <w:abstractNum w:abstractNumId="3" w15:restartNumberingAfterBreak="0">
    <w:nsid w:val="3DEE19E3"/>
    <w:multiLevelType w:val="multilevel"/>
    <w:tmpl w:val="FAD4517E"/>
    <w:lvl w:ilvl="0">
      <w:start w:val="1"/>
      <w:numFmt w:val="decimal"/>
      <w:suff w:val="space"/>
      <w:lvlText w:val="%1."/>
      <w:lvlJc w:val="left"/>
      <w:pPr>
        <w:ind w:left="0" w:firstLine="0"/>
      </w:pPr>
      <w:rPr>
        <w:rFonts w:hint="default"/>
        <w:b/>
        <w:bCs/>
      </w:rPr>
    </w:lvl>
    <w:lvl w:ilvl="1">
      <w:start w:val="1"/>
      <w:numFmt w:val="decimal"/>
      <w:suff w:val="space"/>
      <w:lvlText w:val="%1.%2."/>
      <w:lvlJc w:val="left"/>
      <w:pPr>
        <w:ind w:left="3827" w:firstLine="567"/>
      </w:pPr>
      <w:rPr>
        <w:rFonts w:hint="default"/>
        <w:b/>
        <w:bCs/>
        <w:sz w:val="24"/>
        <w:szCs w:val="24"/>
      </w:rPr>
    </w:lvl>
    <w:lvl w:ilvl="2">
      <w:start w:val="1"/>
      <w:numFmt w:val="decimal"/>
      <w:suff w:val="space"/>
      <w:lvlText w:val="%1.%2.%3."/>
      <w:lvlJc w:val="left"/>
      <w:pPr>
        <w:ind w:left="556" w:firstLine="567"/>
      </w:pPr>
      <w:rPr>
        <w:rFonts w:hint="default"/>
        <w:b/>
        <w:bCs/>
      </w:rPr>
    </w:lvl>
    <w:lvl w:ilvl="3">
      <w:start w:val="1"/>
      <w:numFmt w:val="decimal"/>
      <w:lvlText w:val="%1.%2.%3.%4."/>
      <w:lvlJc w:val="left"/>
      <w:pPr>
        <w:ind w:left="834" w:firstLine="567"/>
      </w:pPr>
      <w:rPr>
        <w:rFonts w:hint="default"/>
        <w:b/>
        <w:bCs/>
      </w:rPr>
    </w:lvl>
    <w:lvl w:ilvl="4">
      <w:start w:val="1"/>
      <w:numFmt w:val="decimal"/>
      <w:lvlText w:val="%1.%2.%3.%4.%5."/>
      <w:lvlJc w:val="left"/>
      <w:pPr>
        <w:ind w:left="1112" w:firstLine="567"/>
      </w:pPr>
      <w:rPr>
        <w:rFonts w:hint="default"/>
      </w:rPr>
    </w:lvl>
    <w:lvl w:ilvl="5">
      <w:start w:val="1"/>
      <w:numFmt w:val="decimal"/>
      <w:lvlText w:val="%1.%2.%3.%4.%5.%6."/>
      <w:lvlJc w:val="left"/>
      <w:pPr>
        <w:ind w:left="1390" w:firstLine="567"/>
      </w:pPr>
      <w:rPr>
        <w:rFonts w:hint="default"/>
      </w:rPr>
    </w:lvl>
    <w:lvl w:ilvl="6">
      <w:start w:val="1"/>
      <w:numFmt w:val="decimal"/>
      <w:lvlText w:val="%1.%2.%3.%4.%5.%6.%7."/>
      <w:lvlJc w:val="left"/>
      <w:pPr>
        <w:ind w:left="1668" w:firstLine="567"/>
      </w:pPr>
      <w:rPr>
        <w:rFonts w:hint="default"/>
      </w:rPr>
    </w:lvl>
    <w:lvl w:ilvl="7">
      <w:start w:val="1"/>
      <w:numFmt w:val="decimal"/>
      <w:lvlText w:val="%1.%2.%3.%4.%5.%6.%7.%8."/>
      <w:lvlJc w:val="left"/>
      <w:pPr>
        <w:ind w:left="1946" w:firstLine="567"/>
      </w:pPr>
      <w:rPr>
        <w:rFonts w:hint="default"/>
      </w:rPr>
    </w:lvl>
    <w:lvl w:ilvl="8">
      <w:start w:val="1"/>
      <w:numFmt w:val="decimal"/>
      <w:lvlText w:val="%1.%2.%3.%4.%5.%6.%7.%8.%9."/>
      <w:lvlJc w:val="left"/>
      <w:pPr>
        <w:ind w:left="2224" w:firstLine="567"/>
      </w:pPr>
      <w:rPr>
        <w:rFonts w:hint="default"/>
      </w:rPr>
    </w:lvl>
  </w:abstractNum>
  <w:abstractNum w:abstractNumId="4" w15:restartNumberingAfterBreak="0">
    <w:nsid w:val="69B876D7"/>
    <w:multiLevelType w:val="hybridMultilevel"/>
    <w:tmpl w:val="C69A97C6"/>
    <w:lvl w:ilvl="0" w:tplc="087496EA">
      <w:start w:val="1"/>
      <w:numFmt w:val="upperLetter"/>
      <w:lvlText w:val="%1."/>
      <w:lvlJc w:val="left"/>
      <w:pPr>
        <w:ind w:left="1080" w:hanging="360"/>
      </w:pPr>
    </w:lvl>
    <w:lvl w:ilvl="1" w:tplc="0F72FFE2">
      <w:start w:val="1"/>
      <w:numFmt w:val="upperLetter"/>
      <w:lvlText w:val="%2."/>
      <w:lvlJc w:val="left"/>
      <w:pPr>
        <w:ind w:left="1080" w:hanging="360"/>
      </w:pPr>
    </w:lvl>
    <w:lvl w:ilvl="2" w:tplc="37761F3E">
      <w:start w:val="1"/>
      <w:numFmt w:val="upperLetter"/>
      <w:lvlText w:val="%3."/>
      <w:lvlJc w:val="left"/>
      <w:pPr>
        <w:ind w:left="1080" w:hanging="360"/>
      </w:pPr>
    </w:lvl>
    <w:lvl w:ilvl="3" w:tplc="F57AFE66">
      <w:start w:val="1"/>
      <w:numFmt w:val="upperLetter"/>
      <w:lvlText w:val="%4."/>
      <w:lvlJc w:val="left"/>
      <w:pPr>
        <w:ind w:left="1080" w:hanging="360"/>
      </w:pPr>
    </w:lvl>
    <w:lvl w:ilvl="4" w:tplc="4FA6FAF2">
      <w:start w:val="1"/>
      <w:numFmt w:val="upperLetter"/>
      <w:lvlText w:val="%5."/>
      <w:lvlJc w:val="left"/>
      <w:pPr>
        <w:ind w:left="1080" w:hanging="360"/>
      </w:pPr>
    </w:lvl>
    <w:lvl w:ilvl="5" w:tplc="9B022258">
      <w:start w:val="1"/>
      <w:numFmt w:val="upperLetter"/>
      <w:lvlText w:val="%6."/>
      <w:lvlJc w:val="left"/>
      <w:pPr>
        <w:ind w:left="1080" w:hanging="360"/>
      </w:pPr>
    </w:lvl>
    <w:lvl w:ilvl="6" w:tplc="F1005532">
      <w:start w:val="1"/>
      <w:numFmt w:val="upperLetter"/>
      <w:lvlText w:val="%7."/>
      <w:lvlJc w:val="left"/>
      <w:pPr>
        <w:ind w:left="1080" w:hanging="360"/>
      </w:pPr>
    </w:lvl>
    <w:lvl w:ilvl="7" w:tplc="BEE6F21C">
      <w:start w:val="1"/>
      <w:numFmt w:val="upperLetter"/>
      <w:lvlText w:val="%8."/>
      <w:lvlJc w:val="left"/>
      <w:pPr>
        <w:ind w:left="1080" w:hanging="360"/>
      </w:pPr>
    </w:lvl>
    <w:lvl w:ilvl="8" w:tplc="A8DEF0B2">
      <w:start w:val="1"/>
      <w:numFmt w:val="upperLetter"/>
      <w:lvlText w:val="%9."/>
      <w:lvlJc w:val="left"/>
      <w:pPr>
        <w:ind w:left="1080" w:hanging="360"/>
      </w:pPr>
    </w:lvl>
  </w:abstractNum>
  <w:num w:numId="1" w16cid:durableId="652376275">
    <w:abstractNumId w:val="0"/>
  </w:num>
  <w:num w:numId="2" w16cid:durableId="1389840902">
    <w:abstractNumId w:val="3"/>
  </w:num>
  <w:num w:numId="3" w16cid:durableId="71007876">
    <w:abstractNumId w:val="1"/>
  </w:num>
  <w:num w:numId="4" w16cid:durableId="819427021">
    <w:abstractNumId w:val="2"/>
  </w:num>
  <w:num w:numId="5" w16cid:durableId="792139284">
    <w:abstractNumId w:val="4"/>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0FCF"/>
    <w:rsid w:val="000000AB"/>
    <w:rsid w:val="000006DE"/>
    <w:rsid w:val="00000A8C"/>
    <w:rsid w:val="00001650"/>
    <w:rsid w:val="0000213B"/>
    <w:rsid w:val="00002812"/>
    <w:rsid w:val="00002BDF"/>
    <w:rsid w:val="00002D18"/>
    <w:rsid w:val="000070B1"/>
    <w:rsid w:val="00007D61"/>
    <w:rsid w:val="00010BBE"/>
    <w:rsid w:val="00011372"/>
    <w:rsid w:val="000115A7"/>
    <w:rsid w:val="000115B8"/>
    <w:rsid w:val="0001227D"/>
    <w:rsid w:val="000123DC"/>
    <w:rsid w:val="00012457"/>
    <w:rsid w:val="00012D39"/>
    <w:rsid w:val="00013260"/>
    <w:rsid w:val="000139A4"/>
    <w:rsid w:val="00014E69"/>
    <w:rsid w:val="000156A8"/>
    <w:rsid w:val="0001594D"/>
    <w:rsid w:val="00015D92"/>
    <w:rsid w:val="000164AC"/>
    <w:rsid w:val="000166B5"/>
    <w:rsid w:val="00016BBB"/>
    <w:rsid w:val="00016C7E"/>
    <w:rsid w:val="0001735D"/>
    <w:rsid w:val="000175DB"/>
    <w:rsid w:val="00017BEF"/>
    <w:rsid w:val="00017D87"/>
    <w:rsid w:val="00022915"/>
    <w:rsid w:val="000233F6"/>
    <w:rsid w:val="00023413"/>
    <w:rsid w:val="00023500"/>
    <w:rsid w:val="00023CF3"/>
    <w:rsid w:val="00023E83"/>
    <w:rsid w:val="00024C7E"/>
    <w:rsid w:val="0002589C"/>
    <w:rsid w:val="00026B57"/>
    <w:rsid w:val="00027430"/>
    <w:rsid w:val="000277FD"/>
    <w:rsid w:val="0002799A"/>
    <w:rsid w:val="00030125"/>
    <w:rsid w:val="0003070C"/>
    <w:rsid w:val="00031728"/>
    <w:rsid w:val="00031BAB"/>
    <w:rsid w:val="000328C6"/>
    <w:rsid w:val="00032C81"/>
    <w:rsid w:val="00032CBF"/>
    <w:rsid w:val="00032D92"/>
    <w:rsid w:val="0003341E"/>
    <w:rsid w:val="000337CC"/>
    <w:rsid w:val="00033C84"/>
    <w:rsid w:val="00033E42"/>
    <w:rsid w:val="00034CDF"/>
    <w:rsid w:val="000351C4"/>
    <w:rsid w:val="00035852"/>
    <w:rsid w:val="00035E5F"/>
    <w:rsid w:val="00036B20"/>
    <w:rsid w:val="00036C77"/>
    <w:rsid w:val="00036E25"/>
    <w:rsid w:val="00037203"/>
    <w:rsid w:val="0003725B"/>
    <w:rsid w:val="00037338"/>
    <w:rsid w:val="000377B1"/>
    <w:rsid w:val="00040342"/>
    <w:rsid w:val="00040B9F"/>
    <w:rsid w:val="00040EA1"/>
    <w:rsid w:val="00042E2B"/>
    <w:rsid w:val="00042FD5"/>
    <w:rsid w:val="000435EE"/>
    <w:rsid w:val="00043FCA"/>
    <w:rsid w:val="00044202"/>
    <w:rsid w:val="0004458F"/>
    <w:rsid w:val="00044A9B"/>
    <w:rsid w:val="0004729C"/>
    <w:rsid w:val="00050852"/>
    <w:rsid w:val="0005087B"/>
    <w:rsid w:val="00051F96"/>
    <w:rsid w:val="0005306B"/>
    <w:rsid w:val="0005334C"/>
    <w:rsid w:val="00054400"/>
    <w:rsid w:val="00055073"/>
    <w:rsid w:val="00055179"/>
    <w:rsid w:val="00056164"/>
    <w:rsid w:val="00056334"/>
    <w:rsid w:val="00056EE2"/>
    <w:rsid w:val="000578A7"/>
    <w:rsid w:val="00062928"/>
    <w:rsid w:val="000640F0"/>
    <w:rsid w:val="00064BFD"/>
    <w:rsid w:val="00064F09"/>
    <w:rsid w:val="0006641A"/>
    <w:rsid w:val="000668BB"/>
    <w:rsid w:val="00066BF4"/>
    <w:rsid w:val="000672B9"/>
    <w:rsid w:val="000674F0"/>
    <w:rsid w:val="00067F9A"/>
    <w:rsid w:val="00071DE2"/>
    <w:rsid w:val="0007215A"/>
    <w:rsid w:val="00072259"/>
    <w:rsid w:val="00072E7B"/>
    <w:rsid w:val="00073601"/>
    <w:rsid w:val="00074305"/>
    <w:rsid w:val="000747FB"/>
    <w:rsid w:val="00074ADD"/>
    <w:rsid w:val="00074C52"/>
    <w:rsid w:val="000752E1"/>
    <w:rsid w:val="000755B2"/>
    <w:rsid w:val="0007573D"/>
    <w:rsid w:val="00075C9A"/>
    <w:rsid w:val="000762B9"/>
    <w:rsid w:val="00076464"/>
    <w:rsid w:val="00076D77"/>
    <w:rsid w:val="000777B4"/>
    <w:rsid w:val="00080B35"/>
    <w:rsid w:val="00080CCE"/>
    <w:rsid w:val="0008161D"/>
    <w:rsid w:val="000818CC"/>
    <w:rsid w:val="000819D3"/>
    <w:rsid w:val="0008218C"/>
    <w:rsid w:val="0008354B"/>
    <w:rsid w:val="00084922"/>
    <w:rsid w:val="0008567C"/>
    <w:rsid w:val="0008577F"/>
    <w:rsid w:val="00085BDF"/>
    <w:rsid w:val="000865CC"/>
    <w:rsid w:val="00087A4D"/>
    <w:rsid w:val="000907CB"/>
    <w:rsid w:val="00091197"/>
    <w:rsid w:val="000914F0"/>
    <w:rsid w:val="000920CD"/>
    <w:rsid w:val="000920DA"/>
    <w:rsid w:val="00093132"/>
    <w:rsid w:val="00093C44"/>
    <w:rsid w:val="00093CCC"/>
    <w:rsid w:val="00094592"/>
    <w:rsid w:val="0009521F"/>
    <w:rsid w:val="00095312"/>
    <w:rsid w:val="00095CBD"/>
    <w:rsid w:val="000960BA"/>
    <w:rsid w:val="0009741F"/>
    <w:rsid w:val="0009776E"/>
    <w:rsid w:val="000A008A"/>
    <w:rsid w:val="000A2CA6"/>
    <w:rsid w:val="000A2E61"/>
    <w:rsid w:val="000A3670"/>
    <w:rsid w:val="000A4698"/>
    <w:rsid w:val="000A4CD6"/>
    <w:rsid w:val="000A4DE8"/>
    <w:rsid w:val="000A533E"/>
    <w:rsid w:val="000A5A2E"/>
    <w:rsid w:val="000A5A50"/>
    <w:rsid w:val="000A5B1A"/>
    <w:rsid w:val="000A6719"/>
    <w:rsid w:val="000A6D01"/>
    <w:rsid w:val="000A7790"/>
    <w:rsid w:val="000B0A68"/>
    <w:rsid w:val="000B0F5B"/>
    <w:rsid w:val="000B11BF"/>
    <w:rsid w:val="000B2866"/>
    <w:rsid w:val="000B3449"/>
    <w:rsid w:val="000B4275"/>
    <w:rsid w:val="000B4F06"/>
    <w:rsid w:val="000B5573"/>
    <w:rsid w:val="000B5574"/>
    <w:rsid w:val="000B64E8"/>
    <w:rsid w:val="000B73CE"/>
    <w:rsid w:val="000B7F98"/>
    <w:rsid w:val="000C000E"/>
    <w:rsid w:val="000C0D7C"/>
    <w:rsid w:val="000C0FC5"/>
    <w:rsid w:val="000C1362"/>
    <w:rsid w:val="000C2973"/>
    <w:rsid w:val="000C3259"/>
    <w:rsid w:val="000C3DA7"/>
    <w:rsid w:val="000C44F1"/>
    <w:rsid w:val="000C47C0"/>
    <w:rsid w:val="000C54AD"/>
    <w:rsid w:val="000C5598"/>
    <w:rsid w:val="000C56EB"/>
    <w:rsid w:val="000C6CA6"/>
    <w:rsid w:val="000C74AD"/>
    <w:rsid w:val="000D087D"/>
    <w:rsid w:val="000D1253"/>
    <w:rsid w:val="000D1A6F"/>
    <w:rsid w:val="000D3759"/>
    <w:rsid w:val="000D3E43"/>
    <w:rsid w:val="000D4960"/>
    <w:rsid w:val="000D4B40"/>
    <w:rsid w:val="000D50A7"/>
    <w:rsid w:val="000D5576"/>
    <w:rsid w:val="000D58B6"/>
    <w:rsid w:val="000D6ACB"/>
    <w:rsid w:val="000D6C42"/>
    <w:rsid w:val="000D7232"/>
    <w:rsid w:val="000D74D5"/>
    <w:rsid w:val="000D7505"/>
    <w:rsid w:val="000D7D27"/>
    <w:rsid w:val="000E0064"/>
    <w:rsid w:val="000E1826"/>
    <w:rsid w:val="000E1830"/>
    <w:rsid w:val="000E19C8"/>
    <w:rsid w:val="000E33FA"/>
    <w:rsid w:val="000E3F03"/>
    <w:rsid w:val="000E426B"/>
    <w:rsid w:val="000E5103"/>
    <w:rsid w:val="000E6163"/>
    <w:rsid w:val="000E6AA3"/>
    <w:rsid w:val="000E72FA"/>
    <w:rsid w:val="000E7B1B"/>
    <w:rsid w:val="000F0488"/>
    <w:rsid w:val="000F0B6A"/>
    <w:rsid w:val="000F1725"/>
    <w:rsid w:val="000F323D"/>
    <w:rsid w:val="000F3979"/>
    <w:rsid w:val="000F3DD1"/>
    <w:rsid w:val="000F3E75"/>
    <w:rsid w:val="000F41CC"/>
    <w:rsid w:val="000F4994"/>
    <w:rsid w:val="000F4EDF"/>
    <w:rsid w:val="000F4FAC"/>
    <w:rsid w:val="000F501E"/>
    <w:rsid w:val="000F520B"/>
    <w:rsid w:val="000F556E"/>
    <w:rsid w:val="000F568E"/>
    <w:rsid w:val="000F5E57"/>
    <w:rsid w:val="000F62BD"/>
    <w:rsid w:val="000F6DC0"/>
    <w:rsid w:val="000F7844"/>
    <w:rsid w:val="00101229"/>
    <w:rsid w:val="00103323"/>
    <w:rsid w:val="001034EE"/>
    <w:rsid w:val="0010462D"/>
    <w:rsid w:val="00104E3D"/>
    <w:rsid w:val="00105172"/>
    <w:rsid w:val="0010524E"/>
    <w:rsid w:val="001054B4"/>
    <w:rsid w:val="00105823"/>
    <w:rsid w:val="00106F45"/>
    <w:rsid w:val="00107197"/>
    <w:rsid w:val="00107C02"/>
    <w:rsid w:val="001101E9"/>
    <w:rsid w:val="00110A06"/>
    <w:rsid w:val="00110D19"/>
    <w:rsid w:val="0011134E"/>
    <w:rsid w:val="001116C6"/>
    <w:rsid w:val="00111D10"/>
    <w:rsid w:val="001125FC"/>
    <w:rsid w:val="001127B5"/>
    <w:rsid w:val="00112CDB"/>
    <w:rsid w:val="00113C7A"/>
    <w:rsid w:val="0011449C"/>
    <w:rsid w:val="00114D29"/>
    <w:rsid w:val="001156EA"/>
    <w:rsid w:val="00115E54"/>
    <w:rsid w:val="00116AB2"/>
    <w:rsid w:val="00117504"/>
    <w:rsid w:val="0011789B"/>
    <w:rsid w:val="0012003D"/>
    <w:rsid w:val="00120D33"/>
    <w:rsid w:val="0012167A"/>
    <w:rsid w:val="0012287C"/>
    <w:rsid w:val="001229FB"/>
    <w:rsid w:val="00122B18"/>
    <w:rsid w:val="00122BF9"/>
    <w:rsid w:val="00122DD6"/>
    <w:rsid w:val="0012397F"/>
    <w:rsid w:val="00123E7D"/>
    <w:rsid w:val="00124492"/>
    <w:rsid w:val="00124592"/>
    <w:rsid w:val="00124757"/>
    <w:rsid w:val="00125DDF"/>
    <w:rsid w:val="00126170"/>
    <w:rsid w:val="00126386"/>
    <w:rsid w:val="00126826"/>
    <w:rsid w:val="00126E04"/>
    <w:rsid w:val="00130518"/>
    <w:rsid w:val="001306B3"/>
    <w:rsid w:val="00132DCD"/>
    <w:rsid w:val="00132EDB"/>
    <w:rsid w:val="00133D1D"/>
    <w:rsid w:val="00134819"/>
    <w:rsid w:val="00136F81"/>
    <w:rsid w:val="0013733F"/>
    <w:rsid w:val="00137EEC"/>
    <w:rsid w:val="00140311"/>
    <w:rsid w:val="00140E55"/>
    <w:rsid w:val="001423F6"/>
    <w:rsid w:val="00142858"/>
    <w:rsid w:val="0014293B"/>
    <w:rsid w:val="00142BCF"/>
    <w:rsid w:val="00143006"/>
    <w:rsid w:val="001432BF"/>
    <w:rsid w:val="00144C17"/>
    <w:rsid w:val="00144E7F"/>
    <w:rsid w:val="00145585"/>
    <w:rsid w:val="0014599B"/>
    <w:rsid w:val="001459A7"/>
    <w:rsid w:val="001463C5"/>
    <w:rsid w:val="001469E6"/>
    <w:rsid w:val="00147572"/>
    <w:rsid w:val="00150621"/>
    <w:rsid w:val="00150661"/>
    <w:rsid w:val="00150A22"/>
    <w:rsid w:val="0015122E"/>
    <w:rsid w:val="0015125A"/>
    <w:rsid w:val="001512CD"/>
    <w:rsid w:val="00151809"/>
    <w:rsid w:val="00151A4E"/>
    <w:rsid w:val="0015257C"/>
    <w:rsid w:val="00152731"/>
    <w:rsid w:val="00154736"/>
    <w:rsid w:val="00154FED"/>
    <w:rsid w:val="0015523D"/>
    <w:rsid w:val="001552A9"/>
    <w:rsid w:val="00155818"/>
    <w:rsid w:val="00155CAC"/>
    <w:rsid w:val="001579DE"/>
    <w:rsid w:val="00157D78"/>
    <w:rsid w:val="001604E8"/>
    <w:rsid w:val="00160853"/>
    <w:rsid w:val="001609F2"/>
    <w:rsid w:val="00160DC3"/>
    <w:rsid w:val="00161CE7"/>
    <w:rsid w:val="00161E0C"/>
    <w:rsid w:val="001628D8"/>
    <w:rsid w:val="0016344B"/>
    <w:rsid w:val="001637C9"/>
    <w:rsid w:val="00164C39"/>
    <w:rsid w:val="00164E03"/>
    <w:rsid w:val="00165A3B"/>
    <w:rsid w:val="00165EC6"/>
    <w:rsid w:val="00165F4D"/>
    <w:rsid w:val="0016651D"/>
    <w:rsid w:val="001670BA"/>
    <w:rsid w:val="00167D45"/>
    <w:rsid w:val="0017044D"/>
    <w:rsid w:val="00172146"/>
    <w:rsid w:val="00172B4D"/>
    <w:rsid w:val="00172F53"/>
    <w:rsid w:val="00173560"/>
    <w:rsid w:val="00173A57"/>
    <w:rsid w:val="001740BA"/>
    <w:rsid w:val="001744A9"/>
    <w:rsid w:val="00175172"/>
    <w:rsid w:val="00175506"/>
    <w:rsid w:val="00175685"/>
    <w:rsid w:val="0017584C"/>
    <w:rsid w:val="00175961"/>
    <w:rsid w:val="00175B0A"/>
    <w:rsid w:val="00175E4F"/>
    <w:rsid w:val="001770DE"/>
    <w:rsid w:val="00177AE3"/>
    <w:rsid w:val="00177E0E"/>
    <w:rsid w:val="00177E6A"/>
    <w:rsid w:val="0018070E"/>
    <w:rsid w:val="00181675"/>
    <w:rsid w:val="001827B6"/>
    <w:rsid w:val="001829E2"/>
    <w:rsid w:val="0018304F"/>
    <w:rsid w:val="00183389"/>
    <w:rsid w:val="0018349B"/>
    <w:rsid w:val="00183E57"/>
    <w:rsid w:val="00184D3E"/>
    <w:rsid w:val="00184EF9"/>
    <w:rsid w:val="00185414"/>
    <w:rsid w:val="00185D05"/>
    <w:rsid w:val="0018779D"/>
    <w:rsid w:val="00187904"/>
    <w:rsid w:val="00187A71"/>
    <w:rsid w:val="001917D2"/>
    <w:rsid w:val="001927FD"/>
    <w:rsid w:val="001935B0"/>
    <w:rsid w:val="00193C52"/>
    <w:rsid w:val="001942F2"/>
    <w:rsid w:val="0019479D"/>
    <w:rsid w:val="00194B2E"/>
    <w:rsid w:val="0019560D"/>
    <w:rsid w:val="00196F7F"/>
    <w:rsid w:val="00197241"/>
    <w:rsid w:val="0019735E"/>
    <w:rsid w:val="00197BBA"/>
    <w:rsid w:val="00197C96"/>
    <w:rsid w:val="001A08AB"/>
    <w:rsid w:val="001A1AB5"/>
    <w:rsid w:val="001A248A"/>
    <w:rsid w:val="001A29AE"/>
    <w:rsid w:val="001A2F58"/>
    <w:rsid w:val="001A2FA5"/>
    <w:rsid w:val="001A3358"/>
    <w:rsid w:val="001A34F6"/>
    <w:rsid w:val="001A3B8C"/>
    <w:rsid w:val="001A4571"/>
    <w:rsid w:val="001A4F1E"/>
    <w:rsid w:val="001A5821"/>
    <w:rsid w:val="001A5932"/>
    <w:rsid w:val="001A694E"/>
    <w:rsid w:val="001A6AA9"/>
    <w:rsid w:val="001A700E"/>
    <w:rsid w:val="001A7117"/>
    <w:rsid w:val="001A7E66"/>
    <w:rsid w:val="001B1956"/>
    <w:rsid w:val="001B221E"/>
    <w:rsid w:val="001B22BA"/>
    <w:rsid w:val="001B246D"/>
    <w:rsid w:val="001B24EA"/>
    <w:rsid w:val="001B2671"/>
    <w:rsid w:val="001B357A"/>
    <w:rsid w:val="001B35CF"/>
    <w:rsid w:val="001B3CFF"/>
    <w:rsid w:val="001B44F2"/>
    <w:rsid w:val="001B4733"/>
    <w:rsid w:val="001B4CF8"/>
    <w:rsid w:val="001B5E51"/>
    <w:rsid w:val="001B6174"/>
    <w:rsid w:val="001B7091"/>
    <w:rsid w:val="001B7331"/>
    <w:rsid w:val="001B7D57"/>
    <w:rsid w:val="001C0664"/>
    <w:rsid w:val="001C0FC3"/>
    <w:rsid w:val="001C123B"/>
    <w:rsid w:val="001C14A9"/>
    <w:rsid w:val="001C16CC"/>
    <w:rsid w:val="001C1D39"/>
    <w:rsid w:val="001C20D8"/>
    <w:rsid w:val="001C2343"/>
    <w:rsid w:val="001C2AAA"/>
    <w:rsid w:val="001C2CEA"/>
    <w:rsid w:val="001C3084"/>
    <w:rsid w:val="001C4566"/>
    <w:rsid w:val="001C46C6"/>
    <w:rsid w:val="001C547C"/>
    <w:rsid w:val="001C5D5A"/>
    <w:rsid w:val="001C612F"/>
    <w:rsid w:val="001C6407"/>
    <w:rsid w:val="001C6996"/>
    <w:rsid w:val="001C6CB6"/>
    <w:rsid w:val="001C6DC5"/>
    <w:rsid w:val="001C7619"/>
    <w:rsid w:val="001C78BB"/>
    <w:rsid w:val="001C78EE"/>
    <w:rsid w:val="001C7DDC"/>
    <w:rsid w:val="001D042D"/>
    <w:rsid w:val="001D0604"/>
    <w:rsid w:val="001D0C31"/>
    <w:rsid w:val="001D15BB"/>
    <w:rsid w:val="001D4490"/>
    <w:rsid w:val="001D74B3"/>
    <w:rsid w:val="001D77EA"/>
    <w:rsid w:val="001D7846"/>
    <w:rsid w:val="001D7B37"/>
    <w:rsid w:val="001D7E96"/>
    <w:rsid w:val="001E054F"/>
    <w:rsid w:val="001E0B78"/>
    <w:rsid w:val="001E0CD3"/>
    <w:rsid w:val="001E1614"/>
    <w:rsid w:val="001E1983"/>
    <w:rsid w:val="001E1CEF"/>
    <w:rsid w:val="001E2CFB"/>
    <w:rsid w:val="001E3D42"/>
    <w:rsid w:val="001E401A"/>
    <w:rsid w:val="001E5C52"/>
    <w:rsid w:val="001E7ACE"/>
    <w:rsid w:val="001E7B3A"/>
    <w:rsid w:val="001F0E1A"/>
    <w:rsid w:val="001F23AF"/>
    <w:rsid w:val="001F2D2D"/>
    <w:rsid w:val="001F32CB"/>
    <w:rsid w:val="001F3F31"/>
    <w:rsid w:val="001F417B"/>
    <w:rsid w:val="001F502E"/>
    <w:rsid w:val="001F5488"/>
    <w:rsid w:val="001F5A69"/>
    <w:rsid w:val="001F608E"/>
    <w:rsid w:val="001F6641"/>
    <w:rsid w:val="001F6B2B"/>
    <w:rsid w:val="001F6D8C"/>
    <w:rsid w:val="001F70E3"/>
    <w:rsid w:val="00201105"/>
    <w:rsid w:val="00201ED0"/>
    <w:rsid w:val="002026F0"/>
    <w:rsid w:val="00202EE5"/>
    <w:rsid w:val="00203E25"/>
    <w:rsid w:val="002054A3"/>
    <w:rsid w:val="00205AA8"/>
    <w:rsid w:val="00205BA1"/>
    <w:rsid w:val="00205C6B"/>
    <w:rsid w:val="00205D05"/>
    <w:rsid w:val="00206BA4"/>
    <w:rsid w:val="0020792F"/>
    <w:rsid w:val="00207C92"/>
    <w:rsid w:val="00207E0B"/>
    <w:rsid w:val="00210701"/>
    <w:rsid w:val="00210838"/>
    <w:rsid w:val="00210D24"/>
    <w:rsid w:val="002112E9"/>
    <w:rsid w:val="002113B3"/>
    <w:rsid w:val="00212164"/>
    <w:rsid w:val="0021220F"/>
    <w:rsid w:val="00212F47"/>
    <w:rsid w:val="0021343E"/>
    <w:rsid w:val="00213B8A"/>
    <w:rsid w:val="00213E61"/>
    <w:rsid w:val="00214DE8"/>
    <w:rsid w:val="00215811"/>
    <w:rsid w:val="00216A6C"/>
    <w:rsid w:val="0021737E"/>
    <w:rsid w:val="00217727"/>
    <w:rsid w:val="00217E8C"/>
    <w:rsid w:val="002202E5"/>
    <w:rsid w:val="002227CC"/>
    <w:rsid w:val="00222B92"/>
    <w:rsid w:val="00222BE1"/>
    <w:rsid w:val="00223D71"/>
    <w:rsid w:val="00224B0C"/>
    <w:rsid w:val="0022537B"/>
    <w:rsid w:val="00225746"/>
    <w:rsid w:val="00226D5F"/>
    <w:rsid w:val="00227072"/>
    <w:rsid w:val="00227258"/>
    <w:rsid w:val="002273F3"/>
    <w:rsid w:val="00227BCC"/>
    <w:rsid w:val="00227F4F"/>
    <w:rsid w:val="00227F70"/>
    <w:rsid w:val="0023014C"/>
    <w:rsid w:val="0023023C"/>
    <w:rsid w:val="002305C3"/>
    <w:rsid w:val="00230A81"/>
    <w:rsid w:val="00230BE8"/>
    <w:rsid w:val="00230C2E"/>
    <w:rsid w:val="00230FDB"/>
    <w:rsid w:val="00231073"/>
    <w:rsid w:val="002322A4"/>
    <w:rsid w:val="002322B2"/>
    <w:rsid w:val="002327D0"/>
    <w:rsid w:val="00232E7B"/>
    <w:rsid w:val="00233983"/>
    <w:rsid w:val="00233C20"/>
    <w:rsid w:val="00233F25"/>
    <w:rsid w:val="002345D0"/>
    <w:rsid w:val="00234895"/>
    <w:rsid w:val="00234CE7"/>
    <w:rsid w:val="00235FB2"/>
    <w:rsid w:val="002369E9"/>
    <w:rsid w:val="00236CE2"/>
    <w:rsid w:val="00237AC5"/>
    <w:rsid w:val="00240D34"/>
    <w:rsid w:val="00241962"/>
    <w:rsid w:val="00241FFD"/>
    <w:rsid w:val="0024225C"/>
    <w:rsid w:val="00242365"/>
    <w:rsid w:val="0024250C"/>
    <w:rsid w:val="0024305C"/>
    <w:rsid w:val="0024371C"/>
    <w:rsid w:val="00243BEC"/>
    <w:rsid w:val="002443E7"/>
    <w:rsid w:val="00244846"/>
    <w:rsid w:val="00244A9C"/>
    <w:rsid w:val="00244FBC"/>
    <w:rsid w:val="002451A4"/>
    <w:rsid w:val="00246A05"/>
    <w:rsid w:val="00247159"/>
    <w:rsid w:val="002476AD"/>
    <w:rsid w:val="00247C3D"/>
    <w:rsid w:val="00250033"/>
    <w:rsid w:val="002500D3"/>
    <w:rsid w:val="00250B22"/>
    <w:rsid w:val="00250D93"/>
    <w:rsid w:val="0025187C"/>
    <w:rsid w:val="00253397"/>
    <w:rsid w:val="002535EF"/>
    <w:rsid w:val="00255DB4"/>
    <w:rsid w:val="00257303"/>
    <w:rsid w:val="0025754F"/>
    <w:rsid w:val="00257C32"/>
    <w:rsid w:val="00261467"/>
    <w:rsid w:val="00262D36"/>
    <w:rsid w:val="00262DEC"/>
    <w:rsid w:val="002631CC"/>
    <w:rsid w:val="00263777"/>
    <w:rsid w:val="00263E81"/>
    <w:rsid w:val="002640B6"/>
    <w:rsid w:val="002643A3"/>
    <w:rsid w:val="002658DB"/>
    <w:rsid w:val="00266715"/>
    <w:rsid w:val="00266961"/>
    <w:rsid w:val="002673C8"/>
    <w:rsid w:val="00270B53"/>
    <w:rsid w:val="0027251A"/>
    <w:rsid w:val="00274179"/>
    <w:rsid w:val="002747C2"/>
    <w:rsid w:val="00274F38"/>
    <w:rsid w:val="00276400"/>
    <w:rsid w:val="0027701A"/>
    <w:rsid w:val="00280BE1"/>
    <w:rsid w:val="002833BE"/>
    <w:rsid w:val="0028356A"/>
    <w:rsid w:val="00283E1E"/>
    <w:rsid w:val="0028418D"/>
    <w:rsid w:val="00284890"/>
    <w:rsid w:val="002850C9"/>
    <w:rsid w:val="00285168"/>
    <w:rsid w:val="00285341"/>
    <w:rsid w:val="00285B9F"/>
    <w:rsid w:val="0028641E"/>
    <w:rsid w:val="002869C4"/>
    <w:rsid w:val="00286E35"/>
    <w:rsid w:val="002873C8"/>
    <w:rsid w:val="00287AE5"/>
    <w:rsid w:val="00290521"/>
    <w:rsid w:val="002906F8"/>
    <w:rsid w:val="00290B4B"/>
    <w:rsid w:val="00291290"/>
    <w:rsid w:val="00291ECF"/>
    <w:rsid w:val="002922BC"/>
    <w:rsid w:val="00292FFD"/>
    <w:rsid w:val="002930A5"/>
    <w:rsid w:val="00294697"/>
    <w:rsid w:val="00295423"/>
    <w:rsid w:val="0029588C"/>
    <w:rsid w:val="002959F4"/>
    <w:rsid w:val="00296C4A"/>
    <w:rsid w:val="0029726F"/>
    <w:rsid w:val="0029781F"/>
    <w:rsid w:val="00297CB8"/>
    <w:rsid w:val="00297F7B"/>
    <w:rsid w:val="002A03CA"/>
    <w:rsid w:val="002A096F"/>
    <w:rsid w:val="002A0BB7"/>
    <w:rsid w:val="002A0BFF"/>
    <w:rsid w:val="002A0E7F"/>
    <w:rsid w:val="002A12C5"/>
    <w:rsid w:val="002A1A57"/>
    <w:rsid w:val="002A1CFC"/>
    <w:rsid w:val="002A1DB8"/>
    <w:rsid w:val="002A2E69"/>
    <w:rsid w:val="002A35EE"/>
    <w:rsid w:val="002A3602"/>
    <w:rsid w:val="002A37BC"/>
    <w:rsid w:val="002A4113"/>
    <w:rsid w:val="002A42F2"/>
    <w:rsid w:val="002A492C"/>
    <w:rsid w:val="002A4CBC"/>
    <w:rsid w:val="002A5B9D"/>
    <w:rsid w:val="002A6449"/>
    <w:rsid w:val="002A6EE8"/>
    <w:rsid w:val="002B0F57"/>
    <w:rsid w:val="002B11E9"/>
    <w:rsid w:val="002B2623"/>
    <w:rsid w:val="002B27BD"/>
    <w:rsid w:val="002B2A6A"/>
    <w:rsid w:val="002B2CC8"/>
    <w:rsid w:val="002B413D"/>
    <w:rsid w:val="002B4B01"/>
    <w:rsid w:val="002B4F51"/>
    <w:rsid w:val="002B5A73"/>
    <w:rsid w:val="002B5EC7"/>
    <w:rsid w:val="002B5F36"/>
    <w:rsid w:val="002B6243"/>
    <w:rsid w:val="002B6DFE"/>
    <w:rsid w:val="002B73FD"/>
    <w:rsid w:val="002B7B8F"/>
    <w:rsid w:val="002B7C4C"/>
    <w:rsid w:val="002C10EB"/>
    <w:rsid w:val="002C1495"/>
    <w:rsid w:val="002C1EE8"/>
    <w:rsid w:val="002C1F59"/>
    <w:rsid w:val="002C25AF"/>
    <w:rsid w:val="002C273E"/>
    <w:rsid w:val="002C2C38"/>
    <w:rsid w:val="002C3466"/>
    <w:rsid w:val="002C34CE"/>
    <w:rsid w:val="002C47CE"/>
    <w:rsid w:val="002C6F84"/>
    <w:rsid w:val="002C7167"/>
    <w:rsid w:val="002C73FD"/>
    <w:rsid w:val="002D0189"/>
    <w:rsid w:val="002D1844"/>
    <w:rsid w:val="002D2F44"/>
    <w:rsid w:val="002D4BC3"/>
    <w:rsid w:val="002D4BC7"/>
    <w:rsid w:val="002D58D5"/>
    <w:rsid w:val="002D61C8"/>
    <w:rsid w:val="002D6ABC"/>
    <w:rsid w:val="002D732C"/>
    <w:rsid w:val="002E4D14"/>
    <w:rsid w:val="002E5626"/>
    <w:rsid w:val="002E5D8B"/>
    <w:rsid w:val="002E6DFA"/>
    <w:rsid w:val="002E6E6C"/>
    <w:rsid w:val="002E713D"/>
    <w:rsid w:val="002E775A"/>
    <w:rsid w:val="002E7A24"/>
    <w:rsid w:val="002E7A8D"/>
    <w:rsid w:val="002F0364"/>
    <w:rsid w:val="002F0C01"/>
    <w:rsid w:val="002F0C29"/>
    <w:rsid w:val="002F16F2"/>
    <w:rsid w:val="002F1F1C"/>
    <w:rsid w:val="002F2D71"/>
    <w:rsid w:val="002F2EB6"/>
    <w:rsid w:val="002F3077"/>
    <w:rsid w:val="002F3264"/>
    <w:rsid w:val="002F3522"/>
    <w:rsid w:val="002F36D5"/>
    <w:rsid w:val="002F378A"/>
    <w:rsid w:val="002F3C6A"/>
    <w:rsid w:val="002F50AE"/>
    <w:rsid w:val="002F55E0"/>
    <w:rsid w:val="002F5B11"/>
    <w:rsid w:val="002F691A"/>
    <w:rsid w:val="002F73E4"/>
    <w:rsid w:val="002F7FA9"/>
    <w:rsid w:val="0030097D"/>
    <w:rsid w:val="00300B11"/>
    <w:rsid w:val="00301626"/>
    <w:rsid w:val="00301EAE"/>
    <w:rsid w:val="003023F1"/>
    <w:rsid w:val="003029A2"/>
    <w:rsid w:val="0030401C"/>
    <w:rsid w:val="00305787"/>
    <w:rsid w:val="00305DF1"/>
    <w:rsid w:val="003067D0"/>
    <w:rsid w:val="003071D6"/>
    <w:rsid w:val="003073BE"/>
    <w:rsid w:val="00307C61"/>
    <w:rsid w:val="00310680"/>
    <w:rsid w:val="00310B58"/>
    <w:rsid w:val="0031216A"/>
    <w:rsid w:val="0031402F"/>
    <w:rsid w:val="003146BC"/>
    <w:rsid w:val="00314E1A"/>
    <w:rsid w:val="00315804"/>
    <w:rsid w:val="00316E4A"/>
    <w:rsid w:val="00317270"/>
    <w:rsid w:val="0032029E"/>
    <w:rsid w:val="003206FC"/>
    <w:rsid w:val="00320DCD"/>
    <w:rsid w:val="00321B0D"/>
    <w:rsid w:val="00321C53"/>
    <w:rsid w:val="0032235E"/>
    <w:rsid w:val="00322ACB"/>
    <w:rsid w:val="00322E3B"/>
    <w:rsid w:val="00323736"/>
    <w:rsid w:val="00323B3A"/>
    <w:rsid w:val="00324621"/>
    <w:rsid w:val="00324670"/>
    <w:rsid w:val="00324D72"/>
    <w:rsid w:val="00325097"/>
    <w:rsid w:val="003257F8"/>
    <w:rsid w:val="00325CBF"/>
    <w:rsid w:val="00326946"/>
    <w:rsid w:val="00326BF2"/>
    <w:rsid w:val="00327179"/>
    <w:rsid w:val="00327797"/>
    <w:rsid w:val="00330628"/>
    <w:rsid w:val="00331137"/>
    <w:rsid w:val="003313BD"/>
    <w:rsid w:val="00333396"/>
    <w:rsid w:val="003333CE"/>
    <w:rsid w:val="00333FE8"/>
    <w:rsid w:val="00335F0B"/>
    <w:rsid w:val="00336EEA"/>
    <w:rsid w:val="0033700D"/>
    <w:rsid w:val="003372D3"/>
    <w:rsid w:val="00337711"/>
    <w:rsid w:val="00340852"/>
    <w:rsid w:val="00340DB2"/>
    <w:rsid w:val="003421C4"/>
    <w:rsid w:val="0034268B"/>
    <w:rsid w:val="00342B50"/>
    <w:rsid w:val="0034300E"/>
    <w:rsid w:val="003430F6"/>
    <w:rsid w:val="003433BF"/>
    <w:rsid w:val="00343CEB"/>
    <w:rsid w:val="00344091"/>
    <w:rsid w:val="00344468"/>
    <w:rsid w:val="00346411"/>
    <w:rsid w:val="00346461"/>
    <w:rsid w:val="0034704F"/>
    <w:rsid w:val="00350EB2"/>
    <w:rsid w:val="00351186"/>
    <w:rsid w:val="003524D8"/>
    <w:rsid w:val="003526C8"/>
    <w:rsid w:val="00352E4F"/>
    <w:rsid w:val="00353196"/>
    <w:rsid w:val="0035331E"/>
    <w:rsid w:val="00353EB4"/>
    <w:rsid w:val="00354030"/>
    <w:rsid w:val="003543D4"/>
    <w:rsid w:val="003549FE"/>
    <w:rsid w:val="00356206"/>
    <w:rsid w:val="00356C00"/>
    <w:rsid w:val="003572F2"/>
    <w:rsid w:val="00357E0A"/>
    <w:rsid w:val="00360E26"/>
    <w:rsid w:val="003615F1"/>
    <w:rsid w:val="00361916"/>
    <w:rsid w:val="00361BB1"/>
    <w:rsid w:val="0036251E"/>
    <w:rsid w:val="0036299D"/>
    <w:rsid w:val="0036435A"/>
    <w:rsid w:val="0036471A"/>
    <w:rsid w:val="003648C6"/>
    <w:rsid w:val="00365479"/>
    <w:rsid w:val="003666C4"/>
    <w:rsid w:val="0036735E"/>
    <w:rsid w:val="0036775E"/>
    <w:rsid w:val="003700B2"/>
    <w:rsid w:val="00371410"/>
    <w:rsid w:val="00371AE3"/>
    <w:rsid w:val="0037200A"/>
    <w:rsid w:val="0037239D"/>
    <w:rsid w:val="00372711"/>
    <w:rsid w:val="00372B44"/>
    <w:rsid w:val="00372E81"/>
    <w:rsid w:val="003730CA"/>
    <w:rsid w:val="00373DF1"/>
    <w:rsid w:val="003748E1"/>
    <w:rsid w:val="00375177"/>
    <w:rsid w:val="003758F8"/>
    <w:rsid w:val="00376E16"/>
    <w:rsid w:val="00377277"/>
    <w:rsid w:val="003773F1"/>
    <w:rsid w:val="003778A1"/>
    <w:rsid w:val="00377A91"/>
    <w:rsid w:val="003806E5"/>
    <w:rsid w:val="00380A28"/>
    <w:rsid w:val="003838D9"/>
    <w:rsid w:val="00383C12"/>
    <w:rsid w:val="00384AA2"/>
    <w:rsid w:val="003850EF"/>
    <w:rsid w:val="003852C8"/>
    <w:rsid w:val="00385366"/>
    <w:rsid w:val="0038575C"/>
    <w:rsid w:val="0038676B"/>
    <w:rsid w:val="00386F0E"/>
    <w:rsid w:val="00387656"/>
    <w:rsid w:val="00387D71"/>
    <w:rsid w:val="003901D9"/>
    <w:rsid w:val="00391000"/>
    <w:rsid w:val="00391894"/>
    <w:rsid w:val="00391D75"/>
    <w:rsid w:val="00392B39"/>
    <w:rsid w:val="00392D50"/>
    <w:rsid w:val="00393695"/>
    <w:rsid w:val="003937AA"/>
    <w:rsid w:val="003947E9"/>
    <w:rsid w:val="00394BBD"/>
    <w:rsid w:val="00395115"/>
    <w:rsid w:val="00396312"/>
    <w:rsid w:val="00397273"/>
    <w:rsid w:val="003A02FD"/>
    <w:rsid w:val="003A0BEE"/>
    <w:rsid w:val="003A1796"/>
    <w:rsid w:val="003A22AD"/>
    <w:rsid w:val="003A2531"/>
    <w:rsid w:val="003A2BF7"/>
    <w:rsid w:val="003A2CFD"/>
    <w:rsid w:val="003A3F90"/>
    <w:rsid w:val="003A47FE"/>
    <w:rsid w:val="003A5B0D"/>
    <w:rsid w:val="003A5CE6"/>
    <w:rsid w:val="003A6394"/>
    <w:rsid w:val="003A65FF"/>
    <w:rsid w:val="003A6A33"/>
    <w:rsid w:val="003B2D85"/>
    <w:rsid w:val="003B32F1"/>
    <w:rsid w:val="003B34A0"/>
    <w:rsid w:val="003B3B6D"/>
    <w:rsid w:val="003B3F8A"/>
    <w:rsid w:val="003B4927"/>
    <w:rsid w:val="003B656E"/>
    <w:rsid w:val="003B6B6F"/>
    <w:rsid w:val="003B71BC"/>
    <w:rsid w:val="003B73D7"/>
    <w:rsid w:val="003B75F1"/>
    <w:rsid w:val="003B7DBB"/>
    <w:rsid w:val="003B7F79"/>
    <w:rsid w:val="003C00E3"/>
    <w:rsid w:val="003C128B"/>
    <w:rsid w:val="003C13D4"/>
    <w:rsid w:val="003C26DF"/>
    <w:rsid w:val="003C2B4B"/>
    <w:rsid w:val="003C471A"/>
    <w:rsid w:val="003D0597"/>
    <w:rsid w:val="003D065D"/>
    <w:rsid w:val="003D104C"/>
    <w:rsid w:val="003D1484"/>
    <w:rsid w:val="003D18C7"/>
    <w:rsid w:val="003D1CAC"/>
    <w:rsid w:val="003D216E"/>
    <w:rsid w:val="003D2FA8"/>
    <w:rsid w:val="003D3784"/>
    <w:rsid w:val="003D39CB"/>
    <w:rsid w:val="003D3B2C"/>
    <w:rsid w:val="003D3EF6"/>
    <w:rsid w:val="003D4245"/>
    <w:rsid w:val="003D5DD3"/>
    <w:rsid w:val="003D7B8D"/>
    <w:rsid w:val="003D7E86"/>
    <w:rsid w:val="003E03F7"/>
    <w:rsid w:val="003E1456"/>
    <w:rsid w:val="003E2603"/>
    <w:rsid w:val="003E2622"/>
    <w:rsid w:val="003E28E2"/>
    <w:rsid w:val="003E6713"/>
    <w:rsid w:val="003E78DD"/>
    <w:rsid w:val="003F0127"/>
    <w:rsid w:val="003F0457"/>
    <w:rsid w:val="003F06AE"/>
    <w:rsid w:val="003F09B7"/>
    <w:rsid w:val="003F0C03"/>
    <w:rsid w:val="003F184B"/>
    <w:rsid w:val="003F25BC"/>
    <w:rsid w:val="003F3028"/>
    <w:rsid w:val="003F3557"/>
    <w:rsid w:val="003F3F1E"/>
    <w:rsid w:val="003F3FA5"/>
    <w:rsid w:val="003F490B"/>
    <w:rsid w:val="003F4DFD"/>
    <w:rsid w:val="003F52EB"/>
    <w:rsid w:val="003F5741"/>
    <w:rsid w:val="003F6046"/>
    <w:rsid w:val="003F6608"/>
    <w:rsid w:val="003F66F6"/>
    <w:rsid w:val="003F6CFB"/>
    <w:rsid w:val="003F6F46"/>
    <w:rsid w:val="003F7DC9"/>
    <w:rsid w:val="004005C7"/>
    <w:rsid w:val="0040075E"/>
    <w:rsid w:val="00400894"/>
    <w:rsid w:val="0040172C"/>
    <w:rsid w:val="0040195B"/>
    <w:rsid w:val="00404CA7"/>
    <w:rsid w:val="00405DC2"/>
    <w:rsid w:val="004069ED"/>
    <w:rsid w:val="00407021"/>
    <w:rsid w:val="00407756"/>
    <w:rsid w:val="00407F68"/>
    <w:rsid w:val="004108DA"/>
    <w:rsid w:val="0041093D"/>
    <w:rsid w:val="00410964"/>
    <w:rsid w:val="00411151"/>
    <w:rsid w:val="0041147C"/>
    <w:rsid w:val="004115CF"/>
    <w:rsid w:val="00411A17"/>
    <w:rsid w:val="00411F7F"/>
    <w:rsid w:val="00412AAB"/>
    <w:rsid w:val="00413FDD"/>
    <w:rsid w:val="00414949"/>
    <w:rsid w:val="004158DC"/>
    <w:rsid w:val="00415CD1"/>
    <w:rsid w:val="004169DD"/>
    <w:rsid w:val="00416C13"/>
    <w:rsid w:val="00417657"/>
    <w:rsid w:val="00417CBF"/>
    <w:rsid w:val="00421416"/>
    <w:rsid w:val="004215D9"/>
    <w:rsid w:val="00421841"/>
    <w:rsid w:val="00421969"/>
    <w:rsid w:val="00421A97"/>
    <w:rsid w:val="00421BA7"/>
    <w:rsid w:val="004221AD"/>
    <w:rsid w:val="004235C0"/>
    <w:rsid w:val="004238BB"/>
    <w:rsid w:val="00423FBC"/>
    <w:rsid w:val="00424970"/>
    <w:rsid w:val="00424BF2"/>
    <w:rsid w:val="00424C13"/>
    <w:rsid w:val="00424D9B"/>
    <w:rsid w:val="0042560E"/>
    <w:rsid w:val="00426687"/>
    <w:rsid w:val="004268EE"/>
    <w:rsid w:val="0042726E"/>
    <w:rsid w:val="00427284"/>
    <w:rsid w:val="00430296"/>
    <w:rsid w:val="00430CB5"/>
    <w:rsid w:val="0043159B"/>
    <w:rsid w:val="00431612"/>
    <w:rsid w:val="00433099"/>
    <w:rsid w:val="0043370C"/>
    <w:rsid w:val="00433F00"/>
    <w:rsid w:val="0043458D"/>
    <w:rsid w:val="00434B3F"/>
    <w:rsid w:val="004351D5"/>
    <w:rsid w:val="00435208"/>
    <w:rsid w:val="00436809"/>
    <w:rsid w:val="00436C47"/>
    <w:rsid w:val="00437117"/>
    <w:rsid w:val="00437367"/>
    <w:rsid w:val="0043736E"/>
    <w:rsid w:val="00441858"/>
    <w:rsid w:val="004418CD"/>
    <w:rsid w:val="00442120"/>
    <w:rsid w:val="00442928"/>
    <w:rsid w:val="00442B75"/>
    <w:rsid w:val="00442D53"/>
    <w:rsid w:val="0044459B"/>
    <w:rsid w:val="00444610"/>
    <w:rsid w:val="00444A49"/>
    <w:rsid w:val="00444B29"/>
    <w:rsid w:val="00444E9F"/>
    <w:rsid w:val="00444FF0"/>
    <w:rsid w:val="0044501C"/>
    <w:rsid w:val="004453E5"/>
    <w:rsid w:val="00445713"/>
    <w:rsid w:val="00445BCA"/>
    <w:rsid w:val="00446099"/>
    <w:rsid w:val="0044614B"/>
    <w:rsid w:val="00447566"/>
    <w:rsid w:val="00447913"/>
    <w:rsid w:val="00450EBF"/>
    <w:rsid w:val="00450F7A"/>
    <w:rsid w:val="0045116E"/>
    <w:rsid w:val="00451C08"/>
    <w:rsid w:val="0045262C"/>
    <w:rsid w:val="0045302F"/>
    <w:rsid w:val="004537C8"/>
    <w:rsid w:val="0045397F"/>
    <w:rsid w:val="00454353"/>
    <w:rsid w:val="00456581"/>
    <w:rsid w:val="004571D7"/>
    <w:rsid w:val="0045777E"/>
    <w:rsid w:val="004579DE"/>
    <w:rsid w:val="004601FE"/>
    <w:rsid w:val="00460B93"/>
    <w:rsid w:val="004613CB"/>
    <w:rsid w:val="004617D5"/>
    <w:rsid w:val="00462456"/>
    <w:rsid w:val="00462E15"/>
    <w:rsid w:val="00462F9F"/>
    <w:rsid w:val="004635B8"/>
    <w:rsid w:val="004645C4"/>
    <w:rsid w:val="00465496"/>
    <w:rsid w:val="004655F0"/>
    <w:rsid w:val="00466C61"/>
    <w:rsid w:val="00467B16"/>
    <w:rsid w:val="00467B25"/>
    <w:rsid w:val="00470E1F"/>
    <w:rsid w:val="0047182A"/>
    <w:rsid w:val="00471D20"/>
    <w:rsid w:val="00472428"/>
    <w:rsid w:val="004724C7"/>
    <w:rsid w:val="004728DF"/>
    <w:rsid w:val="00472B53"/>
    <w:rsid w:val="00473F4D"/>
    <w:rsid w:val="0047427E"/>
    <w:rsid w:val="004745E8"/>
    <w:rsid w:val="00474834"/>
    <w:rsid w:val="00474D8A"/>
    <w:rsid w:val="00476748"/>
    <w:rsid w:val="00476ACE"/>
    <w:rsid w:val="00476B60"/>
    <w:rsid w:val="0048025D"/>
    <w:rsid w:val="004808DD"/>
    <w:rsid w:val="00480A37"/>
    <w:rsid w:val="00482BEA"/>
    <w:rsid w:val="00482EBF"/>
    <w:rsid w:val="004839A7"/>
    <w:rsid w:val="00483A82"/>
    <w:rsid w:val="0048446A"/>
    <w:rsid w:val="0048472A"/>
    <w:rsid w:val="00484C5F"/>
    <w:rsid w:val="004853C2"/>
    <w:rsid w:val="00485B15"/>
    <w:rsid w:val="00485EE8"/>
    <w:rsid w:val="00485EFB"/>
    <w:rsid w:val="004862CB"/>
    <w:rsid w:val="00486C44"/>
    <w:rsid w:val="00486D6B"/>
    <w:rsid w:val="00487882"/>
    <w:rsid w:val="00487D57"/>
    <w:rsid w:val="00487DBA"/>
    <w:rsid w:val="00490B06"/>
    <w:rsid w:val="00490D9E"/>
    <w:rsid w:val="00491828"/>
    <w:rsid w:val="0049182F"/>
    <w:rsid w:val="004919BC"/>
    <w:rsid w:val="004925C5"/>
    <w:rsid w:val="004930F6"/>
    <w:rsid w:val="00493787"/>
    <w:rsid w:val="00493820"/>
    <w:rsid w:val="00493A16"/>
    <w:rsid w:val="00493B28"/>
    <w:rsid w:val="00493B4C"/>
    <w:rsid w:val="004959CB"/>
    <w:rsid w:val="00495A3B"/>
    <w:rsid w:val="00496517"/>
    <w:rsid w:val="004A013D"/>
    <w:rsid w:val="004A159B"/>
    <w:rsid w:val="004A20B5"/>
    <w:rsid w:val="004A2955"/>
    <w:rsid w:val="004A2CAF"/>
    <w:rsid w:val="004A315E"/>
    <w:rsid w:val="004A3341"/>
    <w:rsid w:val="004A5F60"/>
    <w:rsid w:val="004A7199"/>
    <w:rsid w:val="004A7438"/>
    <w:rsid w:val="004A7810"/>
    <w:rsid w:val="004B16F2"/>
    <w:rsid w:val="004B19BC"/>
    <w:rsid w:val="004B1AC7"/>
    <w:rsid w:val="004B1D21"/>
    <w:rsid w:val="004B1DD6"/>
    <w:rsid w:val="004B1DDC"/>
    <w:rsid w:val="004B22ED"/>
    <w:rsid w:val="004B28C9"/>
    <w:rsid w:val="004B419B"/>
    <w:rsid w:val="004B4CF1"/>
    <w:rsid w:val="004B6437"/>
    <w:rsid w:val="004B7D31"/>
    <w:rsid w:val="004C0E32"/>
    <w:rsid w:val="004C1231"/>
    <w:rsid w:val="004C1480"/>
    <w:rsid w:val="004C3944"/>
    <w:rsid w:val="004C47A6"/>
    <w:rsid w:val="004C5135"/>
    <w:rsid w:val="004C5E42"/>
    <w:rsid w:val="004C603E"/>
    <w:rsid w:val="004C6889"/>
    <w:rsid w:val="004C6CB6"/>
    <w:rsid w:val="004C7372"/>
    <w:rsid w:val="004D03B0"/>
    <w:rsid w:val="004D0650"/>
    <w:rsid w:val="004D0C3D"/>
    <w:rsid w:val="004D13F0"/>
    <w:rsid w:val="004D1864"/>
    <w:rsid w:val="004D22B6"/>
    <w:rsid w:val="004D3445"/>
    <w:rsid w:val="004D3FC5"/>
    <w:rsid w:val="004D40C6"/>
    <w:rsid w:val="004D474D"/>
    <w:rsid w:val="004D4ED9"/>
    <w:rsid w:val="004D55F9"/>
    <w:rsid w:val="004E0080"/>
    <w:rsid w:val="004E08FB"/>
    <w:rsid w:val="004E093E"/>
    <w:rsid w:val="004E0DE3"/>
    <w:rsid w:val="004E20C6"/>
    <w:rsid w:val="004E235F"/>
    <w:rsid w:val="004E2AE8"/>
    <w:rsid w:val="004E3A58"/>
    <w:rsid w:val="004E3E15"/>
    <w:rsid w:val="004E5B91"/>
    <w:rsid w:val="004E5BBF"/>
    <w:rsid w:val="004E6599"/>
    <w:rsid w:val="004E6771"/>
    <w:rsid w:val="004E6DDB"/>
    <w:rsid w:val="004E70A0"/>
    <w:rsid w:val="004E70F9"/>
    <w:rsid w:val="004E72E4"/>
    <w:rsid w:val="004E7949"/>
    <w:rsid w:val="004E7D9D"/>
    <w:rsid w:val="004F0D1D"/>
    <w:rsid w:val="004F140D"/>
    <w:rsid w:val="004F16EB"/>
    <w:rsid w:val="004F1A0C"/>
    <w:rsid w:val="004F2C74"/>
    <w:rsid w:val="004F3DD2"/>
    <w:rsid w:val="004F45E4"/>
    <w:rsid w:val="004F4887"/>
    <w:rsid w:val="004F4DDD"/>
    <w:rsid w:val="004F4E89"/>
    <w:rsid w:val="004F529B"/>
    <w:rsid w:val="004F6951"/>
    <w:rsid w:val="004F727A"/>
    <w:rsid w:val="004F7C44"/>
    <w:rsid w:val="004F7E03"/>
    <w:rsid w:val="0050048F"/>
    <w:rsid w:val="00500D82"/>
    <w:rsid w:val="005010CC"/>
    <w:rsid w:val="00503809"/>
    <w:rsid w:val="005038FF"/>
    <w:rsid w:val="00503BE4"/>
    <w:rsid w:val="00503C3C"/>
    <w:rsid w:val="0050462D"/>
    <w:rsid w:val="00504B1E"/>
    <w:rsid w:val="00504EEC"/>
    <w:rsid w:val="0050576C"/>
    <w:rsid w:val="0050591B"/>
    <w:rsid w:val="00505B6D"/>
    <w:rsid w:val="00506056"/>
    <w:rsid w:val="00506358"/>
    <w:rsid w:val="00506BD0"/>
    <w:rsid w:val="0050706C"/>
    <w:rsid w:val="005071EA"/>
    <w:rsid w:val="0050752E"/>
    <w:rsid w:val="00507691"/>
    <w:rsid w:val="00507EAD"/>
    <w:rsid w:val="00507FB6"/>
    <w:rsid w:val="00511290"/>
    <w:rsid w:val="005126B4"/>
    <w:rsid w:val="00512780"/>
    <w:rsid w:val="00512C86"/>
    <w:rsid w:val="00512F01"/>
    <w:rsid w:val="005130A9"/>
    <w:rsid w:val="00513CEC"/>
    <w:rsid w:val="0051419D"/>
    <w:rsid w:val="00514874"/>
    <w:rsid w:val="00514881"/>
    <w:rsid w:val="00515402"/>
    <w:rsid w:val="0051552F"/>
    <w:rsid w:val="005155F2"/>
    <w:rsid w:val="00515D10"/>
    <w:rsid w:val="005163EB"/>
    <w:rsid w:val="0051650B"/>
    <w:rsid w:val="00516E5B"/>
    <w:rsid w:val="00516F10"/>
    <w:rsid w:val="0051705B"/>
    <w:rsid w:val="00517402"/>
    <w:rsid w:val="005201F2"/>
    <w:rsid w:val="00521063"/>
    <w:rsid w:val="00521905"/>
    <w:rsid w:val="00522AC3"/>
    <w:rsid w:val="0052347C"/>
    <w:rsid w:val="00524171"/>
    <w:rsid w:val="00524C8A"/>
    <w:rsid w:val="005250C4"/>
    <w:rsid w:val="005251FE"/>
    <w:rsid w:val="0052573D"/>
    <w:rsid w:val="00525A50"/>
    <w:rsid w:val="00525FAC"/>
    <w:rsid w:val="00526B86"/>
    <w:rsid w:val="00527E7D"/>
    <w:rsid w:val="0053000E"/>
    <w:rsid w:val="00531150"/>
    <w:rsid w:val="00531256"/>
    <w:rsid w:val="00531377"/>
    <w:rsid w:val="00532447"/>
    <w:rsid w:val="00532DAC"/>
    <w:rsid w:val="0053334C"/>
    <w:rsid w:val="00533F93"/>
    <w:rsid w:val="0053413B"/>
    <w:rsid w:val="005344BF"/>
    <w:rsid w:val="005347EC"/>
    <w:rsid w:val="005348C4"/>
    <w:rsid w:val="00534B2A"/>
    <w:rsid w:val="00534CDA"/>
    <w:rsid w:val="00534F50"/>
    <w:rsid w:val="00535F55"/>
    <w:rsid w:val="00536034"/>
    <w:rsid w:val="005376CF"/>
    <w:rsid w:val="00537A82"/>
    <w:rsid w:val="0054005C"/>
    <w:rsid w:val="005405CE"/>
    <w:rsid w:val="00540ED6"/>
    <w:rsid w:val="0054257F"/>
    <w:rsid w:val="005439D1"/>
    <w:rsid w:val="00543A20"/>
    <w:rsid w:val="00543EA0"/>
    <w:rsid w:val="00543EB4"/>
    <w:rsid w:val="00543FE4"/>
    <w:rsid w:val="0054438F"/>
    <w:rsid w:val="00544F58"/>
    <w:rsid w:val="0054519A"/>
    <w:rsid w:val="00545298"/>
    <w:rsid w:val="00545A42"/>
    <w:rsid w:val="00546077"/>
    <w:rsid w:val="005468D5"/>
    <w:rsid w:val="00546994"/>
    <w:rsid w:val="00547921"/>
    <w:rsid w:val="0055045D"/>
    <w:rsid w:val="00550839"/>
    <w:rsid w:val="0055209C"/>
    <w:rsid w:val="005542D0"/>
    <w:rsid w:val="00554537"/>
    <w:rsid w:val="00555821"/>
    <w:rsid w:val="0055662A"/>
    <w:rsid w:val="00557019"/>
    <w:rsid w:val="00557D54"/>
    <w:rsid w:val="005603B1"/>
    <w:rsid w:val="00560BD7"/>
    <w:rsid w:val="0056108A"/>
    <w:rsid w:val="0056205B"/>
    <w:rsid w:val="005626DF"/>
    <w:rsid w:val="00562B40"/>
    <w:rsid w:val="00562F71"/>
    <w:rsid w:val="00563678"/>
    <w:rsid w:val="00563ED6"/>
    <w:rsid w:val="005640C7"/>
    <w:rsid w:val="0056419D"/>
    <w:rsid w:val="00564F03"/>
    <w:rsid w:val="00565635"/>
    <w:rsid w:val="0056710C"/>
    <w:rsid w:val="00570639"/>
    <w:rsid w:val="005708F7"/>
    <w:rsid w:val="0057162B"/>
    <w:rsid w:val="00571C05"/>
    <w:rsid w:val="00571CE5"/>
    <w:rsid w:val="00572395"/>
    <w:rsid w:val="00572FA7"/>
    <w:rsid w:val="005731D2"/>
    <w:rsid w:val="00573290"/>
    <w:rsid w:val="00573D06"/>
    <w:rsid w:val="005743EE"/>
    <w:rsid w:val="00574724"/>
    <w:rsid w:val="00575B24"/>
    <w:rsid w:val="00575FA1"/>
    <w:rsid w:val="00576C40"/>
    <w:rsid w:val="00577193"/>
    <w:rsid w:val="005777F8"/>
    <w:rsid w:val="00577F4A"/>
    <w:rsid w:val="00581655"/>
    <w:rsid w:val="00581830"/>
    <w:rsid w:val="00581BBC"/>
    <w:rsid w:val="00582956"/>
    <w:rsid w:val="00583CA3"/>
    <w:rsid w:val="00583D05"/>
    <w:rsid w:val="00583FF4"/>
    <w:rsid w:val="005848D8"/>
    <w:rsid w:val="00586C83"/>
    <w:rsid w:val="00590076"/>
    <w:rsid w:val="00590167"/>
    <w:rsid w:val="00590568"/>
    <w:rsid w:val="005923B0"/>
    <w:rsid w:val="005924C4"/>
    <w:rsid w:val="00592BB1"/>
    <w:rsid w:val="005933CC"/>
    <w:rsid w:val="00593BB5"/>
    <w:rsid w:val="005942BF"/>
    <w:rsid w:val="005942DF"/>
    <w:rsid w:val="005943AC"/>
    <w:rsid w:val="00594998"/>
    <w:rsid w:val="005951A9"/>
    <w:rsid w:val="00596EBD"/>
    <w:rsid w:val="005974A1"/>
    <w:rsid w:val="00597894"/>
    <w:rsid w:val="00597AE3"/>
    <w:rsid w:val="005A0B62"/>
    <w:rsid w:val="005A1618"/>
    <w:rsid w:val="005A180A"/>
    <w:rsid w:val="005A18D1"/>
    <w:rsid w:val="005A2EAD"/>
    <w:rsid w:val="005A34FE"/>
    <w:rsid w:val="005A39E6"/>
    <w:rsid w:val="005A47B2"/>
    <w:rsid w:val="005A4EEC"/>
    <w:rsid w:val="005A52B1"/>
    <w:rsid w:val="005A52EB"/>
    <w:rsid w:val="005A616B"/>
    <w:rsid w:val="005A6540"/>
    <w:rsid w:val="005B04F0"/>
    <w:rsid w:val="005B23BA"/>
    <w:rsid w:val="005B2BA6"/>
    <w:rsid w:val="005B322E"/>
    <w:rsid w:val="005B38F6"/>
    <w:rsid w:val="005B492A"/>
    <w:rsid w:val="005B4FA1"/>
    <w:rsid w:val="005B5311"/>
    <w:rsid w:val="005B5995"/>
    <w:rsid w:val="005B5D2E"/>
    <w:rsid w:val="005B5E2D"/>
    <w:rsid w:val="005B6014"/>
    <w:rsid w:val="005B6D43"/>
    <w:rsid w:val="005B773A"/>
    <w:rsid w:val="005B7B7E"/>
    <w:rsid w:val="005C0AAC"/>
    <w:rsid w:val="005C0B1B"/>
    <w:rsid w:val="005C104E"/>
    <w:rsid w:val="005C1433"/>
    <w:rsid w:val="005C2290"/>
    <w:rsid w:val="005C22C1"/>
    <w:rsid w:val="005C257D"/>
    <w:rsid w:val="005C2850"/>
    <w:rsid w:val="005C2AC9"/>
    <w:rsid w:val="005C2F1A"/>
    <w:rsid w:val="005C3118"/>
    <w:rsid w:val="005C4E33"/>
    <w:rsid w:val="005C4EEB"/>
    <w:rsid w:val="005C57E2"/>
    <w:rsid w:val="005C6E25"/>
    <w:rsid w:val="005C7035"/>
    <w:rsid w:val="005C7183"/>
    <w:rsid w:val="005C7257"/>
    <w:rsid w:val="005C759B"/>
    <w:rsid w:val="005D01FF"/>
    <w:rsid w:val="005D04CB"/>
    <w:rsid w:val="005D1535"/>
    <w:rsid w:val="005D19F2"/>
    <w:rsid w:val="005D1BFF"/>
    <w:rsid w:val="005D208A"/>
    <w:rsid w:val="005D39A2"/>
    <w:rsid w:val="005D41DC"/>
    <w:rsid w:val="005D46FE"/>
    <w:rsid w:val="005D4E4A"/>
    <w:rsid w:val="005D56EF"/>
    <w:rsid w:val="005D5868"/>
    <w:rsid w:val="005D593F"/>
    <w:rsid w:val="005D639A"/>
    <w:rsid w:val="005E06CA"/>
    <w:rsid w:val="005E097F"/>
    <w:rsid w:val="005E0D8A"/>
    <w:rsid w:val="005E0FA5"/>
    <w:rsid w:val="005E10DB"/>
    <w:rsid w:val="005E2CFA"/>
    <w:rsid w:val="005E35C5"/>
    <w:rsid w:val="005E5358"/>
    <w:rsid w:val="005E5373"/>
    <w:rsid w:val="005E5478"/>
    <w:rsid w:val="005E5DFB"/>
    <w:rsid w:val="005E5E2B"/>
    <w:rsid w:val="005E64B5"/>
    <w:rsid w:val="005E701E"/>
    <w:rsid w:val="005E72C1"/>
    <w:rsid w:val="005E7E9B"/>
    <w:rsid w:val="005F0057"/>
    <w:rsid w:val="005F00D5"/>
    <w:rsid w:val="005F0258"/>
    <w:rsid w:val="005F1239"/>
    <w:rsid w:val="005F137D"/>
    <w:rsid w:val="005F197E"/>
    <w:rsid w:val="005F1A88"/>
    <w:rsid w:val="005F3465"/>
    <w:rsid w:val="005F3553"/>
    <w:rsid w:val="005F4549"/>
    <w:rsid w:val="005F479E"/>
    <w:rsid w:val="005F5321"/>
    <w:rsid w:val="005F5C1F"/>
    <w:rsid w:val="005F5E17"/>
    <w:rsid w:val="005F6942"/>
    <w:rsid w:val="005F6E46"/>
    <w:rsid w:val="005F6EB5"/>
    <w:rsid w:val="00601143"/>
    <w:rsid w:val="0060124B"/>
    <w:rsid w:val="006029CF"/>
    <w:rsid w:val="00602F73"/>
    <w:rsid w:val="0060325E"/>
    <w:rsid w:val="00603ED3"/>
    <w:rsid w:val="00604176"/>
    <w:rsid w:val="006046CB"/>
    <w:rsid w:val="00604E69"/>
    <w:rsid w:val="00605B29"/>
    <w:rsid w:val="00605BB2"/>
    <w:rsid w:val="006065FA"/>
    <w:rsid w:val="00606652"/>
    <w:rsid w:val="00607774"/>
    <w:rsid w:val="00607924"/>
    <w:rsid w:val="0061025E"/>
    <w:rsid w:val="006116FC"/>
    <w:rsid w:val="0061234F"/>
    <w:rsid w:val="0061312F"/>
    <w:rsid w:val="006138C7"/>
    <w:rsid w:val="00614EBB"/>
    <w:rsid w:val="0061527C"/>
    <w:rsid w:val="00615609"/>
    <w:rsid w:val="006162D0"/>
    <w:rsid w:val="006166AE"/>
    <w:rsid w:val="00616E8A"/>
    <w:rsid w:val="0061721A"/>
    <w:rsid w:val="0061749E"/>
    <w:rsid w:val="00617C7D"/>
    <w:rsid w:val="00617D07"/>
    <w:rsid w:val="0062006E"/>
    <w:rsid w:val="0062038F"/>
    <w:rsid w:val="00620834"/>
    <w:rsid w:val="00621127"/>
    <w:rsid w:val="00621A5E"/>
    <w:rsid w:val="00622816"/>
    <w:rsid w:val="00623F21"/>
    <w:rsid w:val="00624FAE"/>
    <w:rsid w:val="00625689"/>
    <w:rsid w:val="00625F50"/>
    <w:rsid w:val="006266FE"/>
    <w:rsid w:val="00626A17"/>
    <w:rsid w:val="00626ADB"/>
    <w:rsid w:val="00627985"/>
    <w:rsid w:val="00630100"/>
    <w:rsid w:val="0063072B"/>
    <w:rsid w:val="00631330"/>
    <w:rsid w:val="00631AEF"/>
    <w:rsid w:val="00632266"/>
    <w:rsid w:val="0063334A"/>
    <w:rsid w:val="00633B7B"/>
    <w:rsid w:val="00634078"/>
    <w:rsid w:val="00634434"/>
    <w:rsid w:val="00634663"/>
    <w:rsid w:val="00634770"/>
    <w:rsid w:val="00635738"/>
    <w:rsid w:val="00635E26"/>
    <w:rsid w:val="00636FF2"/>
    <w:rsid w:val="00637724"/>
    <w:rsid w:val="00637A1A"/>
    <w:rsid w:val="00637C69"/>
    <w:rsid w:val="00640146"/>
    <w:rsid w:val="00640646"/>
    <w:rsid w:val="00640E8B"/>
    <w:rsid w:val="00641597"/>
    <w:rsid w:val="006428D7"/>
    <w:rsid w:val="00643368"/>
    <w:rsid w:val="00643CB8"/>
    <w:rsid w:val="006440B0"/>
    <w:rsid w:val="00644162"/>
    <w:rsid w:val="00644295"/>
    <w:rsid w:val="00644C38"/>
    <w:rsid w:val="00644F4D"/>
    <w:rsid w:val="00645120"/>
    <w:rsid w:val="006460BA"/>
    <w:rsid w:val="006469DB"/>
    <w:rsid w:val="00646CC3"/>
    <w:rsid w:val="00647000"/>
    <w:rsid w:val="00647D52"/>
    <w:rsid w:val="00651396"/>
    <w:rsid w:val="0065198E"/>
    <w:rsid w:val="006530F5"/>
    <w:rsid w:val="00653B88"/>
    <w:rsid w:val="00653D4A"/>
    <w:rsid w:val="00654341"/>
    <w:rsid w:val="00654991"/>
    <w:rsid w:val="006551CE"/>
    <w:rsid w:val="006554DB"/>
    <w:rsid w:val="006554E5"/>
    <w:rsid w:val="00656200"/>
    <w:rsid w:val="00656D42"/>
    <w:rsid w:val="006606F0"/>
    <w:rsid w:val="00661409"/>
    <w:rsid w:val="00662159"/>
    <w:rsid w:val="006632ED"/>
    <w:rsid w:val="0066336D"/>
    <w:rsid w:val="0066387C"/>
    <w:rsid w:val="00663B4E"/>
    <w:rsid w:val="00666063"/>
    <w:rsid w:val="006666B9"/>
    <w:rsid w:val="00667030"/>
    <w:rsid w:val="006704F4"/>
    <w:rsid w:val="0067091F"/>
    <w:rsid w:val="00670E2F"/>
    <w:rsid w:val="0067160D"/>
    <w:rsid w:val="00671F85"/>
    <w:rsid w:val="00672117"/>
    <w:rsid w:val="0067285E"/>
    <w:rsid w:val="00672B3E"/>
    <w:rsid w:val="006731B3"/>
    <w:rsid w:val="0067380C"/>
    <w:rsid w:val="00674F2B"/>
    <w:rsid w:val="00675622"/>
    <w:rsid w:val="00675FAD"/>
    <w:rsid w:val="00676009"/>
    <w:rsid w:val="00676DBC"/>
    <w:rsid w:val="006770C3"/>
    <w:rsid w:val="00677711"/>
    <w:rsid w:val="00680431"/>
    <w:rsid w:val="00680516"/>
    <w:rsid w:val="0068070E"/>
    <w:rsid w:val="006816EF"/>
    <w:rsid w:val="006825C7"/>
    <w:rsid w:val="00682BB1"/>
    <w:rsid w:val="00683160"/>
    <w:rsid w:val="006831D0"/>
    <w:rsid w:val="00684E5C"/>
    <w:rsid w:val="0068586A"/>
    <w:rsid w:val="00685C0F"/>
    <w:rsid w:val="006865EB"/>
    <w:rsid w:val="00686D00"/>
    <w:rsid w:val="006875D7"/>
    <w:rsid w:val="006877F5"/>
    <w:rsid w:val="00687AC7"/>
    <w:rsid w:val="00690224"/>
    <w:rsid w:val="00690574"/>
    <w:rsid w:val="00690885"/>
    <w:rsid w:val="00692082"/>
    <w:rsid w:val="006921C7"/>
    <w:rsid w:val="00692BE3"/>
    <w:rsid w:val="00692C7C"/>
    <w:rsid w:val="00692CDE"/>
    <w:rsid w:val="00692E31"/>
    <w:rsid w:val="006935E4"/>
    <w:rsid w:val="00693D99"/>
    <w:rsid w:val="0069438C"/>
    <w:rsid w:val="0069498D"/>
    <w:rsid w:val="00694AB7"/>
    <w:rsid w:val="00695DFE"/>
    <w:rsid w:val="00695ED0"/>
    <w:rsid w:val="00695F99"/>
    <w:rsid w:val="00696973"/>
    <w:rsid w:val="006971F7"/>
    <w:rsid w:val="00697619"/>
    <w:rsid w:val="0069775E"/>
    <w:rsid w:val="00697AE8"/>
    <w:rsid w:val="00697EF7"/>
    <w:rsid w:val="006A0494"/>
    <w:rsid w:val="006A15E8"/>
    <w:rsid w:val="006A173E"/>
    <w:rsid w:val="006A2505"/>
    <w:rsid w:val="006A3DAA"/>
    <w:rsid w:val="006A48A2"/>
    <w:rsid w:val="006A68E1"/>
    <w:rsid w:val="006A6E2A"/>
    <w:rsid w:val="006A72D5"/>
    <w:rsid w:val="006A76D8"/>
    <w:rsid w:val="006B0544"/>
    <w:rsid w:val="006B07B9"/>
    <w:rsid w:val="006B0F43"/>
    <w:rsid w:val="006B14C1"/>
    <w:rsid w:val="006B2004"/>
    <w:rsid w:val="006B2167"/>
    <w:rsid w:val="006B22EC"/>
    <w:rsid w:val="006B3335"/>
    <w:rsid w:val="006B3551"/>
    <w:rsid w:val="006B51CC"/>
    <w:rsid w:val="006B6120"/>
    <w:rsid w:val="006B637A"/>
    <w:rsid w:val="006B6681"/>
    <w:rsid w:val="006B719E"/>
    <w:rsid w:val="006C1688"/>
    <w:rsid w:val="006C1DD3"/>
    <w:rsid w:val="006C1F34"/>
    <w:rsid w:val="006C3977"/>
    <w:rsid w:val="006C3E9E"/>
    <w:rsid w:val="006C41FF"/>
    <w:rsid w:val="006C48F9"/>
    <w:rsid w:val="006C58ED"/>
    <w:rsid w:val="006C5A99"/>
    <w:rsid w:val="006C5FBF"/>
    <w:rsid w:val="006C6E43"/>
    <w:rsid w:val="006C6EA9"/>
    <w:rsid w:val="006C77DE"/>
    <w:rsid w:val="006C7C84"/>
    <w:rsid w:val="006D07EB"/>
    <w:rsid w:val="006D0BF4"/>
    <w:rsid w:val="006D0EE7"/>
    <w:rsid w:val="006D1265"/>
    <w:rsid w:val="006D1758"/>
    <w:rsid w:val="006D1B84"/>
    <w:rsid w:val="006D1BAB"/>
    <w:rsid w:val="006D1CF0"/>
    <w:rsid w:val="006D2469"/>
    <w:rsid w:val="006D277C"/>
    <w:rsid w:val="006D2C3F"/>
    <w:rsid w:val="006D2EBF"/>
    <w:rsid w:val="006D2FA0"/>
    <w:rsid w:val="006D525A"/>
    <w:rsid w:val="006D56F2"/>
    <w:rsid w:val="006D6567"/>
    <w:rsid w:val="006E06BA"/>
    <w:rsid w:val="006E07A0"/>
    <w:rsid w:val="006E08B5"/>
    <w:rsid w:val="006E0DE0"/>
    <w:rsid w:val="006E155E"/>
    <w:rsid w:val="006E1949"/>
    <w:rsid w:val="006E1B6D"/>
    <w:rsid w:val="006E4A08"/>
    <w:rsid w:val="006E4F50"/>
    <w:rsid w:val="006E597A"/>
    <w:rsid w:val="006E5E9A"/>
    <w:rsid w:val="006E7267"/>
    <w:rsid w:val="006E772A"/>
    <w:rsid w:val="006F03F5"/>
    <w:rsid w:val="006F3481"/>
    <w:rsid w:val="006F35AE"/>
    <w:rsid w:val="006F4490"/>
    <w:rsid w:val="006F5E50"/>
    <w:rsid w:val="006F7566"/>
    <w:rsid w:val="006F7646"/>
    <w:rsid w:val="006F7DF9"/>
    <w:rsid w:val="00700959"/>
    <w:rsid w:val="00700CF0"/>
    <w:rsid w:val="007011BF"/>
    <w:rsid w:val="007017C4"/>
    <w:rsid w:val="007020EE"/>
    <w:rsid w:val="0070292D"/>
    <w:rsid w:val="007036CC"/>
    <w:rsid w:val="007043D9"/>
    <w:rsid w:val="0070587A"/>
    <w:rsid w:val="0070687F"/>
    <w:rsid w:val="00707318"/>
    <w:rsid w:val="007074B6"/>
    <w:rsid w:val="007074B9"/>
    <w:rsid w:val="007079A6"/>
    <w:rsid w:val="00707BC8"/>
    <w:rsid w:val="00710138"/>
    <w:rsid w:val="00710305"/>
    <w:rsid w:val="00710DCA"/>
    <w:rsid w:val="00710EB6"/>
    <w:rsid w:val="00711D30"/>
    <w:rsid w:val="007121E0"/>
    <w:rsid w:val="007127CA"/>
    <w:rsid w:val="007134B6"/>
    <w:rsid w:val="00713CAA"/>
    <w:rsid w:val="00714335"/>
    <w:rsid w:val="0071443C"/>
    <w:rsid w:val="00714DD4"/>
    <w:rsid w:val="00715BBD"/>
    <w:rsid w:val="00715D49"/>
    <w:rsid w:val="00716FF8"/>
    <w:rsid w:val="00717994"/>
    <w:rsid w:val="0072052F"/>
    <w:rsid w:val="007207F7"/>
    <w:rsid w:val="00720892"/>
    <w:rsid w:val="00721345"/>
    <w:rsid w:val="007213C6"/>
    <w:rsid w:val="00721449"/>
    <w:rsid w:val="00721FD1"/>
    <w:rsid w:val="00722B4B"/>
    <w:rsid w:val="00722DDE"/>
    <w:rsid w:val="0072308F"/>
    <w:rsid w:val="007237B6"/>
    <w:rsid w:val="007247B0"/>
    <w:rsid w:val="00724EBF"/>
    <w:rsid w:val="0072533D"/>
    <w:rsid w:val="0072648B"/>
    <w:rsid w:val="0072649D"/>
    <w:rsid w:val="007279C4"/>
    <w:rsid w:val="00727FDE"/>
    <w:rsid w:val="00730DEF"/>
    <w:rsid w:val="007326C2"/>
    <w:rsid w:val="00733116"/>
    <w:rsid w:val="007332E6"/>
    <w:rsid w:val="00733523"/>
    <w:rsid w:val="007337E6"/>
    <w:rsid w:val="00733BF0"/>
    <w:rsid w:val="00733EB7"/>
    <w:rsid w:val="00734436"/>
    <w:rsid w:val="007346A7"/>
    <w:rsid w:val="00734AF8"/>
    <w:rsid w:val="00735508"/>
    <w:rsid w:val="00735964"/>
    <w:rsid w:val="00735E8E"/>
    <w:rsid w:val="00736535"/>
    <w:rsid w:val="0073659E"/>
    <w:rsid w:val="0073728F"/>
    <w:rsid w:val="0073781F"/>
    <w:rsid w:val="007409E3"/>
    <w:rsid w:val="007427F5"/>
    <w:rsid w:val="007431E1"/>
    <w:rsid w:val="007436D4"/>
    <w:rsid w:val="00743BFD"/>
    <w:rsid w:val="00743E08"/>
    <w:rsid w:val="0074452B"/>
    <w:rsid w:val="00744DEF"/>
    <w:rsid w:val="00744FC2"/>
    <w:rsid w:val="0074512C"/>
    <w:rsid w:val="00745416"/>
    <w:rsid w:val="007459B8"/>
    <w:rsid w:val="00745EE8"/>
    <w:rsid w:val="007464C5"/>
    <w:rsid w:val="00746641"/>
    <w:rsid w:val="00746672"/>
    <w:rsid w:val="0074685A"/>
    <w:rsid w:val="00747DC6"/>
    <w:rsid w:val="007501A4"/>
    <w:rsid w:val="00750C7F"/>
    <w:rsid w:val="0075102A"/>
    <w:rsid w:val="007510DD"/>
    <w:rsid w:val="007526AD"/>
    <w:rsid w:val="00752B48"/>
    <w:rsid w:val="00753DC5"/>
    <w:rsid w:val="00754873"/>
    <w:rsid w:val="00754DA4"/>
    <w:rsid w:val="00754E12"/>
    <w:rsid w:val="00755358"/>
    <w:rsid w:val="007610F4"/>
    <w:rsid w:val="00761BCA"/>
    <w:rsid w:val="00762E71"/>
    <w:rsid w:val="00764E02"/>
    <w:rsid w:val="00765007"/>
    <w:rsid w:val="00765205"/>
    <w:rsid w:val="00765EBF"/>
    <w:rsid w:val="007671E5"/>
    <w:rsid w:val="00767722"/>
    <w:rsid w:val="0076781B"/>
    <w:rsid w:val="007679E1"/>
    <w:rsid w:val="00770015"/>
    <w:rsid w:val="00770557"/>
    <w:rsid w:val="00770953"/>
    <w:rsid w:val="00770E35"/>
    <w:rsid w:val="0077112B"/>
    <w:rsid w:val="00771232"/>
    <w:rsid w:val="00772136"/>
    <w:rsid w:val="007730C9"/>
    <w:rsid w:val="00774729"/>
    <w:rsid w:val="007749E1"/>
    <w:rsid w:val="00774DDA"/>
    <w:rsid w:val="00774FF6"/>
    <w:rsid w:val="0077541A"/>
    <w:rsid w:val="007756E3"/>
    <w:rsid w:val="0077656B"/>
    <w:rsid w:val="007768DC"/>
    <w:rsid w:val="00776D13"/>
    <w:rsid w:val="00776E9B"/>
    <w:rsid w:val="00776EA9"/>
    <w:rsid w:val="00776ED5"/>
    <w:rsid w:val="0077760A"/>
    <w:rsid w:val="007778D7"/>
    <w:rsid w:val="00777A5D"/>
    <w:rsid w:val="00780B46"/>
    <w:rsid w:val="00780FCF"/>
    <w:rsid w:val="00781262"/>
    <w:rsid w:val="00781B11"/>
    <w:rsid w:val="00782103"/>
    <w:rsid w:val="00782186"/>
    <w:rsid w:val="007821AC"/>
    <w:rsid w:val="00783FDA"/>
    <w:rsid w:val="00784131"/>
    <w:rsid w:val="00785A1A"/>
    <w:rsid w:val="00785C33"/>
    <w:rsid w:val="00785F09"/>
    <w:rsid w:val="00786EE0"/>
    <w:rsid w:val="00786F2E"/>
    <w:rsid w:val="00787028"/>
    <w:rsid w:val="007876A0"/>
    <w:rsid w:val="00787745"/>
    <w:rsid w:val="00790516"/>
    <w:rsid w:val="00790C7A"/>
    <w:rsid w:val="00790DA8"/>
    <w:rsid w:val="00792464"/>
    <w:rsid w:val="00794304"/>
    <w:rsid w:val="007947F6"/>
    <w:rsid w:val="007956EC"/>
    <w:rsid w:val="00795C44"/>
    <w:rsid w:val="00796FF0"/>
    <w:rsid w:val="0079719E"/>
    <w:rsid w:val="007A07B1"/>
    <w:rsid w:val="007A0A68"/>
    <w:rsid w:val="007A24CD"/>
    <w:rsid w:val="007A2F40"/>
    <w:rsid w:val="007A3250"/>
    <w:rsid w:val="007A3390"/>
    <w:rsid w:val="007A3A31"/>
    <w:rsid w:val="007A40D6"/>
    <w:rsid w:val="007A4CFC"/>
    <w:rsid w:val="007A5722"/>
    <w:rsid w:val="007A6504"/>
    <w:rsid w:val="007A6699"/>
    <w:rsid w:val="007B1407"/>
    <w:rsid w:val="007B166C"/>
    <w:rsid w:val="007B2032"/>
    <w:rsid w:val="007B20A4"/>
    <w:rsid w:val="007B24B5"/>
    <w:rsid w:val="007B386D"/>
    <w:rsid w:val="007B4310"/>
    <w:rsid w:val="007B46AB"/>
    <w:rsid w:val="007B4AB3"/>
    <w:rsid w:val="007B4CF0"/>
    <w:rsid w:val="007B52FC"/>
    <w:rsid w:val="007B5370"/>
    <w:rsid w:val="007B67F4"/>
    <w:rsid w:val="007B6F12"/>
    <w:rsid w:val="007B7F0F"/>
    <w:rsid w:val="007C0923"/>
    <w:rsid w:val="007C0D43"/>
    <w:rsid w:val="007C151F"/>
    <w:rsid w:val="007C15F0"/>
    <w:rsid w:val="007C20B0"/>
    <w:rsid w:val="007C51D1"/>
    <w:rsid w:val="007C6612"/>
    <w:rsid w:val="007C6F5C"/>
    <w:rsid w:val="007C7271"/>
    <w:rsid w:val="007C7754"/>
    <w:rsid w:val="007D02F5"/>
    <w:rsid w:val="007D0A3F"/>
    <w:rsid w:val="007D0BB8"/>
    <w:rsid w:val="007D1C30"/>
    <w:rsid w:val="007D260A"/>
    <w:rsid w:val="007D27F5"/>
    <w:rsid w:val="007D292F"/>
    <w:rsid w:val="007D346A"/>
    <w:rsid w:val="007D34F7"/>
    <w:rsid w:val="007D3E36"/>
    <w:rsid w:val="007D40F7"/>
    <w:rsid w:val="007D4135"/>
    <w:rsid w:val="007D4F8A"/>
    <w:rsid w:val="007D5023"/>
    <w:rsid w:val="007D5180"/>
    <w:rsid w:val="007D51AF"/>
    <w:rsid w:val="007D5BDF"/>
    <w:rsid w:val="007D5EF9"/>
    <w:rsid w:val="007D6A32"/>
    <w:rsid w:val="007D7402"/>
    <w:rsid w:val="007D7A21"/>
    <w:rsid w:val="007E1045"/>
    <w:rsid w:val="007E1266"/>
    <w:rsid w:val="007E18EC"/>
    <w:rsid w:val="007E3508"/>
    <w:rsid w:val="007E38C2"/>
    <w:rsid w:val="007E3917"/>
    <w:rsid w:val="007E3C33"/>
    <w:rsid w:val="007E4400"/>
    <w:rsid w:val="007E486D"/>
    <w:rsid w:val="007E4987"/>
    <w:rsid w:val="007E5631"/>
    <w:rsid w:val="007E6CD5"/>
    <w:rsid w:val="007E719E"/>
    <w:rsid w:val="007E794B"/>
    <w:rsid w:val="007E7DBA"/>
    <w:rsid w:val="007F05FF"/>
    <w:rsid w:val="007F0DEB"/>
    <w:rsid w:val="007F2547"/>
    <w:rsid w:val="007F5B2F"/>
    <w:rsid w:val="007F637B"/>
    <w:rsid w:val="007F64A1"/>
    <w:rsid w:val="007F67C2"/>
    <w:rsid w:val="007F6AA0"/>
    <w:rsid w:val="007F6CA5"/>
    <w:rsid w:val="007F6F8E"/>
    <w:rsid w:val="007F7A77"/>
    <w:rsid w:val="008000A5"/>
    <w:rsid w:val="008005DE"/>
    <w:rsid w:val="00801CFB"/>
    <w:rsid w:val="008044EA"/>
    <w:rsid w:val="008054A7"/>
    <w:rsid w:val="00805E5C"/>
    <w:rsid w:val="00806A02"/>
    <w:rsid w:val="00807290"/>
    <w:rsid w:val="00810D59"/>
    <w:rsid w:val="008110CA"/>
    <w:rsid w:val="0081131B"/>
    <w:rsid w:val="00811483"/>
    <w:rsid w:val="0081153C"/>
    <w:rsid w:val="008118BE"/>
    <w:rsid w:val="008125CB"/>
    <w:rsid w:val="00812DE1"/>
    <w:rsid w:val="00813AD3"/>
    <w:rsid w:val="0081407A"/>
    <w:rsid w:val="0081448D"/>
    <w:rsid w:val="008145D3"/>
    <w:rsid w:val="008145E9"/>
    <w:rsid w:val="00814700"/>
    <w:rsid w:val="00814C93"/>
    <w:rsid w:val="0081510D"/>
    <w:rsid w:val="008153EF"/>
    <w:rsid w:val="0081583A"/>
    <w:rsid w:val="00815ADA"/>
    <w:rsid w:val="00815D62"/>
    <w:rsid w:val="0081625A"/>
    <w:rsid w:val="00820335"/>
    <w:rsid w:val="00821179"/>
    <w:rsid w:val="008212B5"/>
    <w:rsid w:val="00821647"/>
    <w:rsid w:val="00821ED3"/>
    <w:rsid w:val="00821F0C"/>
    <w:rsid w:val="00822DA3"/>
    <w:rsid w:val="008235A6"/>
    <w:rsid w:val="008246EF"/>
    <w:rsid w:val="0082479C"/>
    <w:rsid w:val="008248DF"/>
    <w:rsid w:val="00825258"/>
    <w:rsid w:val="008270C2"/>
    <w:rsid w:val="008271F8"/>
    <w:rsid w:val="00830165"/>
    <w:rsid w:val="0083038A"/>
    <w:rsid w:val="0083039A"/>
    <w:rsid w:val="00830FCF"/>
    <w:rsid w:val="00831281"/>
    <w:rsid w:val="00831CE7"/>
    <w:rsid w:val="00832023"/>
    <w:rsid w:val="0083228A"/>
    <w:rsid w:val="008331F6"/>
    <w:rsid w:val="00834376"/>
    <w:rsid w:val="008362C5"/>
    <w:rsid w:val="00836E94"/>
    <w:rsid w:val="00837F75"/>
    <w:rsid w:val="008404AE"/>
    <w:rsid w:val="0084067C"/>
    <w:rsid w:val="00841E31"/>
    <w:rsid w:val="00842385"/>
    <w:rsid w:val="008430C4"/>
    <w:rsid w:val="00844195"/>
    <w:rsid w:val="00844F03"/>
    <w:rsid w:val="008450E9"/>
    <w:rsid w:val="00845C4E"/>
    <w:rsid w:val="00847CC1"/>
    <w:rsid w:val="00851DEB"/>
    <w:rsid w:val="00852D2B"/>
    <w:rsid w:val="008530E2"/>
    <w:rsid w:val="008533CC"/>
    <w:rsid w:val="00853DF4"/>
    <w:rsid w:val="0085563D"/>
    <w:rsid w:val="00855850"/>
    <w:rsid w:val="00855D59"/>
    <w:rsid w:val="00855F8F"/>
    <w:rsid w:val="008563E9"/>
    <w:rsid w:val="00857125"/>
    <w:rsid w:val="00857637"/>
    <w:rsid w:val="00857FEB"/>
    <w:rsid w:val="00861D38"/>
    <w:rsid w:val="00862344"/>
    <w:rsid w:val="00862398"/>
    <w:rsid w:val="00862661"/>
    <w:rsid w:val="00862FEC"/>
    <w:rsid w:val="00864447"/>
    <w:rsid w:val="00864762"/>
    <w:rsid w:val="00866017"/>
    <w:rsid w:val="008660F3"/>
    <w:rsid w:val="00867061"/>
    <w:rsid w:val="0086789C"/>
    <w:rsid w:val="008700AC"/>
    <w:rsid w:val="008708AA"/>
    <w:rsid w:val="0087187C"/>
    <w:rsid w:val="00871A75"/>
    <w:rsid w:val="0087251A"/>
    <w:rsid w:val="0087302E"/>
    <w:rsid w:val="008731FF"/>
    <w:rsid w:val="0087322D"/>
    <w:rsid w:val="00873E66"/>
    <w:rsid w:val="00873F56"/>
    <w:rsid w:val="00874583"/>
    <w:rsid w:val="008752C9"/>
    <w:rsid w:val="008764B1"/>
    <w:rsid w:val="0087660D"/>
    <w:rsid w:val="0087670A"/>
    <w:rsid w:val="00876802"/>
    <w:rsid w:val="008768A0"/>
    <w:rsid w:val="00880F39"/>
    <w:rsid w:val="00881BE2"/>
    <w:rsid w:val="00882073"/>
    <w:rsid w:val="008827C7"/>
    <w:rsid w:val="00882DB5"/>
    <w:rsid w:val="00883E08"/>
    <w:rsid w:val="00883ED5"/>
    <w:rsid w:val="00885416"/>
    <w:rsid w:val="0088616F"/>
    <w:rsid w:val="00886586"/>
    <w:rsid w:val="008865D9"/>
    <w:rsid w:val="008868AC"/>
    <w:rsid w:val="00886BEA"/>
    <w:rsid w:val="0088703E"/>
    <w:rsid w:val="008874C6"/>
    <w:rsid w:val="0088762F"/>
    <w:rsid w:val="00887C95"/>
    <w:rsid w:val="008923C4"/>
    <w:rsid w:val="00892F29"/>
    <w:rsid w:val="00892F51"/>
    <w:rsid w:val="00893AC5"/>
    <w:rsid w:val="00893DCA"/>
    <w:rsid w:val="00894FB2"/>
    <w:rsid w:val="00895360"/>
    <w:rsid w:val="0089721B"/>
    <w:rsid w:val="00897741"/>
    <w:rsid w:val="00897A76"/>
    <w:rsid w:val="008A0646"/>
    <w:rsid w:val="008A08AD"/>
    <w:rsid w:val="008A0CBA"/>
    <w:rsid w:val="008A21DD"/>
    <w:rsid w:val="008A23AA"/>
    <w:rsid w:val="008A2F92"/>
    <w:rsid w:val="008A3C90"/>
    <w:rsid w:val="008A5B9F"/>
    <w:rsid w:val="008A6A66"/>
    <w:rsid w:val="008A70DC"/>
    <w:rsid w:val="008A7745"/>
    <w:rsid w:val="008A776E"/>
    <w:rsid w:val="008A7D3F"/>
    <w:rsid w:val="008B1686"/>
    <w:rsid w:val="008B196C"/>
    <w:rsid w:val="008B1A26"/>
    <w:rsid w:val="008B22A4"/>
    <w:rsid w:val="008B2CEC"/>
    <w:rsid w:val="008B2ED7"/>
    <w:rsid w:val="008B3339"/>
    <w:rsid w:val="008B6F40"/>
    <w:rsid w:val="008C070D"/>
    <w:rsid w:val="008C1098"/>
    <w:rsid w:val="008C269E"/>
    <w:rsid w:val="008C2E0C"/>
    <w:rsid w:val="008C2E79"/>
    <w:rsid w:val="008C58E4"/>
    <w:rsid w:val="008C5B1C"/>
    <w:rsid w:val="008C5EF5"/>
    <w:rsid w:val="008C7185"/>
    <w:rsid w:val="008C76BB"/>
    <w:rsid w:val="008D0A11"/>
    <w:rsid w:val="008D1F86"/>
    <w:rsid w:val="008D2812"/>
    <w:rsid w:val="008D29B3"/>
    <w:rsid w:val="008D35D4"/>
    <w:rsid w:val="008D4E6C"/>
    <w:rsid w:val="008D5E64"/>
    <w:rsid w:val="008D5FF6"/>
    <w:rsid w:val="008D6EA0"/>
    <w:rsid w:val="008D70BC"/>
    <w:rsid w:val="008E025F"/>
    <w:rsid w:val="008E0424"/>
    <w:rsid w:val="008E1662"/>
    <w:rsid w:val="008E2150"/>
    <w:rsid w:val="008E2AD0"/>
    <w:rsid w:val="008E3039"/>
    <w:rsid w:val="008E31D5"/>
    <w:rsid w:val="008E4DFB"/>
    <w:rsid w:val="008E68AC"/>
    <w:rsid w:val="008E79C5"/>
    <w:rsid w:val="008F14C2"/>
    <w:rsid w:val="008F1D30"/>
    <w:rsid w:val="008F2142"/>
    <w:rsid w:val="008F3BAE"/>
    <w:rsid w:val="008F3CDB"/>
    <w:rsid w:val="008F408F"/>
    <w:rsid w:val="008F4149"/>
    <w:rsid w:val="008F64F1"/>
    <w:rsid w:val="008F6FA2"/>
    <w:rsid w:val="008F718F"/>
    <w:rsid w:val="00900B09"/>
    <w:rsid w:val="00902DAA"/>
    <w:rsid w:val="00902F7E"/>
    <w:rsid w:val="009036B5"/>
    <w:rsid w:val="009038E5"/>
    <w:rsid w:val="009039A6"/>
    <w:rsid w:val="00903E9F"/>
    <w:rsid w:val="009046B6"/>
    <w:rsid w:val="00904975"/>
    <w:rsid w:val="009068F3"/>
    <w:rsid w:val="00906D58"/>
    <w:rsid w:val="00907352"/>
    <w:rsid w:val="00907A20"/>
    <w:rsid w:val="00907C5D"/>
    <w:rsid w:val="009105C2"/>
    <w:rsid w:val="009105D4"/>
    <w:rsid w:val="009113A9"/>
    <w:rsid w:val="009122B7"/>
    <w:rsid w:val="0091256B"/>
    <w:rsid w:val="0091305F"/>
    <w:rsid w:val="00913B91"/>
    <w:rsid w:val="00913BF5"/>
    <w:rsid w:val="00913FAB"/>
    <w:rsid w:val="009144B5"/>
    <w:rsid w:val="009148BB"/>
    <w:rsid w:val="00914BE8"/>
    <w:rsid w:val="00914E28"/>
    <w:rsid w:val="009152B6"/>
    <w:rsid w:val="0091532D"/>
    <w:rsid w:val="009161EA"/>
    <w:rsid w:val="0091656F"/>
    <w:rsid w:val="00917245"/>
    <w:rsid w:val="00917CFE"/>
    <w:rsid w:val="00920DF2"/>
    <w:rsid w:val="0092114D"/>
    <w:rsid w:val="00921232"/>
    <w:rsid w:val="009216CF"/>
    <w:rsid w:val="009231FF"/>
    <w:rsid w:val="0092363A"/>
    <w:rsid w:val="00924012"/>
    <w:rsid w:val="009250C1"/>
    <w:rsid w:val="009255BB"/>
    <w:rsid w:val="00925630"/>
    <w:rsid w:val="009262AB"/>
    <w:rsid w:val="0092686E"/>
    <w:rsid w:val="00926970"/>
    <w:rsid w:val="009311AE"/>
    <w:rsid w:val="00931B7F"/>
    <w:rsid w:val="00931B82"/>
    <w:rsid w:val="00931EFA"/>
    <w:rsid w:val="0093286E"/>
    <w:rsid w:val="00933162"/>
    <w:rsid w:val="00933788"/>
    <w:rsid w:val="00934165"/>
    <w:rsid w:val="0093473C"/>
    <w:rsid w:val="0093557F"/>
    <w:rsid w:val="00935772"/>
    <w:rsid w:val="009373B2"/>
    <w:rsid w:val="0094050D"/>
    <w:rsid w:val="00940724"/>
    <w:rsid w:val="00940A58"/>
    <w:rsid w:val="00940FA6"/>
    <w:rsid w:val="00943089"/>
    <w:rsid w:val="009433FA"/>
    <w:rsid w:val="00943674"/>
    <w:rsid w:val="009444BA"/>
    <w:rsid w:val="00945B8B"/>
    <w:rsid w:val="00945DA6"/>
    <w:rsid w:val="00945DDA"/>
    <w:rsid w:val="0094606E"/>
    <w:rsid w:val="00946BCB"/>
    <w:rsid w:val="0094757E"/>
    <w:rsid w:val="00947708"/>
    <w:rsid w:val="009477CE"/>
    <w:rsid w:val="0094799B"/>
    <w:rsid w:val="00950186"/>
    <w:rsid w:val="00950299"/>
    <w:rsid w:val="00950735"/>
    <w:rsid w:val="00950B0E"/>
    <w:rsid w:val="00950E95"/>
    <w:rsid w:val="00951422"/>
    <w:rsid w:val="009520D8"/>
    <w:rsid w:val="00953416"/>
    <w:rsid w:val="00953654"/>
    <w:rsid w:val="00953AB8"/>
    <w:rsid w:val="009550C0"/>
    <w:rsid w:val="00955627"/>
    <w:rsid w:val="00955637"/>
    <w:rsid w:val="009560F3"/>
    <w:rsid w:val="0095690F"/>
    <w:rsid w:val="00957A9B"/>
    <w:rsid w:val="00957D2D"/>
    <w:rsid w:val="00961B10"/>
    <w:rsid w:val="00961F61"/>
    <w:rsid w:val="0096224B"/>
    <w:rsid w:val="009632AD"/>
    <w:rsid w:val="009637CE"/>
    <w:rsid w:val="0096431B"/>
    <w:rsid w:val="00964BED"/>
    <w:rsid w:val="0096533A"/>
    <w:rsid w:val="009658B4"/>
    <w:rsid w:val="00965957"/>
    <w:rsid w:val="00967168"/>
    <w:rsid w:val="0096778B"/>
    <w:rsid w:val="00970047"/>
    <w:rsid w:val="00970900"/>
    <w:rsid w:val="00971026"/>
    <w:rsid w:val="0097126D"/>
    <w:rsid w:val="009738E9"/>
    <w:rsid w:val="00973EB3"/>
    <w:rsid w:val="00974106"/>
    <w:rsid w:val="0097477D"/>
    <w:rsid w:val="00974915"/>
    <w:rsid w:val="00974C79"/>
    <w:rsid w:val="00974D7D"/>
    <w:rsid w:val="0097533C"/>
    <w:rsid w:val="00976F45"/>
    <w:rsid w:val="00980331"/>
    <w:rsid w:val="00980399"/>
    <w:rsid w:val="009805EF"/>
    <w:rsid w:val="0098187F"/>
    <w:rsid w:val="009844D3"/>
    <w:rsid w:val="00984B46"/>
    <w:rsid w:val="00985866"/>
    <w:rsid w:val="00986166"/>
    <w:rsid w:val="009863F2"/>
    <w:rsid w:val="009865FC"/>
    <w:rsid w:val="00986DBB"/>
    <w:rsid w:val="009876D2"/>
    <w:rsid w:val="00990053"/>
    <w:rsid w:val="0099077A"/>
    <w:rsid w:val="00990A8C"/>
    <w:rsid w:val="00990CD3"/>
    <w:rsid w:val="009917A1"/>
    <w:rsid w:val="00991A19"/>
    <w:rsid w:val="00992B33"/>
    <w:rsid w:val="00992D86"/>
    <w:rsid w:val="00992DBC"/>
    <w:rsid w:val="00992F01"/>
    <w:rsid w:val="00993147"/>
    <w:rsid w:val="0099349A"/>
    <w:rsid w:val="00993FEF"/>
    <w:rsid w:val="0099477B"/>
    <w:rsid w:val="00994FBD"/>
    <w:rsid w:val="0099562E"/>
    <w:rsid w:val="00995785"/>
    <w:rsid w:val="0099616E"/>
    <w:rsid w:val="00996F4F"/>
    <w:rsid w:val="009972A6"/>
    <w:rsid w:val="009A08D7"/>
    <w:rsid w:val="009A23D9"/>
    <w:rsid w:val="009A265C"/>
    <w:rsid w:val="009A2B77"/>
    <w:rsid w:val="009A47FE"/>
    <w:rsid w:val="009A4A7A"/>
    <w:rsid w:val="009A5055"/>
    <w:rsid w:val="009A543E"/>
    <w:rsid w:val="009A57BE"/>
    <w:rsid w:val="009A600F"/>
    <w:rsid w:val="009A62A9"/>
    <w:rsid w:val="009A630C"/>
    <w:rsid w:val="009A6AC6"/>
    <w:rsid w:val="009A6B82"/>
    <w:rsid w:val="009A7589"/>
    <w:rsid w:val="009B03C8"/>
    <w:rsid w:val="009B1DD1"/>
    <w:rsid w:val="009B2BAD"/>
    <w:rsid w:val="009B2BF1"/>
    <w:rsid w:val="009B3CAE"/>
    <w:rsid w:val="009B486F"/>
    <w:rsid w:val="009B4F27"/>
    <w:rsid w:val="009B57FB"/>
    <w:rsid w:val="009B59B7"/>
    <w:rsid w:val="009B7361"/>
    <w:rsid w:val="009C0B15"/>
    <w:rsid w:val="009C14D1"/>
    <w:rsid w:val="009C2CB2"/>
    <w:rsid w:val="009C311A"/>
    <w:rsid w:val="009C4B5A"/>
    <w:rsid w:val="009C4FB3"/>
    <w:rsid w:val="009C643F"/>
    <w:rsid w:val="009C65C0"/>
    <w:rsid w:val="009C71C7"/>
    <w:rsid w:val="009C77ED"/>
    <w:rsid w:val="009C7CEC"/>
    <w:rsid w:val="009C7E5F"/>
    <w:rsid w:val="009D0267"/>
    <w:rsid w:val="009D03CE"/>
    <w:rsid w:val="009D0711"/>
    <w:rsid w:val="009D09D8"/>
    <w:rsid w:val="009D0D9F"/>
    <w:rsid w:val="009D1B7E"/>
    <w:rsid w:val="009D21D1"/>
    <w:rsid w:val="009D3DB9"/>
    <w:rsid w:val="009D3F56"/>
    <w:rsid w:val="009D4080"/>
    <w:rsid w:val="009D4CA6"/>
    <w:rsid w:val="009D5093"/>
    <w:rsid w:val="009D5360"/>
    <w:rsid w:val="009D5DB2"/>
    <w:rsid w:val="009D668C"/>
    <w:rsid w:val="009D76F5"/>
    <w:rsid w:val="009E1D9D"/>
    <w:rsid w:val="009E3042"/>
    <w:rsid w:val="009E414F"/>
    <w:rsid w:val="009E56E8"/>
    <w:rsid w:val="009E61AD"/>
    <w:rsid w:val="009E667D"/>
    <w:rsid w:val="009E6CF7"/>
    <w:rsid w:val="009F060D"/>
    <w:rsid w:val="009F09B3"/>
    <w:rsid w:val="009F1726"/>
    <w:rsid w:val="009F200F"/>
    <w:rsid w:val="009F3A31"/>
    <w:rsid w:val="009F53E1"/>
    <w:rsid w:val="009F7220"/>
    <w:rsid w:val="009F746F"/>
    <w:rsid w:val="009F78B9"/>
    <w:rsid w:val="00A005D1"/>
    <w:rsid w:val="00A0172A"/>
    <w:rsid w:val="00A01FAE"/>
    <w:rsid w:val="00A02820"/>
    <w:rsid w:val="00A02D22"/>
    <w:rsid w:val="00A02E52"/>
    <w:rsid w:val="00A0385D"/>
    <w:rsid w:val="00A03D0E"/>
    <w:rsid w:val="00A04D6F"/>
    <w:rsid w:val="00A050B1"/>
    <w:rsid w:val="00A05580"/>
    <w:rsid w:val="00A0621D"/>
    <w:rsid w:val="00A06CBA"/>
    <w:rsid w:val="00A07546"/>
    <w:rsid w:val="00A07F8A"/>
    <w:rsid w:val="00A10498"/>
    <w:rsid w:val="00A10C5E"/>
    <w:rsid w:val="00A12CBA"/>
    <w:rsid w:val="00A12FDD"/>
    <w:rsid w:val="00A13C4F"/>
    <w:rsid w:val="00A1423E"/>
    <w:rsid w:val="00A14691"/>
    <w:rsid w:val="00A14A57"/>
    <w:rsid w:val="00A14DB4"/>
    <w:rsid w:val="00A151D9"/>
    <w:rsid w:val="00A16318"/>
    <w:rsid w:val="00A16608"/>
    <w:rsid w:val="00A17485"/>
    <w:rsid w:val="00A17DA7"/>
    <w:rsid w:val="00A2093E"/>
    <w:rsid w:val="00A20BD6"/>
    <w:rsid w:val="00A20C01"/>
    <w:rsid w:val="00A2128B"/>
    <w:rsid w:val="00A21C7F"/>
    <w:rsid w:val="00A24C36"/>
    <w:rsid w:val="00A26E95"/>
    <w:rsid w:val="00A2726A"/>
    <w:rsid w:val="00A30269"/>
    <w:rsid w:val="00A3051E"/>
    <w:rsid w:val="00A30778"/>
    <w:rsid w:val="00A31315"/>
    <w:rsid w:val="00A313B6"/>
    <w:rsid w:val="00A31A50"/>
    <w:rsid w:val="00A31AD3"/>
    <w:rsid w:val="00A31B7C"/>
    <w:rsid w:val="00A3276D"/>
    <w:rsid w:val="00A32AA9"/>
    <w:rsid w:val="00A3384B"/>
    <w:rsid w:val="00A349CA"/>
    <w:rsid w:val="00A35265"/>
    <w:rsid w:val="00A35339"/>
    <w:rsid w:val="00A3613A"/>
    <w:rsid w:val="00A37817"/>
    <w:rsid w:val="00A37FF9"/>
    <w:rsid w:val="00A40ABC"/>
    <w:rsid w:val="00A41827"/>
    <w:rsid w:val="00A42465"/>
    <w:rsid w:val="00A429FD"/>
    <w:rsid w:val="00A42EAD"/>
    <w:rsid w:val="00A43029"/>
    <w:rsid w:val="00A44574"/>
    <w:rsid w:val="00A4483C"/>
    <w:rsid w:val="00A45007"/>
    <w:rsid w:val="00A4520B"/>
    <w:rsid w:val="00A45450"/>
    <w:rsid w:val="00A4762F"/>
    <w:rsid w:val="00A476F6"/>
    <w:rsid w:val="00A47981"/>
    <w:rsid w:val="00A50BC4"/>
    <w:rsid w:val="00A50F6F"/>
    <w:rsid w:val="00A51084"/>
    <w:rsid w:val="00A51FFC"/>
    <w:rsid w:val="00A52511"/>
    <w:rsid w:val="00A5277C"/>
    <w:rsid w:val="00A5317C"/>
    <w:rsid w:val="00A53788"/>
    <w:rsid w:val="00A56098"/>
    <w:rsid w:val="00A605E1"/>
    <w:rsid w:val="00A6128F"/>
    <w:rsid w:val="00A62113"/>
    <w:rsid w:val="00A62F55"/>
    <w:rsid w:val="00A63013"/>
    <w:rsid w:val="00A6322B"/>
    <w:rsid w:val="00A6393A"/>
    <w:rsid w:val="00A645B7"/>
    <w:rsid w:val="00A64F30"/>
    <w:rsid w:val="00A65BA4"/>
    <w:rsid w:val="00A65C94"/>
    <w:rsid w:val="00A66219"/>
    <w:rsid w:val="00A7038E"/>
    <w:rsid w:val="00A70EA8"/>
    <w:rsid w:val="00A7170D"/>
    <w:rsid w:val="00A72895"/>
    <w:rsid w:val="00A72B5D"/>
    <w:rsid w:val="00A75EE9"/>
    <w:rsid w:val="00A760BC"/>
    <w:rsid w:val="00A7636F"/>
    <w:rsid w:val="00A76B3A"/>
    <w:rsid w:val="00A770FD"/>
    <w:rsid w:val="00A774EE"/>
    <w:rsid w:val="00A77556"/>
    <w:rsid w:val="00A77563"/>
    <w:rsid w:val="00A77832"/>
    <w:rsid w:val="00A8056F"/>
    <w:rsid w:val="00A80FA5"/>
    <w:rsid w:val="00A81589"/>
    <w:rsid w:val="00A8192D"/>
    <w:rsid w:val="00A84AC5"/>
    <w:rsid w:val="00A86597"/>
    <w:rsid w:val="00A8693D"/>
    <w:rsid w:val="00A87F2E"/>
    <w:rsid w:val="00A90916"/>
    <w:rsid w:val="00A917E3"/>
    <w:rsid w:val="00A91D2C"/>
    <w:rsid w:val="00A92D9B"/>
    <w:rsid w:val="00A93176"/>
    <w:rsid w:val="00A933F6"/>
    <w:rsid w:val="00A940E1"/>
    <w:rsid w:val="00A942F5"/>
    <w:rsid w:val="00A94A54"/>
    <w:rsid w:val="00A95CE3"/>
    <w:rsid w:val="00A9625C"/>
    <w:rsid w:val="00A962B5"/>
    <w:rsid w:val="00A96C83"/>
    <w:rsid w:val="00A970B3"/>
    <w:rsid w:val="00A97760"/>
    <w:rsid w:val="00A97B73"/>
    <w:rsid w:val="00A97B91"/>
    <w:rsid w:val="00A97FFB"/>
    <w:rsid w:val="00AA0142"/>
    <w:rsid w:val="00AA10D6"/>
    <w:rsid w:val="00AA1CDF"/>
    <w:rsid w:val="00AA2066"/>
    <w:rsid w:val="00AA504A"/>
    <w:rsid w:val="00AA5365"/>
    <w:rsid w:val="00AB0954"/>
    <w:rsid w:val="00AB0A33"/>
    <w:rsid w:val="00AB1621"/>
    <w:rsid w:val="00AB1981"/>
    <w:rsid w:val="00AB19D0"/>
    <w:rsid w:val="00AB1BC9"/>
    <w:rsid w:val="00AB2D86"/>
    <w:rsid w:val="00AB303C"/>
    <w:rsid w:val="00AB3B92"/>
    <w:rsid w:val="00AB5020"/>
    <w:rsid w:val="00AB560E"/>
    <w:rsid w:val="00AB5794"/>
    <w:rsid w:val="00AB5C45"/>
    <w:rsid w:val="00AB603B"/>
    <w:rsid w:val="00AB63F4"/>
    <w:rsid w:val="00AB754B"/>
    <w:rsid w:val="00AB7C15"/>
    <w:rsid w:val="00AB7D64"/>
    <w:rsid w:val="00AC0143"/>
    <w:rsid w:val="00AC217A"/>
    <w:rsid w:val="00AC265A"/>
    <w:rsid w:val="00AC2722"/>
    <w:rsid w:val="00AC2A1F"/>
    <w:rsid w:val="00AC2EBA"/>
    <w:rsid w:val="00AC2EE7"/>
    <w:rsid w:val="00AC2F0E"/>
    <w:rsid w:val="00AC30B2"/>
    <w:rsid w:val="00AC34A0"/>
    <w:rsid w:val="00AC42F4"/>
    <w:rsid w:val="00AC4C12"/>
    <w:rsid w:val="00AC542B"/>
    <w:rsid w:val="00AC5B29"/>
    <w:rsid w:val="00AC5C1C"/>
    <w:rsid w:val="00AC63EA"/>
    <w:rsid w:val="00AD001F"/>
    <w:rsid w:val="00AD053C"/>
    <w:rsid w:val="00AD1228"/>
    <w:rsid w:val="00AD13B4"/>
    <w:rsid w:val="00AD14EE"/>
    <w:rsid w:val="00AD1846"/>
    <w:rsid w:val="00AD19E4"/>
    <w:rsid w:val="00AD23B5"/>
    <w:rsid w:val="00AD2873"/>
    <w:rsid w:val="00AD34A2"/>
    <w:rsid w:val="00AD369A"/>
    <w:rsid w:val="00AD44A2"/>
    <w:rsid w:val="00AD57B9"/>
    <w:rsid w:val="00AD6B9A"/>
    <w:rsid w:val="00AD7C70"/>
    <w:rsid w:val="00AE17FD"/>
    <w:rsid w:val="00AE1C33"/>
    <w:rsid w:val="00AE301C"/>
    <w:rsid w:val="00AE30CB"/>
    <w:rsid w:val="00AE3269"/>
    <w:rsid w:val="00AE35A4"/>
    <w:rsid w:val="00AE399B"/>
    <w:rsid w:val="00AE4463"/>
    <w:rsid w:val="00AE5240"/>
    <w:rsid w:val="00AE6237"/>
    <w:rsid w:val="00AE70FD"/>
    <w:rsid w:val="00AE7BE4"/>
    <w:rsid w:val="00AE7E39"/>
    <w:rsid w:val="00AF0181"/>
    <w:rsid w:val="00AF0BD5"/>
    <w:rsid w:val="00AF144B"/>
    <w:rsid w:val="00AF1C65"/>
    <w:rsid w:val="00AF2D56"/>
    <w:rsid w:val="00AF3875"/>
    <w:rsid w:val="00AF39CD"/>
    <w:rsid w:val="00AF3A25"/>
    <w:rsid w:val="00AF3C45"/>
    <w:rsid w:val="00AF45E9"/>
    <w:rsid w:val="00AF4C0C"/>
    <w:rsid w:val="00AF5D6C"/>
    <w:rsid w:val="00AF6B83"/>
    <w:rsid w:val="00AF71CF"/>
    <w:rsid w:val="00AF7357"/>
    <w:rsid w:val="00AF7485"/>
    <w:rsid w:val="00AF7A14"/>
    <w:rsid w:val="00B00C43"/>
    <w:rsid w:val="00B02879"/>
    <w:rsid w:val="00B035DD"/>
    <w:rsid w:val="00B048B3"/>
    <w:rsid w:val="00B04F54"/>
    <w:rsid w:val="00B06863"/>
    <w:rsid w:val="00B06ACA"/>
    <w:rsid w:val="00B07324"/>
    <w:rsid w:val="00B11946"/>
    <w:rsid w:val="00B12513"/>
    <w:rsid w:val="00B129F5"/>
    <w:rsid w:val="00B12EEE"/>
    <w:rsid w:val="00B13020"/>
    <w:rsid w:val="00B13190"/>
    <w:rsid w:val="00B140FA"/>
    <w:rsid w:val="00B1449D"/>
    <w:rsid w:val="00B14925"/>
    <w:rsid w:val="00B14E91"/>
    <w:rsid w:val="00B15B00"/>
    <w:rsid w:val="00B1616F"/>
    <w:rsid w:val="00B168A1"/>
    <w:rsid w:val="00B16D4C"/>
    <w:rsid w:val="00B17EEF"/>
    <w:rsid w:val="00B17FAC"/>
    <w:rsid w:val="00B20AF9"/>
    <w:rsid w:val="00B20E59"/>
    <w:rsid w:val="00B214AB"/>
    <w:rsid w:val="00B21AB5"/>
    <w:rsid w:val="00B224B1"/>
    <w:rsid w:val="00B23628"/>
    <w:rsid w:val="00B23DF6"/>
    <w:rsid w:val="00B23F7D"/>
    <w:rsid w:val="00B241E0"/>
    <w:rsid w:val="00B24269"/>
    <w:rsid w:val="00B24539"/>
    <w:rsid w:val="00B24827"/>
    <w:rsid w:val="00B25152"/>
    <w:rsid w:val="00B251C7"/>
    <w:rsid w:val="00B25BE7"/>
    <w:rsid w:val="00B2661D"/>
    <w:rsid w:val="00B26DEE"/>
    <w:rsid w:val="00B30209"/>
    <w:rsid w:val="00B31BAB"/>
    <w:rsid w:val="00B32017"/>
    <w:rsid w:val="00B32283"/>
    <w:rsid w:val="00B32C07"/>
    <w:rsid w:val="00B33753"/>
    <w:rsid w:val="00B35DE5"/>
    <w:rsid w:val="00B35FC0"/>
    <w:rsid w:val="00B3604D"/>
    <w:rsid w:val="00B36118"/>
    <w:rsid w:val="00B361A5"/>
    <w:rsid w:val="00B36803"/>
    <w:rsid w:val="00B36B0B"/>
    <w:rsid w:val="00B37716"/>
    <w:rsid w:val="00B4016D"/>
    <w:rsid w:val="00B40C65"/>
    <w:rsid w:val="00B424F3"/>
    <w:rsid w:val="00B42A7A"/>
    <w:rsid w:val="00B42FD2"/>
    <w:rsid w:val="00B43E5D"/>
    <w:rsid w:val="00B455E4"/>
    <w:rsid w:val="00B465E2"/>
    <w:rsid w:val="00B47111"/>
    <w:rsid w:val="00B47F6F"/>
    <w:rsid w:val="00B5073F"/>
    <w:rsid w:val="00B523DF"/>
    <w:rsid w:val="00B52EB2"/>
    <w:rsid w:val="00B53407"/>
    <w:rsid w:val="00B53C80"/>
    <w:rsid w:val="00B53E64"/>
    <w:rsid w:val="00B5423A"/>
    <w:rsid w:val="00B548AE"/>
    <w:rsid w:val="00B54922"/>
    <w:rsid w:val="00B56F4D"/>
    <w:rsid w:val="00B57F69"/>
    <w:rsid w:val="00B61A26"/>
    <w:rsid w:val="00B61CD7"/>
    <w:rsid w:val="00B61D31"/>
    <w:rsid w:val="00B62118"/>
    <w:rsid w:val="00B62E5E"/>
    <w:rsid w:val="00B631B9"/>
    <w:rsid w:val="00B64B0A"/>
    <w:rsid w:val="00B64C57"/>
    <w:rsid w:val="00B64DA6"/>
    <w:rsid w:val="00B64E6B"/>
    <w:rsid w:val="00B656AB"/>
    <w:rsid w:val="00B65A97"/>
    <w:rsid w:val="00B66692"/>
    <w:rsid w:val="00B70029"/>
    <w:rsid w:val="00B701E2"/>
    <w:rsid w:val="00B713E1"/>
    <w:rsid w:val="00B717CB"/>
    <w:rsid w:val="00B72674"/>
    <w:rsid w:val="00B7293F"/>
    <w:rsid w:val="00B72E93"/>
    <w:rsid w:val="00B73864"/>
    <w:rsid w:val="00B7397D"/>
    <w:rsid w:val="00B73C82"/>
    <w:rsid w:val="00B74DBA"/>
    <w:rsid w:val="00B75124"/>
    <w:rsid w:val="00B75676"/>
    <w:rsid w:val="00B75DCC"/>
    <w:rsid w:val="00B76716"/>
    <w:rsid w:val="00B77A0D"/>
    <w:rsid w:val="00B77E49"/>
    <w:rsid w:val="00B812CD"/>
    <w:rsid w:val="00B82082"/>
    <w:rsid w:val="00B822B2"/>
    <w:rsid w:val="00B828DA"/>
    <w:rsid w:val="00B8293B"/>
    <w:rsid w:val="00B82AB2"/>
    <w:rsid w:val="00B8482C"/>
    <w:rsid w:val="00B84CA4"/>
    <w:rsid w:val="00B8622C"/>
    <w:rsid w:val="00B8655B"/>
    <w:rsid w:val="00B867EE"/>
    <w:rsid w:val="00B87B40"/>
    <w:rsid w:val="00B914C4"/>
    <w:rsid w:val="00B91A63"/>
    <w:rsid w:val="00B92367"/>
    <w:rsid w:val="00B928F1"/>
    <w:rsid w:val="00B942E0"/>
    <w:rsid w:val="00B94959"/>
    <w:rsid w:val="00B94EDD"/>
    <w:rsid w:val="00B9592D"/>
    <w:rsid w:val="00B9618D"/>
    <w:rsid w:val="00B97206"/>
    <w:rsid w:val="00B97502"/>
    <w:rsid w:val="00BA008A"/>
    <w:rsid w:val="00BA0155"/>
    <w:rsid w:val="00BA1796"/>
    <w:rsid w:val="00BA2042"/>
    <w:rsid w:val="00BA23B8"/>
    <w:rsid w:val="00BA2512"/>
    <w:rsid w:val="00BA294B"/>
    <w:rsid w:val="00BA2988"/>
    <w:rsid w:val="00BA2A01"/>
    <w:rsid w:val="00BA2FE4"/>
    <w:rsid w:val="00BA4851"/>
    <w:rsid w:val="00BA4A98"/>
    <w:rsid w:val="00BA57D7"/>
    <w:rsid w:val="00BA6DC7"/>
    <w:rsid w:val="00BA71AA"/>
    <w:rsid w:val="00BA7432"/>
    <w:rsid w:val="00BA74F8"/>
    <w:rsid w:val="00BA78FE"/>
    <w:rsid w:val="00BA7A12"/>
    <w:rsid w:val="00BA7B2E"/>
    <w:rsid w:val="00BA7C47"/>
    <w:rsid w:val="00BB04D6"/>
    <w:rsid w:val="00BB06E9"/>
    <w:rsid w:val="00BB0BE9"/>
    <w:rsid w:val="00BB1118"/>
    <w:rsid w:val="00BB1999"/>
    <w:rsid w:val="00BB1E28"/>
    <w:rsid w:val="00BB396D"/>
    <w:rsid w:val="00BB39CF"/>
    <w:rsid w:val="00BB3B4C"/>
    <w:rsid w:val="00BB3EEC"/>
    <w:rsid w:val="00BB4009"/>
    <w:rsid w:val="00BB5D71"/>
    <w:rsid w:val="00BB69CE"/>
    <w:rsid w:val="00BB6F3B"/>
    <w:rsid w:val="00BB7BCF"/>
    <w:rsid w:val="00BC0F9D"/>
    <w:rsid w:val="00BC130F"/>
    <w:rsid w:val="00BC14DE"/>
    <w:rsid w:val="00BC258D"/>
    <w:rsid w:val="00BC2FD6"/>
    <w:rsid w:val="00BC3321"/>
    <w:rsid w:val="00BC42F4"/>
    <w:rsid w:val="00BC447D"/>
    <w:rsid w:val="00BC4507"/>
    <w:rsid w:val="00BC6007"/>
    <w:rsid w:val="00BC6D13"/>
    <w:rsid w:val="00BC75A1"/>
    <w:rsid w:val="00BD01DF"/>
    <w:rsid w:val="00BD08E2"/>
    <w:rsid w:val="00BD0B67"/>
    <w:rsid w:val="00BD2230"/>
    <w:rsid w:val="00BD33C8"/>
    <w:rsid w:val="00BD37EA"/>
    <w:rsid w:val="00BD4377"/>
    <w:rsid w:val="00BD5085"/>
    <w:rsid w:val="00BD75BF"/>
    <w:rsid w:val="00BE06D9"/>
    <w:rsid w:val="00BE0B61"/>
    <w:rsid w:val="00BE1508"/>
    <w:rsid w:val="00BE161A"/>
    <w:rsid w:val="00BE241D"/>
    <w:rsid w:val="00BE24CA"/>
    <w:rsid w:val="00BE3438"/>
    <w:rsid w:val="00BE3596"/>
    <w:rsid w:val="00BE3F99"/>
    <w:rsid w:val="00BE4215"/>
    <w:rsid w:val="00BE45AA"/>
    <w:rsid w:val="00BE45C3"/>
    <w:rsid w:val="00BE498B"/>
    <w:rsid w:val="00BE5225"/>
    <w:rsid w:val="00BE5467"/>
    <w:rsid w:val="00BE5C13"/>
    <w:rsid w:val="00BE7C8C"/>
    <w:rsid w:val="00BF0812"/>
    <w:rsid w:val="00BF0B1A"/>
    <w:rsid w:val="00BF28A0"/>
    <w:rsid w:val="00BF3205"/>
    <w:rsid w:val="00BF326C"/>
    <w:rsid w:val="00BF3745"/>
    <w:rsid w:val="00BF37F6"/>
    <w:rsid w:val="00BF3815"/>
    <w:rsid w:val="00BF52D8"/>
    <w:rsid w:val="00BF5D29"/>
    <w:rsid w:val="00BF5E2A"/>
    <w:rsid w:val="00BF61C4"/>
    <w:rsid w:val="00BF7A00"/>
    <w:rsid w:val="00C00E7C"/>
    <w:rsid w:val="00C00F7B"/>
    <w:rsid w:val="00C01C69"/>
    <w:rsid w:val="00C0221F"/>
    <w:rsid w:val="00C0226A"/>
    <w:rsid w:val="00C0229C"/>
    <w:rsid w:val="00C02771"/>
    <w:rsid w:val="00C03798"/>
    <w:rsid w:val="00C03E13"/>
    <w:rsid w:val="00C0454B"/>
    <w:rsid w:val="00C045BC"/>
    <w:rsid w:val="00C0540B"/>
    <w:rsid w:val="00C05966"/>
    <w:rsid w:val="00C06406"/>
    <w:rsid w:val="00C071E5"/>
    <w:rsid w:val="00C07F33"/>
    <w:rsid w:val="00C102E9"/>
    <w:rsid w:val="00C1030D"/>
    <w:rsid w:val="00C105BD"/>
    <w:rsid w:val="00C105F0"/>
    <w:rsid w:val="00C11172"/>
    <w:rsid w:val="00C114F0"/>
    <w:rsid w:val="00C1206D"/>
    <w:rsid w:val="00C13620"/>
    <w:rsid w:val="00C13663"/>
    <w:rsid w:val="00C14338"/>
    <w:rsid w:val="00C14A76"/>
    <w:rsid w:val="00C15B79"/>
    <w:rsid w:val="00C16597"/>
    <w:rsid w:val="00C168D6"/>
    <w:rsid w:val="00C17A18"/>
    <w:rsid w:val="00C17BD6"/>
    <w:rsid w:val="00C20002"/>
    <w:rsid w:val="00C21018"/>
    <w:rsid w:val="00C21152"/>
    <w:rsid w:val="00C217B9"/>
    <w:rsid w:val="00C21997"/>
    <w:rsid w:val="00C229E9"/>
    <w:rsid w:val="00C231E0"/>
    <w:rsid w:val="00C2336D"/>
    <w:rsid w:val="00C23924"/>
    <w:rsid w:val="00C23949"/>
    <w:rsid w:val="00C23EF9"/>
    <w:rsid w:val="00C23F3B"/>
    <w:rsid w:val="00C2446F"/>
    <w:rsid w:val="00C252C5"/>
    <w:rsid w:val="00C25805"/>
    <w:rsid w:val="00C25AC4"/>
    <w:rsid w:val="00C26972"/>
    <w:rsid w:val="00C26FED"/>
    <w:rsid w:val="00C27792"/>
    <w:rsid w:val="00C27918"/>
    <w:rsid w:val="00C30075"/>
    <w:rsid w:val="00C31764"/>
    <w:rsid w:val="00C32F2A"/>
    <w:rsid w:val="00C350F1"/>
    <w:rsid w:val="00C35A92"/>
    <w:rsid w:val="00C361D3"/>
    <w:rsid w:val="00C36D47"/>
    <w:rsid w:val="00C36F5E"/>
    <w:rsid w:val="00C37E52"/>
    <w:rsid w:val="00C40E36"/>
    <w:rsid w:val="00C41F5F"/>
    <w:rsid w:val="00C42075"/>
    <w:rsid w:val="00C423EF"/>
    <w:rsid w:val="00C428B2"/>
    <w:rsid w:val="00C4303F"/>
    <w:rsid w:val="00C43056"/>
    <w:rsid w:val="00C43306"/>
    <w:rsid w:val="00C44337"/>
    <w:rsid w:val="00C45FF6"/>
    <w:rsid w:val="00C4652A"/>
    <w:rsid w:val="00C466CE"/>
    <w:rsid w:val="00C46D2D"/>
    <w:rsid w:val="00C470C1"/>
    <w:rsid w:val="00C479D6"/>
    <w:rsid w:val="00C50630"/>
    <w:rsid w:val="00C50A72"/>
    <w:rsid w:val="00C512E7"/>
    <w:rsid w:val="00C51797"/>
    <w:rsid w:val="00C523D0"/>
    <w:rsid w:val="00C533B7"/>
    <w:rsid w:val="00C53CF5"/>
    <w:rsid w:val="00C54C1E"/>
    <w:rsid w:val="00C54E3E"/>
    <w:rsid w:val="00C55F01"/>
    <w:rsid w:val="00C561B6"/>
    <w:rsid w:val="00C56493"/>
    <w:rsid w:val="00C57225"/>
    <w:rsid w:val="00C57782"/>
    <w:rsid w:val="00C601C0"/>
    <w:rsid w:val="00C613F9"/>
    <w:rsid w:val="00C622F3"/>
    <w:rsid w:val="00C63365"/>
    <w:rsid w:val="00C6349E"/>
    <w:rsid w:val="00C638C8"/>
    <w:rsid w:val="00C639D9"/>
    <w:rsid w:val="00C63B65"/>
    <w:rsid w:val="00C63BE2"/>
    <w:rsid w:val="00C63ECC"/>
    <w:rsid w:val="00C641BD"/>
    <w:rsid w:val="00C64425"/>
    <w:rsid w:val="00C65C34"/>
    <w:rsid w:val="00C67526"/>
    <w:rsid w:val="00C675FC"/>
    <w:rsid w:val="00C702A5"/>
    <w:rsid w:val="00C70701"/>
    <w:rsid w:val="00C70D19"/>
    <w:rsid w:val="00C70F82"/>
    <w:rsid w:val="00C71B19"/>
    <w:rsid w:val="00C71C58"/>
    <w:rsid w:val="00C725BC"/>
    <w:rsid w:val="00C7296A"/>
    <w:rsid w:val="00C73FEE"/>
    <w:rsid w:val="00C74AC1"/>
    <w:rsid w:val="00C75A78"/>
    <w:rsid w:val="00C76808"/>
    <w:rsid w:val="00C76820"/>
    <w:rsid w:val="00C76AB9"/>
    <w:rsid w:val="00C809DB"/>
    <w:rsid w:val="00C80AB0"/>
    <w:rsid w:val="00C8177B"/>
    <w:rsid w:val="00C81A8C"/>
    <w:rsid w:val="00C82DFE"/>
    <w:rsid w:val="00C82E14"/>
    <w:rsid w:val="00C8414E"/>
    <w:rsid w:val="00C846FB"/>
    <w:rsid w:val="00C84F2D"/>
    <w:rsid w:val="00C850A1"/>
    <w:rsid w:val="00C85B82"/>
    <w:rsid w:val="00C865AE"/>
    <w:rsid w:val="00C86C04"/>
    <w:rsid w:val="00C86E1A"/>
    <w:rsid w:val="00C87050"/>
    <w:rsid w:val="00C872D3"/>
    <w:rsid w:val="00C8781E"/>
    <w:rsid w:val="00C87A31"/>
    <w:rsid w:val="00C906B5"/>
    <w:rsid w:val="00C916E8"/>
    <w:rsid w:val="00C925B1"/>
    <w:rsid w:val="00C93852"/>
    <w:rsid w:val="00C93E0F"/>
    <w:rsid w:val="00C94E38"/>
    <w:rsid w:val="00C9521F"/>
    <w:rsid w:val="00C95471"/>
    <w:rsid w:val="00C95E76"/>
    <w:rsid w:val="00C960E6"/>
    <w:rsid w:val="00C96F77"/>
    <w:rsid w:val="00C975DB"/>
    <w:rsid w:val="00C97B0E"/>
    <w:rsid w:val="00C97BD9"/>
    <w:rsid w:val="00C97D46"/>
    <w:rsid w:val="00CA04C0"/>
    <w:rsid w:val="00CA056D"/>
    <w:rsid w:val="00CA0926"/>
    <w:rsid w:val="00CA0C34"/>
    <w:rsid w:val="00CA0F02"/>
    <w:rsid w:val="00CA1B8C"/>
    <w:rsid w:val="00CA3491"/>
    <w:rsid w:val="00CA3932"/>
    <w:rsid w:val="00CA420B"/>
    <w:rsid w:val="00CA54EB"/>
    <w:rsid w:val="00CA5724"/>
    <w:rsid w:val="00CA5FD5"/>
    <w:rsid w:val="00CA609C"/>
    <w:rsid w:val="00CA62F2"/>
    <w:rsid w:val="00CA69FA"/>
    <w:rsid w:val="00CA6E89"/>
    <w:rsid w:val="00CA7160"/>
    <w:rsid w:val="00CA79E5"/>
    <w:rsid w:val="00CB02F9"/>
    <w:rsid w:val="00CB04C1"/>
    <w:rsid w:val="00CB1732"/>
    <w:rsid w:val="00CB1AA4"/>
    <w:rsid w:val="00CB1EAB"/>
    <w:rsid w:val="00CB1F1F"/>
    <w:rsid w:val="00CB2BF8"/>
    <w:rsid w:val="00CB30F7"/>
    <w:rsid w:val="00CB3FEC"/>
    <w:rsid w:val="00CB4374"/>
    <w:rsid w:val="00CB4507"/>
    <w:rsid w:val="00CB4D5E"/>
    <w:rsid w:val="00CB4E0C"/>
    <w:rsid w:val="00CB4EE9"/>
    <w:rsid w:val="00CB4F1E"/>
    <w:rsid w:val="00CB52AC"/>
    <w:rsid w:val="00CB5909"/>
    <w:rsid w:val="00CB67E2"/>
    <w:rsid w:val="00CB69F9"/>
    <w:rsid w:val="00CC0263"/>
    <w:rsid w:val="00CC042D"/>
    <w:rsid w:val="00CC0A96"/>
    <w:rsid w:val="00CC20C6"/>
    <w:rsid w:val="00CC4DDE"/>
    <w:rsid w:val="00CC5E4F"/>
    <w:rsid w:val="00CC708B"/>
    <w:rsid w:val="00CD0844"/>
    <w:rsid w:val="00CD09F0"/>
    <w:rsid w:val="00CD119F"/>
    <w:rsid w:val="00CD1AEF"/>
    <w:rsid w:val="00CD1D33"/>
    <w:rsid w:val="00CD1FB0"/>
    <w:rsid w:val="00CD4B66"/>
    <w:rsid w:val="00CD4CE6"/>
    <w:rsid w:val="00CD4CFF"/>
    <w:rsid w:val="00CD4E8D"/>
    <w:rsid w:val="00CD4EC0"/>
    <w:rsid w:val="00CD6476"/>
    <w:rsid w:val="00CD6503"/>
    <w:rsid w:val="00CD73C3"/>
    <w:rsid w:val="00CD7437"/>
    <w:rsid w:val="00CE0C75"/>
    <w:rsid w:val="00CE0EF6"/>
    <w:rsid w:val="00CE154B"/>
    <w:rsid w:val="00CE1555"/>
    <w:rsid w:val="00CE23E1"/>
    <w:rsid w:val="00CE2E9D"/>
    <w:rsid w:val="00CE30CF"/>
    <w:rsid w:val="00CE31DE"/>
    <w:rsid w:val="00CE32F0"/>
    <w:rsid w:val="00CE4205"/>
    <w:rsid w:val="00CE4683"/>
    <w:rsid w:val="00CE4867"/>
    <w:rsid w:val="00CE53D1"/>
    <w:rsid w:val="00CE545F"/>
    <w:rsid w:val="00CE57C3"/>
    <w:rsid w:val="00CE5F05"/>
    <w:rsid w:val="00CE6068"/>
    <w:rsid w:val="00CE6EBA"/>
    <w:rsid w:val="00CE70FD"/>
    <w:rsid w:val="00CE7A5E"/>
    <w:rsid w:val="00CF03BA"/>
    <w:rsid w:val="00CF08C5"/>
    <w:rsid w:val="00CF24BB"/>
    <w:rsid w:val="00CF2BB2"/>
    <w:rsid w:val="00CF2D93"/>
    <w:rsid w:val="00CF2DC1"/>
    <w:rsid w:val="00CF2E94"/>
    <w:rsid w:val="00CF371E"/>
    <w:rsid w:val="00CF38F6"/>
    <w:rsid w:val="00CF401D"/>
    <w:rsid w:val="00CF45FB"/>
    <w:rsid w:val="00CF576E"/>
    <w:rsid w:val="00CF5BE5"/>
    <w:rsid w:val="00CF60F6"/>
    <w:rsid w:val="00CF69F9"/>
    <w:rsid w:val="00CF726C"/>
    <w:rsid w:val="00CF737C"/>
    <w:rsid w:val="00CF75F1"/>
    <w:rsid w:val="00D0000B"/>
    <w:rsid w:val="00D0056C"/>
    <w:rsid w:val="00D00EFE"/>
    <w:rsid w:val="00D020BA"/>
    <w:rsid w:val="00D020E7"/>
    <w:rsid w:val="00D03503"/>
    <w:rsid w:val="00D036F5"/>
    <w:rsid w:val="00D04575"/>
    <w:rsid w:val="00D05B90"/>
    <w:rsid w:val="00D05DF9"/>
    <w:rsid w:val="00D06AA0"/>
    <w:rsid w:val="00D06B73"/>
    <w:rsid w:val="00D06F0F"/>
    <w:rsid w:val="00D07CD2"/>
    <w:rsid w:val="00D103C1"/>
    <w:rsid w:val="00D10E87"/>
    <w:rsid w:val="00D122F4"/>
    <w:rsid w:val="00D12547"/>
    <w:rsid w:val="00D143AA"/>
    <w:rsid w:val="00D1486A"/>
    <w:rsid w:val="00D14969"/>
    <w:rsid w:val="00D14A66"/>
    <w:rsid w:val="00D14C35"/>
    <w:rsid w:val="00D15050"/>
    <w:rsid w:val="00D15424"/>
    <w:rsid w:val="00D1584B"/>
    <w:rsid w:val="00D160A0"/>
    <w:rsid w:val="00D1614D"/>
    <w:rsid w:val="00D16187"/>
    <w:rsid w:val="00D16426"/>
    <w:rsid w:val="00D1662A"/>
    <w:rsid w:val="00D16C5F"/>
    <w:rsid w:val="00D174B5"/>
    <w:rsid w:val="00D17C17"/>
    <w:rsid w:val="00D21160"/>
    <w:rsid w:val="00D217C4"/>
    <w:rsid w:val="00D22D40"/>
    <w:rsid w:val="00D23849"/>
    <w:rsid w:val="00D24126"/>
    <w:rsid w:val="00D24E0D"/>
    <w:rsid w:val="00D25054"/>
    <w:rsid w:val="00D25852"/>
    <w:rsid w:val="00D25BFD"/>
    <w:rsid w:val="00D26918"/>
    <w:rsid w:val="00D26A98"/>
    <w:rsid w:val="00D26F19"/>
    <w:rsid w:val="00D27208"/>
    <w:rsid w:val="00D275E8"/>
    <w:rsid w:val="00D27CA2"/>
    <w:rsid w:val="00D30213"/>
    <w:rsid w:val="00D30259"/>
    <w:rsid w:val="00D303B1"/>
    <w:rsid w:val="00D32EA7"/>
    <w:rsid w:val="00D33860"/>
    <w:rsid w:val="00D33AD5"/>
    <w:rsid w:val="00D3406D"/>
    <w:rsid w:val="00D3451F"/>
    <w:rsid w:val="00D352A5"/>
    <w:rsid w:val="00D372ED"/>
    <w:rsid w:val="00D37ECB"/>
    <w:rsid w:val="00D40698"/>
    <w:rsid w:val="00D40A85"/>
    <w:rsid w:val="00D40A8B"/>
    <w:rsid w:val="00D40E7A"/>
    <w:rsid w:val="00D43281"/>
    <w:rsid w:val="00D44021"/>
    <w:rsid w:val="00D449D7"/>
    <w:rsid w:val="00D45720"/>
    <w:rsid w:val="00D45D95"/>
    <w:rsid w:val="00D461BE"/>
    <w:rsid w:val="00D46451"/>
    <w:rsid w:val="00D46890"/>
    <w:rsid w:val="00D472D4"/>
    <w:rsid w:val="00D4771E"/>
    <w:rsid w:val="00D51CDD"/>
    <w:rsid w:val="00D51EF5"/>
    <w:rsid w:val="00D54015"/>
    <w:rsid w:val="00D54071"/>
    <w:rsid w:val="00D5570B"/>
    <w:rsid w:val="00D55991"/>
    <w:rsid w:val="00D55B17"/>
    <w:rsid w:val="00D5673A"/>
    <w:rsid w:val="00D56ED9"/>
    <w:rsid w:val="00D574D1"/>
    <w:rsid w:val="00D5765B"/>
    <w:rsid w:val="00D57BF7"/>
    <w:rsid w:val="00D602FC"/>
    <w:rsid w:val="00D60346"/>
    <w:rsid w:val="00D606D1"/>
    <w:rsid w:val="00D6077C"/>
    <w:rsid w:val="00D60C98"/>
    <w:rsid w:val="00D6177E"/>
    <w:rsid w:val="00D617E3"/>
    <w:rsid w:val="00D619D4"/>
    <w:rsid w:val="00D61E35"/>
    <w:rsid w:val="00D622A9"/>
    <w:rsid w:val="00D6258A"/>
    <w:rsid w:val="00D629F4"/>
    <w:rsid w:val="00D62B98"/>
    <w:rsid w:val="00D62C83"/>
    <w:rsid w:val="00D62F1C"/>
    <w:rsid w:val="00D636AB"/>
    <w:rsid w:val="00D64259"/>
    <w:rsid w:val="00D65888"/>
    <w:rsid w:val="00D66A26"/>
    <w:rsid w:val="00D66EA0"/>
    <w:rsid w:val="00D702AE"/>
    <w:rsid w:val="00D70369"/>
    <w:rsid w:val="00D70929"/>
    <w:rsid w:val="00D70DDF"/>
    <w:rsid w:val="00D71159"/>
    <w:rsid w:val="00D741C2"/>
    <w:rsid w:val="00D7420C"/>
    <w:rsid w:val="00D74C2B"/>
    <w:rsid w:val="00D76B8A"/>
    <w:rsid w:val="00D7702A"/>
    <w:rsid w:val="00D771A0"/>
    <w:rsid w:val="00D771CC"/>
    <w:rsid w:val="00D7729B"/>
    <w:rsid w:val="00D77675"/>
    <w:rsid w:val="00D8037E"/>
    <w:rsid w:val="00D80F24"/>
    <w:rsid w:val="00D81B5B"/>
    <w:rsid w:val="00D8216D"/>
    <w:rsid w:val="00D82C93"/>
    <w:rsid w:val="00D82D6D"/>
    <w:rsid w:val="00D840EB"/>
    <w:rsid w:val="00D8477A"/>
    <w:rsid w:val="00D84BD0"/>
    <w:rsid w:val="00D8524C"/>
    <w:rsid w:val="00D857E3"/>
    <w:rsid w:val="00D86058"/>
    <w:rsid w:val="00D867F8"/>
    <w:rsid w:val="00D87169"/>
    <w:rsid w:val="00D87391"/>
    <w:rsid w:val="00D877C8"/>
    <w:rsid w:val="00D905EC"/>
    <w:rsid w:val="00D908B7"/>
    <w:rsid w:val="00D912B3"/>
    <w:rsid w:val="00D923AC"/>
    <w:rsid w:val="00D93150"/>
    <w:rsid w:val="00D93616"/>
    <w:rsid w:val="00D93DB8"/>
    <w:rsid w:val="00D94523"/>
    <w:rsid w:val="00D94A02"/>
    <w:rsid w:val="00D94C52"/>
    <w:rsid w:val="00D94FCC"/>
    <w:rsid w:val="00D96018"/>
    <w:rsid w:val="00D96267"/>
    <w:rsid w:val="00D96887"/>
    <w:rsid w:val="00D96B3D"/>
    <w:rsid w:val="00D96E6D"/>
    <w:rsid w:val="00D96F8E"/>
    <w:rsid w:val="00D97666"/>
    <w:rsid w:val="00DA0ED0"/>
    <w:rsid w:val="00DA126A"/>
    <w:rsid w:val="00DA1B5B"/>
    <w:rsid w:val="00DA1D7E"/>
    <w:rsid w:val="00DA25EF"/>
    <w:rsid w:val="00DA2971"/>
    <w:rsid w:val="00DA2B2E"/>
    <w:rsid w:val="00DA2EDD"/>
    <w:rsid w:val="00DA4015"/>
    <w:rsid w:val="00DA46CF"/>
    <w:rsid w:val="00DA5083"/>
    <w:rsid w:val="00DA5781"/>
    <w:rsid w:val="00DA5D36"/>
    <w:rsid w:val="00DA6758"/>
    <w:rsid w:val="00DA77E8"/>
    <w:rsid w:val="00DB0E7F"/>
    <w:rsid w:val="00DB21A5"/>
    <w:rsid w:val="00DB3342"/>
    <w:rsid w:val="00DB3BA8"/>
    <w:rsid w:val="00DB4077"/>
    <w:rsid w:val="00DB46E5"/>
    <w:rsid w:val="00DB50CD"/>
    <w:rsid w:val="00DB5227"/>
    <w:rsid w:val="00DB5622"/>
    <w:rsid w:val="00DB5914"/>
    <w:rsid w:val="00DB5CF6"/>
    <w:rsid w:val="00DB6E57"/>
    <w:rsid w:val="00DB6EE7"/>
    <w:rsid w:val="00DC187D"/>
    <w:rsid w:val="00DC1B37"/>
    <w:rsid w:val="00DC1F5D"/>
    <w:rsid w:val="00DC2A3D"/>
    <w:rsid w:val="00DC3CED"/>
    <w:rsid w:val="00DC4FE8"/>
    <w:rsid w:val="00DC55D3"/>
    <w:rsid w:val="00DC5C92"/>
    <w:rsid w:val="00DC616A"/>
    <w:rsid w:val="00DC6260"/>
    <w:rsid w:val="00DC6390"/>
    <w:rsid w:val="00DC64FE"/>
    <w:rsid w:val="00DC686C"/>
    <w:rsid w:val="00DC705E"/>
    <w:rsid w:val="00DC74FD"/>
    <w:rsid w:val="00DD052E"/>
    <w:rsid w:val="00DD060C"/>
    <w:rsid w:val="00DD06A9"/>
    <w:rsid w:val="00DD0C08"/>
    <w:rsid w:val="00DD1DE3"/>
    <w:rsid w:val="00DD22EB"/>
    <w:rsid w:val="00DD3D1E"/>
    <w:rsid w:val="00DD40EC"/>
    <w:rsid w:val="00DD4180"/>
    <w:rsid w:val="00DD4BE3"/>
    <w:rsid w:val="00DD4BF1"/>
    <w:rsid w:val="00DD5A6E"/>
    <w:rsid w:val="00DD5A7E"/>
    <w:rsid w:val="00DD770B"/>
    <w:rsid w:val="00DD7978"/>
    <w:rsid w:val="00DD7B1B"/>
    <w:rsid w:val="00DE0605"/>
    <w:rsid w:val="00DE1434"/>
    <w:rsid w:val="00DE164D"/>
    <w:rsid w:val="00DE1C52"/>
    <w:rsid w:val="00DE1E9F"/>
    <w:rsid w:val="00DE2CD4"/>
    <w:rsid w:val="00DE2FB6"/>
    <w:rsid w:val="00DE3FFE"/>
    <w:rsid w:val="00DE4689"/>
    <w:rsid w:val="00DE4B75"/>
    <w:rsid w:val="00DE6328"/>
    <w:rsid w:val="00DE7504"/>
    <w:rsid w:val="00DE75B7"/>
    <w:rsid w:val="00DF09BA"/>
    <w:rsid w:val="00DF0F07"/>
    <w:rsid w:val="00DF1B99"/>
    <w:rsid w:val="00DF27CB"/>
    <w:rsid w:val="00DF2B32"/>
    <w:rsid w:val="00DF2F8F"/>
    <w:rsid w:val="00DF48BB"/>
    <w:rsid w:val="00DF56E6"/>
    <w:rsid w:val="00DF57A2"/>
    <w:rsid w:val="00DF7D72"/>
    <w:rsid w:val="00E00487"/>
    <w:rsid w:val="00E00C15"/>
    <w:rsid w:val="00E0267F"/>
    <w:rsid w:val="00E027F5"/>
    <w:rsid w:val="00E030C7"/>
    <w:rsid w:val="00E03C27"/>
    <w:rsid w:val="00E0459B"/>
    <w:rsid w:val="00E04D33"/>
    <w:rsid w:val="00E051D1"/>
    <w:rsid w:val="00E0562F"/>
    <w:rsid w:val="00E06231"/>
    <w:rsid w:val="00E06420"/>
    <w:rsid w:val="00E069FE"/>
    <w:rsid w:val="00E0706B"/>
    <w:rsid w:val="00E0734D"/>
    <w:rsid w:val="00E079F6"/>
    <w:rsid w:val="00E100DD"/>
    <w:rsid w:val="00E1025F"/>
    <w:rsid w:val="00E105A6"/>
    <w:rsid w:val="00E105F6"/>
    <w:rsid w:val="00E12A45"/>
    <w:rsid w:val="00E133FE"/>
    <w:rsid w:val="00E14702"/>
    <w:rsid w:val="00E15657"/>
    <w:rsid w:val="00E15D7E"/>
    <w:rsid w:val="00E15DE7"/>
    <w:rsid w:val="00E15E36"/>
    <w:rsid w:val="00E15E8D"/>
    <w:rsid w:val="00E1610C"/>
    <w:rsid w:val="00E177AD"/>
    <w:rsid w:val="00E17C75"/>
    <w:rsid w:val="00E202BC"/>
    <w:rsid w:val="00E20AC7"/>
    <w:rsid w:val="00E20E15"/>
    <w:rsid w:val="00E2127C"/>
    <w:rsid w:val="00E21C70"/>
    <w:rsid w:val="00E22024"/>
    <w:rsid w:val="00E220A8"/>
    <w:rsid w:val="00E226D1"/>
    <w:rsid w:val="00E22A1F"/>
    <w:rsid w:val="00E22E42"/>
    <w:rsid w:val="00E23CBA"/>
    <w:rsid w:val="00E24101"/>
    <w:rsid w:val="00E2410E"/>
    <w:rsid w:val="00E2466A"/>
    <w:rsid w:val="00E24E13"/>
    <w:rsid w:val="00E25448"/>
    <w:rsid w:val="00E25969"/>
    <w:rsid w:val="00E271DB"/>
    <w:rsid w:val="00E278B7"/>
    <w:rsid w:val="00E27F00"/>
    <w:rsid w:val="00E303B4"/>
    <w:rsid w:val="00E31B77"/>
    <w:rsid w:val="00E33966"/>
    <w:rsid w:val="00E340AA"/>
    <w:rsid w:val="00E34788"/>
    <w:rsid w:val="00E35DA5"/>
    <w:rsid w:val="00E363B8"/>
    <w:rsid w:val="00E366AC"/>
    <w:rsid w:val="00E366B4"/>
    <w:rsid w:val="00E36722"/>
    <w:rsid w:val="00E36944"/>
    <w:rsid w:val="00E36A50"/>
    <w:rsid w:val="00E36B92"/>
    <w:rsid w:val="00E378FD"/>
    <w:rsid w:val="00E37E13"/>
    <w:rsid w:val="00E40579"/>
    <w:rsid w:val="00E41F2E"/>
    <w:rsid w:val="00E42318"/>
    <w:rsid w:val="00E42412"/>
    <w:rsid w:val="00E42F37"/>
    <w:rsid w:val="00E4341D"/>
    <w:rsid w:val="00E43B3E"/>
    <w:rsid w:val="00E43BDB"/>
    <w:rsid w:val="00E4444A"/>
    <w:rsid w:val="00E45B23"/>
    <w:rsid w:val="00E46CB8"/>
    <w:rsid w:val="00E50C23"/>
    <w:rsid w:val="00E5273B"/>
    <w:rsid w:val="00E551C5"/>
    <w:rsid w:val="00E6030E"/>
    <w:rsid w:val="00E604F7"/>
    <w:rsid w:val="00E61170"/>
    <w:rsid w:val="00E61884"/>
    <w:rsid w:val="00E61D0A"/>
    <w:rsid w:val="00E6235F"/>
    <w:rsid w:val="00E623AC"/>
    <w:rsid w:val="00E62FA4"/>
    <w:rsid w:val="00E63BFB"/>
    <w:rsid w:val="00E6437B"/>
    <w:rsid w:val="00E644A8"/>
    <w:rsid w:val="00E645EA"/>
    <w:rsid w:val="00E64923"/>
    <w:rsid w:val="00E64A15"/>
    <w:rsid w:val="00E65090"/>
    <w:rsid w:val="00E66A73"/>
    <w:rsid w:val="00E66FC2"/>
    <w:rsid w:val="00E6787B"/>
    <w:rsid w:val="00E67ED5"/>
    <w:rsid w:val="00E72144"/>
    <w:rsid w:val="00E72152"/>
    <w:rsid w:val="00E73944"/>
    <w:rsid w:val="00E74EF5"/>
    <w:rsid w:val="00E772CF"/>
    <w:rsid w:val="00E812FA"/>
    <w:rsid w:val="00E840A9"/>
    <w:rsid w:val="00E8461C"/>
    <w:rsid w:val="00E84872"/>
    <w:rsid w:val="00E85343"/>
    <w:rsid w:val="00E85622"/>
    <w:rsid w:val="00E85BA0"/>
    <w:rsid w:val="00E86919"/>
    <w:rsid w:val="00E872C3"/>
    <w:rsid w:val="00E874F9"/>
    <w:rsid w:val="00E877BB"/>
    <w:rsid w:val="00E87C6C"/>
    <w:rsid w:val="00E87CB0"/>
    <w:rsid w:val="00E904F7"/>
    <w:rsid w:val="00E90A53"/>
    <w:rsid w:val="00E9145D"/>
    <w:rsid w:val="00E92B99"/>
    <w:rsid w:val="00E92C83"/>
    <w:rsid w:val="00E92EFE"/>
    <w:rsid w:val="00E932B9"/>
    <w:rsid w:val="00E94260"/>
    <w:rsid w:val="00E947DC"/>
    <w:rsid w:val="00E95B79"/>
    <w:rsid w:val="00E969E7"/>
    <w:rsid w:val="00E96AA2"/>
    <w:rsid w:val="00E970AF"/>
    <w:rsid w:val="00EA04DE"/>
    <w:rsid w:val="00EA0667"/>
    <w:rsid w:val="00EA0BA9"/>
    <w:rsid w:val="00EA156C"/>
    <w:rsid w:val="00EA18C3"/>
    <w:rsid w:val="00EA22D7"/>
    <w:rsid w:val="00EA3476"/>
    <w:rsid w:val="00EA34CC"/>
    <w:rsid w:val="00EA3778"/>
    <w:rsid w:val="00EA37E8"/>
    <w:rsid w:val="00EA46DF"/>
    <w:rsid w:val="00EA4713"/>
    <w:rsid w:val="00EA4D69"/>
    <w:rsid w:val="00EA518A"/>
    <w:rsid w:val="00EA52CC"/>
    <w:rsid w:val="00EA55E2"/>
    <w:rsid w:val="00EA5C0C"/>
    <w:rsid w:val="00EA730B"/>
    <w:rsid w:val="00EB14B1"/>
    <w:rsid w:val="00EB211B"/>
    <w:rsid w:val="00EB2256"/>
    <w:rsid w:val="00EB37B1"/>
    <w:rsid w:val="00EB46FF"/>
    <w:rsid w:val="00EB493A"/>
    <w:rsid w:val="00EB49CF"/>
    <w:rsid w:val="00EB5857"/>
    <w:rsid w:val="00EB6873"/>
    <w:rsid w:val="00EB74A1"/>
    <w:rsid w:val="00EB7C07"/>
    <w:rsid w:val="00EC06E8"/>
    <w:rsid w:val="00EC1736"/>
    <w:rsid w:val="00EC21A0"/>
    <w:rsid w:val="00EC3611"/>
    <w:rsid w:val="00EC38C5"/>
    <w:rsid w:val="00EC531B"/>
    <w:rsid w:val="00EC5778"/>
    <w:rsid w:val="00EC6123"/>
    <w:rsid w:val="00EC65FB"/>
    <w:rsid w:val="00EC6DDD"/>
    <w:rsid w:val="00EC763C"/>
    <w:rsid w:val="00EC76AF"/>
    <w:rsid w:val="00EC7AE9"/>
    <w:rsid w:val="00EC7B72"/>
    <w:rsid w:val="00EC7D14"/>
    <w:rsid w:val="00ED1E8B"/>
    <w:rsid w:val="00ED2CDB"/>
    <w:rsid w:val="00ED2E62"/>
    <w:rsid w:val="00ED2FC9"/>
    <w:rsid w:val="00ED357D"/>
    <w:rsid w:val="00ED3BFC"/>
    <w:rsid w:val="00ED3C78"/>
    <w:rsid w:val="00ED451D"/>
    <w:rsid w:val="00ED4640"/>
    <w:rsid w:val="00ED4671"/>
    <w:rsid w:val="00ED470F"/>
    <w:rsid w:val="00ED5AB5"/>
    <w:rsid w:val="00ED665C"/>
    <w:rsid w:val="00ED7396"/>
    <w:rsid w:val="00ED78FA"/>
    <w:rsid w:val="00EE0AD0"/>
    <w:rsid w:val="00EE176A"/>
    <w:rsid w:val="00EE2051"/>
    <w:rsid w:val="00EE3094"/>
    <w:rsid w:val="00EE40AE"/>
    <w:rsid w:val="00EE4498"/>
    <w:rsid w:val="00EE58B2"/>
    <w:rsid w:val="00EE5D52"/>
    <w:rsid w:val="00EE5F46"/>
    <w:rsid w:val="00EE6340"/>
    <w:rsid w:val="00EE6874"/>
    <w:rsid w:val="00EE6E78"/>
    <w:rsid w:val="00EE6E90"/>
    <w:rsid w:val="00EE79C2"/>
    <w:rsid w:val="00EF0484"/>
    <w:rsid w:val="00EF12AB"/>
    <w:rsid w:val="00EF1331"/>
    <w:rsid w:val="00EF19CE"/>
    <w:rsid w:val="00EF2179"/>
    <w:rsid w:val="00EF2B1E"/>
    <w:rsid w:val="00EF31E4"/>
    <w:rsid w:val="00EF3402"/>
    <w:rsid w:val="00EF3CB3"/>
    <w:rsid w:val="00EF578F"/>
    <w:rsid w:val="00EF5A72"/>
    <w:rsid w:val="00EF5D7E"/>
    <w:rsid w:val="00EF613D"/>
    <w:rsid w:val="00EF62CE"/>
    <w:rsid w:val="00EF648A"/>
    <w:rsid w:val="00EF6492"/>
    <w:rsid w:val="00F0122B"/>
    <w:rsid w:val="00F0171B"/>
    <w:rsid w:val="00F01E35"/>
    <w:rsid w:val="00F027AA"/>
    <w:rsid w:val="00F03186"/>
    <w:rsid w:val="00F03228"/>
    <w:rsid w:val="00F0374C"/>
    <w:rsid w:val="00F0401B"/>
    <w:rsid w:val="00F04046"/>
    <w:rsid w:val="00F04AC8"/>
    <w:rsid w:val="00F06345"/>
    <w:rsid w:val="00F06EB6"/>
    <w:rsid w:val="00F06F8C"/>
    <w:rsid w:val="00F071A5"/>
    <w:rsid w:val="00F07E9A"/>
    <w:rsid w:val="00F10136"/>
    <w:rsid w:val="00F10A88"/>
    <w:rsid w:val="00F11771"/>
    <w:rsid w:val="00F12368"/>
    <w:rsid w:val="00F13C35"/>
    <w:rsid w:val="00F14E08"/>
    <w:rsid w:val="00F158C4"/>
    <w:rsid w:val="00F15920"/>
    <w:rsid w:val="00F15A0E"/>
    <w:rsid w:val="00F15DC8"/>
    <w:rsid w:val="00F15E66"/>
    <w:rsid w:val="00F15F2E"/>
    <w:rsid w:val="00F16BAB"/>
    <w:rsid w:val="00F20400"/>
    <w:rsid w:val="00F20515"/>
    <w:rsid w:val="00F20B88"/>
    <w:rsid w:val="00F212FE"/>
    <w:rsid w:val="00F22381"/>
    <w:rsid w:val="00F22936"/>
    <w:rsid w:val="00F22AB9"/>
    <w:rsid w:val="00F24444"/>
    <w:rsid w:val="00F24660"/>
    <w:rsid w:val="00F24AE1"/>
    <w:rsid w:val="00F24F7F"/>
    <w:rsid w:val="00F257AE"/>
    <w:rsid w:val="00F25991"/>
    <w:rsid w:val="00F2751E"/>
    <w:rsid w:val="00F27654"/>
    <w:rsid w:val="00F27F14"/>
    <w:rsid w:val="00F27FDF"/>
    <w:rsid w:val="00F3151C"/>
    <w:rsid w:val="00F31DC3"/>
    <w:rsid w:val="00F32717"/>
    <w:rsid w:val="00F3273F"/>
    <w:rsid w:val="00F32793"/>
    <w:rsid w:val="00F329F3"/>
    <w:rsid w:val="00F33397"/>
    <w:rsid w:val="00F34CD7"/>
    <w:rsid w:val="00F35F22"/>
    <w:rsid w:val="00F3692C"/>
    <w:rsid w:val="00F36F5F"/>
    <w:rsid w:val="00F36FCC"/>
    <w:rsid w:val="00F374B7"/>
    <w:rsid w:val="00F375C1"/>
    <w:rsid w:val="00F37AB5"/>
    <w:rsid w:val="00F37C37"/>
    <w:rsid w:val="00F402E4"/>
    <w:rsid w:val="00F40A04"/>
    <w:rsid w:val="00F418FE"/>
    <w:rsid w:val="00F41D45"/>
    <w:rsid w:val="00F4210D"/>
    <w:rsid w:val="00F422F7"/>
    <w:rsid w:val="00F42712"/>
    <w:rsid w:val="00F42F83"/>
    <w:rsid w:val="00F43FFA"/>
    <w:rsid w:val="00F4496F"/>
    <w:rsid w:val="00F452FA"/>
    <w:rsid w:val="00F4533B"/>
    <w:rsid w:val="00F453BF"/>
    <w:rsid w:val="00F458FA"/>
    <w:rsid w:val="00F458FE"/>
    <w:rsid w:val="00F45958"/>
    <w:rsid w:val="00F46AE0"/>
    <w:rsid w:val="00F46D96"/>
    <w:rsid w:val="00F4767B"/>
    <w:rsid w:val="00F47A0C"/>
    <w:rsid w:val="00F50342"/>
    <w:rsid w:val="00F50FAA"/>
    <w:rsid w:val="00F5210D"/>
    <w:rsid w:val="00F530C2"/>
    <w:rsid w:val="00F533D8"/>
    <w:rsid w:val="00F53424"/>
    <w:rsid w:val="00F535E0"/>
    <w:rsid w:val="00F540C6"/>
    <w:rsid w:val="00F55C5E"/>
    <w:rsid w:val="00F56317"/>
    <w:rsid w:val="00F57CF7"/>
    <w:rsid w:val="00F57FE1"/>
    <w:rsid w:val="00F60608"/>
    <w:rsid w:val="00F6113F"/>
    <w:rsid w:val="00F6121D"/>
    <w:rsid w:val="00F6163F"/>
    <w:rsid w:val="00F618A5"/>
    <w:rsid w:val="00F62619"/>
    <w:rsid w:val="00F62CFE"/>
    <w:rsid w:val="00F63A7B"/>
    <w:rsid w:val="00F63B20"/>
    <w:rsid w:val="00F63EDB"/>
    <w:rsid w:val="00F63F59"/>
    <w:rsid w:val="00F6444C"/>
    <w:rsid w:val="00F64BE6"/>
    <w:rsid w:val="00F65A25"/>
    <w:rsid w:val="00F6601C"/>
    <w:rsid w:val="00F67002"/>
    <w:rsid w:val="00F672CB"/>
    <w:rsid w:val="00F67A6D"/>
    <w:rsid w:val="00F7090C"/>
    <w:rsid w:val="00F70E67"/>
    <w:rsid w:val="00F721D6"/>
    <w:rsid w:val="00F72329"/>
    <w:rsid w:val="00F723F3"/>
    <w:rsid w:val="00F72F93"/>
    <w:rsid w:val="00F74085"/>
    <w:rsid w:val="00F75537"/>
    <w:rsid w:val="00F75BD5"/>
    <w:rsid w:val="00F75FE4"/>
    <w:rsid w:val="00F772BC"/>
    <w:rsid w:val="00F81466"/>
    <w:rsid w:val="00F819FB"/>
    <w:rsid w:val="00F81A0B"/>
    <w:rsid w:val="00F8266E"/>
    <w:rsid w:val="00F82AE7"/>
    <w:rsid w:val="00F830DC"/>
    <w:rsid w:val="00F83CFE"/>
    <w:rsid w:val="00F84724"/>
    <w:rsid w:val="00F84B09"/>
    <w:rsid w:val="00F85733"/>
    <w:rsid w:val="00F85C39"/>
    <w:rsid w:val="00F860B4"/>
    <w:rsid w:val="00F8611B"/>
    <w:rsid w:val="00F86407"/>
    <w:rsid w:val="00F8706A"/>
    <w:rsid w:val="00F90045"/>
    <w:rsid w:val="00F9046A"/>
    <w:rsid w:val="00F90851"/>
    <w:rsid w:val="00F911DD"/>
    <w:rsid w:val="00F92503"/>
    <w:rsid w:val="00F92730"/>
    <w:rsid w:val="00F92DCB"/>
    <w:rsid w:val="00F93484"/>
    <w:rsid w:val="00F93662"/>
    <w:rsid w:val="00F93F38"/>
    <w:rsid w:val="00F947DD"/>
    <w:rsid w:val="00F9495D"/>
    <w:rsid w:val="00F94EF1"/>
    <w:rsid w:val="00F955C7"/>
    <w:rsid w:val="00F96486"/>
    <w:rsid w:val="00F967E6"/>
    <w:rsid w:val="00F96A4B"/>
    <w:rsid w:val="00F97466"/>
    <w:rsid w:val="00FA0085"/>
    <w:rsid w:val="00FA0413"/>
    <w:rsid w:val="00FA0516"/>
    <w:rsid w:val="00FA0DB3"/>
    <w:rsid w:val="00FA11E3"/>
    <w:rsid w:val="00FA47FC"/>
    <w:rsid w:val="00FA4B0D"/>
    <w:rsid w:val="00FA6055"/>
    <w:rsid w:val="00FA6825"/>
    <w:rsid w:val="00FA6E3C"/>
    <w:rsid w:val="00FA7106"/>
    <w:rsid w:val="00FB04A1"/>
    <w:rsid w:val="00FB11A9"/>
    <w:rsid w:val="00FB164C"/>
    <w:rsid w:val="00FB23B9"/>
    <w:rsid w:val="00FB2A93"/>
    <w:rsid w:val="00FB2B45"/>
    <w:rsid w:val="00FB300E"/>
    <w:rsid w:val="00FB3F2B"/>
    <w:rsid w:val="00FB4E5F"/>
    <w:rsid w:val="00FB6B78"/>
    <w:rsid w:val="00FB6D86"/>
    <w:rsid w:val="00FB7AC3"/>
    <w:rsid w:val="00FB7CAB"/>
    <w:rsid w:val="00FC0161"/>
    <w:rsid w:val="00FC0C49"/>
    <w:rsid w:val="00FC12CD"/>
    <w:rsid w:val="00FC16B6"/>
    <w:rsid w:val="00FC1AC0"/>
    <w:rsid w:val="00FC1B89"/>
    <w:rsid w:val="00FC1C62"/>
    <w:rsid w:val="00FC1FB1"/>
    <w:rsid w:val="00FC2134"/>
    <w:rsid w:val="00FC22DC"/>
    <w:rsid w:val="00FC279A"/>
    <w:rsid w:val="00FC3649"/>
    <w:rsid w:val="00FC4F30"/>
    <w:rsid w:val="00FC5134"/>
    <w:rsid w:val="00FC5DF5"/>
    <w:rsid w:val="00FC60E1"/>
    <w:rsid w:val="00FC620C"/>
    <w:rsid w:val="00FC664C"/>
    <w:rsid w:val="00FC670F"/>
    <w:rsid w:val="00FC6CF6"/>
    <w:rsid w:val="00FC7BCA"/>
    <w:rsid w:val="00FD0398"/>
    <w:rsid w:val="00FD0A26"/>
    <w:rsid w:val="00FD0C42"/>
    <w:rsid w:val="00FD0E8D"/>
    <w:rsid w:val="00FD10E9"/>
    <w:rsid w:val="00FD1553"/>
    <w:rsid w:val="00FD1658"/>
    <w:rsid w:val="00FD17AB"/>
    <w:rsid w:val="00FD1A9D"/>
    <w:rsid w:val="00FD1B33"/>
    <w:rsid w:val="00FD1B4D"/>
    <w:rsid w:val="00FD3FEA"/>
    <w:rsid w:val="00FD4C7A"/>
    <w:rsid w:val="00FD5623"/>
    <w:rsid w:val="00FD5DFE"/>
    <w:rsid w:val="00FD6390"/>
    <w:rsid w:val="00FD6544"/>
    <w:rsid w:val="00FD77B7"/>
    <w:rsid w:val="00FD7E1D"/>
    <w:rsid w:val="00FD7F1C"/>
    <w:rsid w:val="00FE0244"/>
    <w:rsid w:val="00FE0319"/>
    <w:rsid w:val="00FE0783"/>
    <w:rsid w:val="00FE09EC"/>
    <w:rsid w:val="00FE0D2F"/>
    <w:rsid w:val="00FE0ED8"/>
    <w:rsid w:val="00FE1E44"/>
    <w:rsid w:val="00FE2AE8"/>
    <w:rsid w:val="00FE34F3"/>
    <w:rsid w:val="00FE3D0E"/>
    <w:rsid w:val="00FE4082"/>
    <w:rsid w:val="00FE4617"/>
    <w:rsid w:val="00FE4778"/>
    <w:rsid w:val="00FE6198"/>
    <w:rsid w:val="00FE6E02"/>
    <w:rsid w:val="00FE75EB"/>
    <w:rsid w:val="00FE78F1"/>
    <w:rsid w:val="00FE7B4C"/>
    <w:rsid w:val="00FF02D6"/>
    <w:rsid w:val="00FF0E69"/>
    <w:rsid w:val="00FF101E"/>
    <w:rsid w:val="00FF110B"/>
    <w:rsid w:val="00FF1166"/>
    <w:rsid w:val="00FF1537"/>
    <w:rsid w:val="00FF1998"/>
    <w:rsid w:val="00FF22DC"/>
    <w:rsid w:val="00FF28D0"/>
    <w:rsid w:val="00FF3387"/>
    <w:rsid w:val="00FF33E8"/>
    <w:rsid w:val="00FF3A42"/>
    <w:rsid w:val="00FF4238"/>
    <w:rsid w:val="00FF55F2"/>
    <w:rsid w:val="00FF5774"/>
    <w:rsid w:val="00FF5A0B"/>
    <w:rsid w:val="00FF5F76"/>
    <w:rsid w:val="00FF6423"/>
    <w:rsid w:val="00FF688C"/>
    <w:rsid w:val="00FF7D82"/>
  </w:rsids>
  <m:mathPr>
    <m:mathFont m:val="Cambria Math"/>
    <m:brkBin m:val="before"/>
    <m:brkBinSub m:val="--"/>
    <m:smallFrac m:val="0"/>
    <m:dispDef/>
    <m:lMargin m:val="0"/>
    <m:rMargin m:val="0"/>
    <m:defJc m:val="centerGroup"/>
    <m:wrapIndent m:val="1440"/>
    <m:intLim m:val="subSup"/>
    <m:naryLim m:val="undOvr"/>
  </m:mathPr>
  <w:themeFontLang w:val="ro-M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7E365"/>
  <w15:chartTrackingRefBased/>
  <w15:docId w15:val="{0ADD131B-C3B4-4495-9B93-56E3EC69C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M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Section - law"/>
    <w:basedOn w:val="Normal"/>
    <w:next w:val="Heading2"/>
    <w:link w:val="Heading1Char"/>
    <w:uiPriority w:val="9"/>
    <w:qFormat/>
    <w:rsid w:val="003D18C7"/>
    <w:pPr>
      <w:keepNext/>
      <w:keepLines/>
      <w:spacing w:before="360" w:after="240" w:line="360" w:lineRule="auto"/>
      <w:jc w:val="both"/>
      <w:outlineLvl w:val="0"/>
    </w:pPr>
    <w:rPr>
      <w:rFonts w:ascii="Arial" w:eastAsiaTheme="majorEastAsia" w:hAnsi="Arial" w:cstheme="majorBidi"/>
      <w:b/>
      <w:sz w:val="32"/>
      <w:szCs w:val="32"/>
      <w:lang w:val="en-GB" w:eastAsia="es-ES"/>
    </w:rPr>
  </w:style>
  <w:style w:type="paragraph" w:styleId="Heading2">
    <w:name w:val="heading 2"/>
    <w:basedOn w:val="Normal"/>
    <w:next w:val="Normal"/>
    <w:link w:val="Heading2Char"/>
    <w:uiPriority w:val="9"/>
    <w:unhideWhenUsed/>
    <w:qFormat/>
    <w:rsid w:val="003D18C7"/>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aliases w:val="Article -law"/>
    <w:basedOn w:val="Normal"/>
    <w:next w:val="Normal"/>
    <w:link w:val="Heading3Char"/>
    <w:uiPriority w:val="9"/>
    <w:unhideWhenUsed/>
    <w:qFormat/>
    <w:rsid w:val="002F3522"/>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5A616B"/>
    <w:pPr>
      <w:keepNext/>
      <w:keepLines/>
      <w:spacing w:before="80" w:after="40"/>
      <w:outlineLvl w:val="3"/>
    </w:pPr>
    <w:rPr>
      <w:rFonts w:eastAsiaTheme="majorEastAsia" w:cstheme="majorBidi"/>
      <w:i/>
      <w:iCs/>
      <w:color w:val="2F5496" w:themeColor="accent1" w:themeShade="BF"/>
      <w:kern w:val="2"/>
      <w:lang w:val="en-GB"/>
      <w14:ligatures w14:val="standardContextual"/>
    </w:rPr>
  </w:style>
  <w:style w:type="paragraph" w:styleId="Heading5">
    <w:name w:val="heading 5"/>
    <w:basedOn w:val="Normal"/>
    <w:next w:val="Normal"/>
    <w:link w:val="Heading5Char"/>
    <w:uiPriority w:val="9"/>
    <w:semiHidden/>
    <w:unhideWhenUsed/>
    <w:qFormat/>
    <w:rsid w:val="005A616B"/>
    <w:pPr>
      <w:keepNext/>
      <w:keepLines/>
      <w:spacing w:before="80" w:after="40"/>
      <w:outlineLvl w:val="4"/>
    </w:pPr>
    <w:rPr>
      <w:rFonts w:eastAsiaTheme="majorEastAsia" w:cstheme="majorBidi"/>
      <w:color w:val="2F5496" w:themeColor="accent1" w:themeShade="BF"/>
      <w:kern w:val="2"/>
      <w:lang w:val="en-GB"/>
      <w14:ligatures w14:val="standardContextual"/>
    </w:rPr>
  </w:style>
  <w:style w:type="paragraph" w:styleId="Heading6">
    <w:name w:val="heading 6"/>
    <w:basedOn w:val="Normal"/>
    <w:next w:val="Normal"/>
    <w:link w:val="Heading6Char"/>
    <w:uiPriority w:val="9"/>
    <w:semiHidden/>
    <w:unhideWhenUsed/>
    <w:qFormat/>
    <w:rsid w:val="005A616B"/>
    <w:pPr>
      <w:keepNext/>
      <w:keepLines/>
      <w:spacing w:before="40" w:after="0"/>
      <w:outlineLvl w:val="5"/>
    </w:pPr>
    <w:rPr>
      <w:rFonts w:eastAsiaTheme="majorEastAsia" w:cstheme="majorBidi"/>
      <w:i/>
      <w:iCs/>
      <w:color w:val="595959" w:themeColor="text1" w:themeTint="A6"/>
      <w:kern w:val="2"/>
      <w:lang w:val="en-GB"/>
      <w14:ligatures w14:val="standardContextual"/>
    </w:rPr>
  </w:style>
  <w:style w:type="paragraph" w:styleId="Heading7">
    <w:name w:val="heading 7"/>
    <w:basedOn w:val="Normal"/>
    <w:next w:val="Normal"/>
    <w:link w:val="Heading7Char"/>
    <w:uiPriority w:val="9"/>
    <w:semiHidden/>
    <w:unhideWhenUsed/>
    <w:qFormat/>
    <w:rsid w:val="005A616B"/>
    <w:pPr>
      <w:keepNext/>
      <w:keepLines/>
      <w:spacing w:before="40" w:after="0"/>
      <w:outlineLvl w:val="6"/>
    </w:pPr>
    <w:rPr>
      <w:rFonts w:eastAsiaTheme="majorEastAsia" w:cstheme="majorBidi"/>
      <w:color w:val="595959" w:themeColor="text1" w:themeTint="A6"/>
      <w:kern w:val="2"/>
      <w:lang w:val="en-GB"/>
      <w14:ligatures w14:val="standardContextual"/>
    </w:rPr>
  </w:style>
  <w:style w:type="paragraph" w:styleId="Heading8">
    <w:name w:val="heading 8"/>
    <w:basedOn w:val="Normal"/>
    <w:next w:val="Normal"/>
    <w:link w:val="Heading8Char"/>
    <w:uiPriority w:val="9"/>
    <w:semiHidden/>
    <w:unhideWhenUsed/>
    <w:qFormat/>
    <w:rsid w:val="005A616B"/>
    <w:pPr>
      <w:keepNext/>
      <w:keepLines/>
      <w:spacing w:after="0"/>
      <w:outlineLvl w:val="7"/>
    </w:pPr>
    <w:rPr>
      <w:rFonts w:eastAsiaTheme="majorEastAsia" w:cstheme="majorBidi"/>
      <w:i/>
      <w:iCs/>
      <w:color w:val="272727" w:themeColor="text1" w:themeTint="D8"/>
      <w:kern w:val="2"/>
      <w:lang w:val="en-GB"/>
      <w14:ligatures w14:val="standardContextual"/>
    </w:rPr>
  </w:style>
  <w:style w:type="paragraph" w:styleId="Heading9">
    <w:name w:val="heading 9"/>
    <w:basedOn w:val="Normal"/>
    <w:next w:val="Normal"/>
    <w:link w:val="Heading9Char"/>
    <w:uiPriority w:val="9"/>
    <w:semiHidden/>
    <w:unhideWhenUsed/>
    <w:qFormat/>
    <w:rsid w:val="005A616B"/>
    <w:pPr>
      <w:keepNext/>
      <w:keepLines/>
      <w:spacing w:after="0"/>
      <w:outlineLvl w:val="8"/>
    </w:pPr>
    <w:rPr>
      <w:rFonts w:eastAsiaTheme="majorEastAsia" w:cstheme="majorBidi"/>
      <w:color w:val="272727" w:themeColor="text1" w:themeTint="D8"/>
      <w:kern w:val="2"/>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
    <w:name w:val="norm"/>
    <w:basedOn w:val="Normal"/>
    <w:rsid w:val="007D3E36"/>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styleId="CommentReference">
    <w:name w:val="annotation reference"/>
    <w:basedOn w:val="DefaultParagraphFont"/>
    <w:uiPriority w:val="99"/>
    <w:unhideWhenUsed/>
    <w:rsid w:val="00AF39CD"/>
    <w:rPr>
      <w:sz w:val="16"/>
      <w:szCs w:val="16"/>
    </w:rPr>
  </w:style>
  <w:style w:type="paragraph" w:styleId="CommentText">
    <w:name w:val="annotation text"/>
    <w:basedOn w:val="Normal"/>
    <w:link w:val="CommentTextChar"/>
    <w:uiPriority w:val="99"/>
    <w:unhideWhenUsed/>
    <w:rsid w:val="00AF39CD"/>
    <w:pPr>
      <w:spacing w:line="240" w:lineRule="auto"/>
    </w:pPr>
    <w:rPr>
      <w:sz w:val="20"/>
      <w:szCs w:val="20"/>
    </w:rPr>
  </w:style>
  <w:style w:type="character" w:customStyle="1" w:styleId="CommentTextChar">
    <w:name w:val="Comment Text Char"/>
    <w:basedOn w:val="DefaultParagraphFont"/>
    <w:link w:val="CommentText"/>
    <w:uiPriority w:val="99"/>
    <w:rsid w:val="00AF39CD"/>
    <w:rPr>
      <w:sz w:val="20"/>
      <w:szCs w:val="20"/>
    </w:rPr>
  </w:style>
  <w:style w:type="paragraph" w:styleId="CommentSubject">
    <w:name w:val="annotation subject"/>
    <w:basedOn w:val="CommentText"/>
    <w:next w:val="CommentText"/>
    <w:link w:val="CommentSubjectChar"/>
    <w:uiPriority w:val="99"/>
    <w:semiHidden/>
    <w:unhideWhenUsed/>
    <w:rsid w:val="00AF39CD"/>
    <w:rPr>
      <w:b/>
      <w:bCs/>
    </w:rPr>
  </w:style>
  <w:style w:type="character" w:customStyle="1" w:styleId="CommentSubjectChar">
    <w:name w:val="Comment Subject Char"/>
    <w:basedOn w:val="CommentTextChar"/>
    <w:link w:val="CommentSubject"/>
    <w:uiPriority w:val="99"/>
    <w:semiHidden/>
    <w:rsid w:val="00AF39CD"/>
    <w:rPr>
      <w:b/>
      <w:bCs/>
      <w:sz w:val="20"/>
      <w:szCs w:val="20"/>
    </w:rPr>
  </w:style>
  <w:style w:type="character" w:customStyle="1" w:styleId="Heading1Char">
    <w:name w:val="Heading 1 Char"/>
    <w:aliases w:val="Section - law Char"/>
    <w:basedOn w:val="DefaultParagraphFont"/>
    <w:link w:val="Heading1"/>
    <w:uiPriority w:val="9"/>
    <w:rsid w:val="003D18C7"/>
    <w:rPr>
      <w:rFonts w:ascii="Arial" w:eastAsiaTheme="majorEastAsia" w:hAnsi="Arial" w:cstheme="majorBidi"/>
      <w:b/>
      <w:sz w:val="32"/>
      <w:szCs w:val="32"/>
      <w:lang w:val="en-GB" w:eastAsia="es-ES"/>
    </w:rPr>
  </w:style>
  <w:style w:type="character" w:customStyle="1" w:styleId="Heading2Char">
    <w:name w:val="Heading 2 Char"/>
    <w:basedOn w:val="DefaultParagraphFont"/>
    <w:link w:val="Heading2"/>
    <w:uiPriority w:val="9"/>
    <w:rsid w:val="003D18C7"/>
    <w:rPr>
      <w:rFonts w:asciiTheme="majorHAnsi" w:eastAsiaTheme="majorEastAsia" w:hAnsiTheme="majorHAnsi" w:cstheme="majorBidi"/>
      <w:color w:val="2F5496" w:themeColor="accent1" w:themeShade="BF"/>
      <w:sz w:val="26"/>
      <w:szCs w:val="26"/>
    </w:rPr>
  </w:style>
  <w:style w:type="character" w:customStyle="1" w:styleId="Heading3Char">
    <w:name w:val="Heading 3 Char"/>
    <w:aliases w:val="Article -law Char"/>
    <w:basedOn w:val="DefaultParagraphFont"/>
    <w:link w:val="Heading3"/>
    <w:uiPriority w:val="9"/>
    <w:rsid w:val="002F3522"/>
    <w:rPr>
      <w:rFonts w:asciiTheme="majorHAnsi" w:eastAsiaTheme="majorEastAsia" w:hAnsiTheme="majorHAnsi" w:cstheme="majorBidi"/>
      <w:color w:val="1F3763" w:themeColor="accent1" w:themeShade="7F"/>
      <w:sz w:val="24"/>
      <w:szCs w:val="24"/>
    </w:rPr>
  </w:style>
  <w:style w:type="character" w:styleId="Hyperlink">
    <w:name w:val="Hyperlink"/>
    <w:basedOn w:val="DefaultParagraphFont"/>
    <w:uiPriority w:val="99"/>
    <w:unhideWhenUsed/>
    <w:rsid w:val="00FF0E69"/>
    <w:rPr>
      <w:color w:val="0000FF"/>
      <w:u w:val="single"/>
    </w:rPr>
  </w:style>
  <w:style w:type="character" w:customStyle="1" w:styleId="superscript">
    <w:name w:val="superscript"/>
    <w:basedOn w:val="DefaultParagraphFont"/>
    <w:rsid w:val="00FF0E69"/>
  </w:style>
  <w:style w:type="paragraph" w:customStyle="1" w:styleId="stitle-article-norm">
    <w:name w:val="stitle-article-norm"/>
    <w:basedOn w:val="Normal"/>
    <w:rsid w:val="00411151"/>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customStyle="1" w:styleId="no-parag">
    <w:name w:val="no-parag"/>
    <w:basedOn w:val="DefaultParagraphFont"/>
    <w:rsid w:val="00411151"/>
  </w:style>
  <w:style w:type="paragraph" w:styleId="Revision">
    <w:name w:val="Revision"/>
    <w:hidden/>
    <w:uiPriority w:val="99"/>
    <w:semiHidden/>
    <w:rsid w:val="00465496"/>
    <w:pPr>
      <w:spacing w:after="0" w:line="240" w:lineRule="auto"/>
    </w:pPr>
  </w:style>
  <w:style w:type="paragraph" w:customStyle="1" w:styleId="title-article-norm">
    <w:name w:val="title-article-norm"/>
    <w:basedOn w:val="Normal"/>
    <w:rsid w:val="00B74DBA"/>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modref">
    <w:name w:val="modref"/>
    <w:basedOn w:val="Normal"/>
    <w:rsid w:val="00B74DBA"/>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styleId="ListParagraph">
    <w:name w:val="List Paragraph"/>
    <w:basedOn w:val="Normal"/>
    <w:uiPriority w:val="34"/>
    <w:qFormat/>
    <w:rsid w:val="00C17BD6"/>
    <w:pPr>
      <w:ind w:left="720"/>
      <w:contextualSpacing/>
    </w:pPr>
  </w:style>
  <w:style w:type="paragraph" w:customStyle="1" w:styleId="List1">
    <w:name w:val="List1"/>
    <w:basedOn w:val="Normal"/>
    <w:rsid w:val="00933162"/>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customStyle="1" w:styleId="italics">
    <w:name w:val="italics"/>
    <w:basedOn w:val="DefaultParagraphFont"/>
    <w:rsid w:val="00933162"/>
  </w:style>
  <w:style w:type="paragraph" w:styleId="NormalWeb">
    <w:name w:val="Normal (Web)"/>
    <w:basedOn w:val="Normal"/>
    <w:uiPriority w:val="99"/>
    <w:unhideWhenUsed/>
    <w:rsid w:val="00B37716"/>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customStyle="1" w:styleId="subscript">
    <w:name w:val="subscript"/>
    <w:basedOn w:val="DefaultParagraphFont"/>
    <w:rsid w:val="002F0C01"/>
  </w:style>
  <w:style w:type="paragraph" w:customStyle="1" w:styleId="List2">
    <w:name w:val="List2"/>
    <w:basedOn w:val="Normal"/>
    <w:rsid w:val="00503BE4"/>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customStyle="1" w:styleId="boldface">
    <w:name w:val="boldface"/>
    <w:basedOn w:val="DefaultParagraphFont"/>
    <w:rsid w:val="0040195B"/>
  </w:style>
  <w:style w:type="paragraph" w:customStyle="1" w:styleId="rg">
    <w:name w:val="rg"/>
    <w:basedOn w:val="Normal"/>
    <w:rsid w:val="00EB2256"/>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cp">
    <w:name w:val="cp"/>
    <w:basedOn w:val="Normal"/>
    <w:rsid w:val="00EB2256"/>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List3">
    <w:name w:val="List3"/>
    <w:basedOn w:val="Normal"/>
    <w:rsid w:val="00CA420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container-center">
    <w:name w:val="container-center"/>
    <w:basedOn w:val="Normal"/>
    <w:rsid w:val="0044459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List4">
    <w:name w:val="List4"/>
    <w:basedOn w:val="Normal"/>
    <w:rsid w:val="0044459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tbl-norm">
    <w:name w:val="tbl-norm"/>
    <w:basedOn w:val="Normal"/>
    <w:rsid w:val="00072E7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dlist-term">
    <w:name w:val="dlist-term"/>
    <w:basedOn w:val="Normal"/>
    <w:rsid w:val="00072E7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dlist-definition">
    <w:name w:val="dlist-definition"/>
    <w:basedOn w:val="Normal"/>
    <w:rsid w:val="00072E7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title-table">
    <w:name w:val="title-table"/>
    <w:basedOn w:val="Normal"/>
    <w:rsid w:val="007F637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styleId="Header">
    <w:name w:val="header"/>
    <w:basedOn w:val="Normal"/>
    <w:link w:val="HeaderChar"/>
    <w:uiPriority w:val="99"/>
    <w:unhideWhenUsed/>
    <w:rsid w:val="004E0DE3"/>
    <w:pPr>
      <w:tabs>
        <w:tab w:val="center" w:pos="4677"/>
        <w:tab w:val="right" w:pos="9355"/>
      </w:tabs>
      <w:spacing w:after="0" w:line="240" w:lineRule="auto"/>
    </w:pPr>
  </w:style>
  <w:style w:type="character" w:customStyle="1" w:styleId="HeaderChar">
    <w:name w:val="Header Char"/>
    <w:basedOn w:val="DefaultParagraphFont"/>
    <w:link w:val="Header"/>
    <w:uiPriority w:val="99"/>
    <w:rsid w:val="004E0DE3"/>
  </w:style>
  <w:style w:type="paragraph" w:styleId="Footer">
    <w:name w:val="footer"/>
    <w:basedOn w:val="Normal"/>
    <w:link w:val="FooterChar"/>
    <w:uiPriority w:val="99"/>
    <w:unhideWhenUsed/>
    <w:rsid w:val="004E0DE3"/>
    <w:pPr>
      <w:tabs>
        <w:tab w:val="center" w:pos="4677"/>
        <w:tab w:val="right" w:pos="9355"/>
      </w:tabs>
      <w:spacing w:after="0" w:line="240" w:lineRule="auto"/>
    </w:pPr>
  </w:style>
  <w:style w:type="character" w:customStyle="1" w:styleId="FooterChar">
    <w:name w:val="Footer Char"/>
    <w:basedOn w:val="DefaultParagraphFont"/>
    <w:link w:val="Footer"/>
    <w:uiPriority w:val="99"/>
    <w:rsid w:val="004E0DE3"/>
  </w:style>
  <w:style w:type="paragraph" w:customStyle="1" w:styleId="title-doc-first">
    <w:name w:val="title-doc-first"/>
    <w:basedOn w:val="Normal"/>
    <w:rsid w:val="0036299D"/>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title-doc-last">
    <w:name w:val="title-doc-last"/>
    <w:basedOn w:val="Normal"/>
    <w:rsid w:val="0036299D"/>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styleId="UnresolvedMention">
    <w:name w:val="Unresolved Mention"/>
    <w:basedOn w:val="DefaultParagraphFont"/>
    <w:uiPriority w:val="99"/>
    <w:semiHidden/>
    <w:unhideWhenUsed/>
    <w:rsid w:val="0019560D"/>
    <w:rPr>
      <w:color w:val="605E5C"/>
      <w:shd w:val="clear" w:color="auto" w:fill="E1DFDD"/>
    </w:rPr>
  </w:style>
  <w:style w:type="character" w:styleId="Strong">
    <w:name w:val="Strong"/>
    <w:basedOn w:val="DefaultParagraphFont"/>
    <w:uiPriority w:val="22"/>
    <w:qFormat/>
    <w:rsid w:val="005C257D"/>
    <w:rPr>
      <w:b/>
      <w:bCs/>
    </w:rPr>
  </w:style>
  <w:style w:type="character" w:customStyle="1" w:styleId="Heading4Char">
    <w:name w:val="Heading 4 Char"/>
    <w:basedOn w:val="DefaultParagraphFont"/>
    <w:link w:val="Heading4"/>
    <w:uiPriority w:val="9"/>
    <w:semiHidden/>
    <w:rsid w:val="005A616B"/>
    <w:rPr>
      <w:rFonts w:eastAsiaTheme="majorEastAsia" w:cstheme="majorBidi"/>
      <w:i/>
      <w:iCs/>
      <w:color w:val="2F5496" w:themeColor="accent1" w:themeShade="BF"/>
      <w:kern w:val="2"/>
      <w:lang w:val="en-GB"/>
      <w14:ligatures w14:val="standardContextual"/>
    </w:rPr>
  </w:style>
  <w:style w:type="character" w:customStyle="1" w:styleId="Heading5Char">
    <w:name w:val="Heading 5 Char"/>
    <w:basedOn w:val="DefaultParagraphFont"/>
    <w:link w:val="Heading5"/>
    <w:uiPriority w:val="9"/>
    <w:semiHidden/>
    <w:rsid w:val="005A616B"/>
    <w:rPr>
      <w:rFonts w:eastAsiaTheme="majorEastAsia" w:cstheme="majorBidi"/>
      <w:color w:val="2F5496" w:themeColor="accent1" w:themeShade="BF"/>
      <w:kern w:val="2"/>
      <w:lang w:val="en-GB"/>
      <w14:ligatures w14:val="standardContextual"/>
    </w:rPr>
  </w:style>
  <w:style w:type="character" w:customStyle="1" w:styleId="Heading6Char">
    <w:name w:val="Heading 6 Char"/>
    <w:basedOn w:val="DefaultParagraphFont"/>
    <w:link w:val="Heading6"/>
    <w:uiPriority w:val="9"/>
    <w:semiHidden/>
    <w:rsid w:val="005A616B"/>
    <w:rPr>
      <w:rFonts w:eastAsiaTheme="majorEastAsia" w:cstheme="majorBidi"/>
      <w:i/>
      <w:iCs/>
      <w:color w:val="595959" w:themeColor="text1" w:themeTint="A6"/>
      <w:kern w:val="2"/>
      <w:lang w:val="en-GB"/>
      <w14:ligatures w14:val="standardContextual"/>
    </w:rPr>
  </w:style>
  <w:style w:type="character" w:customStyle="1" w:styleId="Heading7Char">
    <w:name w:val="Heading 7 Char"/>
    <w:basedOn w:val="DefaultParagraphFont"/>
    <w:link w:val="Heading7"/>
    <w:uiPriority w:val="9"/>
    <w:semiHidden/>
    <w:rsid w:val="005A616B"/>
    <w:rPr>
      <w:rFonts w:eastAsiaTheme="majorEastAsia" w:cstheme="majorBidi"/>
      <w:color w:val="595959" w:themeColor="text1" w:themeTint="A6"/>
      <w:kern w:val="2"/>
      <w:lang w:val="en-GB"/>
      <w14:ligatures w14:val="standardContextual"/>
    </w:rPr>
  </w:style>
  <w:style w:type="character" w:customStyle="1" w:styleId="Heading8Char">
    <w:name w:val="Heading 8 Char"/>
    <w:basedOn w:val="DefaultParagraphFont"/>
    <w:link w:val="Heading8"/>
    <w:uiPriority w:val="9"/>
    <w:semiHidden/>
    <w:rsid w:val="005A616B"/>
    <w:rPr>
      <w:rFonts w:eastAsiaTheme="majorEastAsia" w:cstheme="majorBidi"/>
      <w:i/>
      <w:iCs/>
      <w:color w:val="272727" w:themeColor="text1" w:themeTint="D8"/>
      <w:kern w:val="2"/>
      <w:lang w:val="en-GB"/>
      <w14:ligatures w14:val="standardContextual"/>
    </w:rPr>
  </w:style>
  <w:style w:type="character" w:customStyle="1" w:styleId="Heading9Char">
    <w:name w:val="Heading 9 Char"/>
    <w:basedOn w:val="DefaultParagraphFont"/>
    <w:link w:val="Heading9"/>
    <w:uiPriority w:val="9"/>
    <w:semiHidden/>
    <w:rsid w:val="005A616B"/>
    <w:rPr>
      <w:rFonts w:eastAsiaTheme="majorEastAsia" w:cstheme="majorBidi"/>
      <w:color w:val="272727" w:themeColor="text1" w:themeTint="D8"/>
      <w:kern w:val="2"/>
      <w:lang w:val="en-GB"/>
      <w14:ligatures w14:val="standardContextual"/>
    </w:rPr>
  </w:style>
  <w:style w:type="paragraph" w:styleId="Title">
    <w:name w:val="Title"/>
    <w:basedOn w:val="Normal"/>
    <w:next w:val="Normal"/>
    <w:link w:val="TitleChar"/>
    <w:uiPriority w:val="10"/>
    <w:qFormat/>
    <w:rsid w:val="005A616B"/>
    <w:pPr>
      <w:spacing w:after="80" w:line="240" w:lineRule="auto"/>
      <w:contextualSpacing/>
    </w:pPr>
    <w:rPr>
      <w:rFonts w:asciiTheme="majorHAnsi" w:eastAsiaTheme="majorEastAsia" w:hAnsiTheme="majorHAnsi" w:cstheme="majorBidi"/>
      <w:spacing w:val="-10"/>
      <w:kern w:val="28"/>
      <w:sz w:val="56"/>
      <w:szCs w:val="56"/>
      <w:lang w:val="en-GB"/>
      <w14:ligatures w14:val="standardContextual"/>
    </w:rPr>
  </w:style>
  <w:style w:type="character" w:customStyle="1" w:styleId="TitleChar">
    <w:name w:val="Title Char"/>
    <w:basedOn w:val="DefaultParagraphFont"/>
    <w:link w:val="Title"/>
    <w:uiPriority w:val="10"/>
    <w:rsid w:val="005A616B"/>
    <w:rPr>
      <w:rFonts w:asciiTheme="majorHAnsi" w:eastAsiaTheme="majorEastAsia" w:hAnsiTheme="majorHAnsi" w:cstheme="majorBidi"/>
      <w:spacing w:val="-10"/>
      <w:kern w:val="28"/>
      <w:sz w:val="56"/>
      <w:szCs w:val="56"/>
      <w:lang w:val="en-GB"/>
      <w14:ligatures w14:val="standardContextual"/>
    </w:rPr>
  </w:style>
  <w:style w:type="paragraph" w:styleId="Subtitle">
    <w:name w:val="Subtitle"/>
    <w:basedOn w:val="Normal"/>
    <w:next w:val="Normal"/>
    <w:link w:val="SubtitleChar"/>
    <w:uiPriority w:val="11"/>
    <w:qFormat/>
    <w:rsid w:val="005A616B"/>
    <w:pPr>
      <w:numPr>
        <w:ilvl w:val="1"/>
      </w:numPr>
    </w:pPr>
    <w:rPr>
      <w:rFonts w:eastAsiaTheme="majorEastAsia" w:cstheme="majorBidi"/>
      <w:color w:val="595959" w:themeColor="text1" w:themeTint="A6"/>
      <w:spacing w:val="15"/>
      <w:kern w:val="2"/>
      <w:sz w:val="28"/>
      <w:szCs w:val="28"/>
      <w:lang w:val="en-GB"/>
      <w14:ligatures w14:val="standardContextual"/>
    </w:rPr>
  </w:style>
  <w:style w:type="character" w:customStyle="1" w:styleId="SubtitleChar">
    <w:name w:val="Subtitle Char"/>
    <w:basedOn w:val="DefaultParagraphFont"/>
    <w:link w:val="Subtitle"/>
    <w:uiPriority w:val="11"/>
    <w:rsid w:val="005A616B"/>
    <w:rPr>
      <w:rFonts w:eastAsiaTheme="majorEastAsia" w:cstheme="majorBidi"/>
      <w:color w:val="595959" w:themeColor="text1" w:themeTint="A6"/>
      <w:spacing w:val="15"/>
      <w:kern w:val="2"/>
      <w:sz w:val="28"/>
      <w:szCs w:val="28"/>
      <w:lang w:val="en-GB"/>
      <w14:ligatures w14:val="standardContextual"/>
    </w:rPr>
  </w:style>
  <w:style w:type="paragraph" w:styleId="Quote">
    <w:name w:val="Quote"/>
    <w:basedOn w:val="Normal"/>
    <w:next w:val="Normal"/>
    <w:link w:val="QuoteChar"/>
    <w:uiPriority w:val="29"/>
    <w:qFormat/>
    <w:rsid w:val="005A616B"/>
    <w:pPr>
      <w:spacing w:before="160"/>
      <w:jc w:val="center"/>
    </w:pPr>
    <w:rPr>
      <w:i/>
      <w:iCs/>
      <w:color w:val="404040" w:themeColor="text1" w:themeTint="BF"/>
      <w:kern w:val="2"/>
      <w:lang w:val="en-GB"/>
      <w14:ligatures w14:val="standardContextual"/>
    </w:rPr>
  </w:style>
  <w:style w:type="character" w:customStyle="1" w:styleId="QuoteChar">
    <w:name w:val="Quote Char"/>
    <w:basedOn w:val="DefaultParagraphFont"/>
    <w:link w:val="Quote"/>
    <w:uiPriority w:val="29"/>
    <w:rsid w:val="005A616B"/>
    <w:rPr>
      <w:i/>
      <w:iCs/>
      <w:color w:val="404040" w:themeColor="text1" w:themeTint="BF"/>
      <w:kern w:val="2"/>
      <w:lang w:val="en-GB"/>
      <w14:ligatures w14:val="standardContextual"/>
    </w:rPr>
  </w:style>
  <w:style w:type="character" w:styleId="IntenseEmphasis">
    <w:name w:val="Intense Emphasis"/>
    <w:basedOn w:val="DefaultParagraphFont"/>
    <w:uiPriority w:val="21"/>
    <w:qFormat/>
    <w:rsid w:val="005A616B"/>
    <w:rPr>
      <w:i/>
      <w:iCs/>
      <w:color w:val="2F5496" w:themeColor="accent1" w:themeShade="BF"/>
    </w:rPr>
  </w:style>
  <w:style w:type="paragraph" w:styleId="IntenseQuote">
    <w:name w:val="Intense Quote"/>
    <w:basedOn w:val="Normal"/>
    <w:next w:val="Normal"/>
    <w:link w:val="IntenseQuoteChar"/>
    <w:uiPriority w:val="30"/>
    <w:qFormat/>
    <w:rsid w:val="005A616B"/>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lang w:val="en-GB"/>
      <w14:ligatures w14:val="standardContextual"/>
    </w:rPr>
  </w:style>
  <w:style w:type="character" w:customStyle="1" w:styleId="IntenseQuoteChar">
    <w:name w:val="Intense Quote Char"/>
    <w:basedOn w:val="DefaultParagraphFont"/>
    <w:link w:val="IntenseQuote"/>
    <w:uiPriority w:val="30"/>
    <w:rsid w:val="005A616B"/>
    <w:rPr>
      <w:i/>
      <w:iCs/>
      <w:color w:val="2F5496" w:themeColor="accent1" w:themeShade="BF"/>
      <w:kern w:val="2"/>
      <w:lang w:val="en-GB"/>
      <w14:ligatures w14:val="standardContextual"/>
    </w:rPr>
  </w:style>
  <w:style w:type="character" w:styleId="IntenseReference">
    <w:name w:val="Intense Reference"/>
    <w:basedOn w:val="DefaultParagraphFont"/>
    <w:uiPriority w:val="32"/>
    <w:qFormat/>
    <w:rsid w:val="005A616B"/>
    <w:rPr>
      <w:b/>
      <w:bCs/>
      <w:smallCaps/>
      <w:color w:val="2F5496" w:themeColor="accent1" w:themeShade="BF"/>
      <w:spacing w:val="5"/>
    </w:rPr>
  </w:style>
  <w:style w:type="paragraph" w:customStyle="1" w:styleId="oj-normal">
    <w:name w:val="oj-normal"/>
    <w:basedOn w:val="Normal"/>
    <w:rsid w:val="005A616B"/>
    <w:pPr>
      <w:spacing w:before="100" w:beforeAutospacing="1" w:after="100" w:afterAutospacing="1" w:line="240" w:lineRule="auto"/>
    </w:pPr>
    <w:rPr>
      <w:rFonts w:ascii="Times New Roman" w:eastAsia="Times New Roman" w:hAnsi="Times New Roman" w:cs="Times New Roman"/>
      <w:sz w:val="24"/>
      <w:szCs w:val="24"/>
      <w:lang w:val="es-ES" w:eastAsia="es-ES"/>
    </w:rPr>
  </w:style>
  <w:style w:type="character" w:styleId="PlaceholderText">
    <w:name w:val="Placeholder Text"/>
    <w:basedOn w:val="DefaultParagraphFont"/>
    <w:uiPriority w:val="99"/>
    <w:semiHidden/>
    <w:rsid w:val="005A616B"/>
    <w:rPr>
      <w:color w:val="666666"/>
    </w:rPr>
  </w:style>
  <w:style w:type="table" w:styleId="TableGrid">
    <w:name w:val="Table Grid"/>
    <w:basedOn w:val="TableNormal"/>
    <w:uiPriority w:val="39"/>
    <w:rsid w:val="005A616B"/>
    <w:pPr>
      <w:spacing w:after="0" w:line="240" w:lineRule="auto"/>
    </w:pPr>
    <w:rPr>
      <w:kern w:val="2"/>
      <w:lang w:val="es-E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oj-sti-art">
    <w:name w:val="oj-sti-art"/>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oj-ti-art">
    <w:name w:val="oj-ti-art"/>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customStyle="1" w:styleId="oj-italic">
    <w:name w:val="oj-italic"/>
    <w:basedOn w:val="DefaultParagraphFont"/>
    <w:rsid w:val="005A616B"/>
  </w:style>
  <w:style w:type="paragraph" w:customStyle="1" w:styleId="oj-signatory">
    <w:name w:val="oj-signatory"/>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oj-note">
    <w:name w:val="oj-note"/>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styleId="FollowedHyperlink">
    <w:name w:val="FollowedHyperlink"/>
    <w:basedOn w:val="DefaultParagraphFont"/>
    <w:uiPriority w:val="99"/>
    <w:semiHidden/>
    <w:unhideWhenUsed/>
    <w:rsid w:val="005A616B"/>
    <w:rPr>
      <w:color w:val="800080"/>
      <w:u w:val="single"/>
    </w:rPr>
  </w:style>
  <w:style w:type="character" w:customStyle="1" w:styleId="oj-super">
    <w:name w:val="oj-super"/>
    <w:basedOn w:val="DefaultParagraphFont"/>
    <w:rsid w:val="005A616B"/>
  </w:style>
  <w:style w:type="paragraph" w:customStyle="1" w:styleId="oj-doc-ti">
    <w:name w:val="oj-doc-ti"/>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customStyle="1" w:styleId="oj-tbl-hdr">
    <w:name w:val="oj-tbl-hdr"/>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character" w:customStyle="1" w:styleId="oj-bold">
    <w:name w:val="oj-bold"/>
    <w:basedOn w:val="DefaultParagraphFont"/>
    <w:rsid w:val="005A616B"/>
  </w:style>
  <w:style w:type="paragraph" w:customStyle="1" w:styleId="oj-tbl-txt">
    <w:name w:val="oj-tbl-txt"/>
    <w:basedOn w:val="Normal"/>
    <w:rsid w:val="005A616B"/>
    <w:pPr>
      <w:spacing w:before="100" w:beforeAutospacing="1" w:after="100" w:afterAutospacing="1" w:line="240" w:lineRule="auto"/>
    </w:pPr>
    <w:rPr>
      <w:rFonts w:ascii="Times New Roman" w:eastAsia="Times New Roman" w:hAnsi="Times New Roman" w:cs="Times New Roman"/>
      <w:sz w:val="24"/>
      <w:szCs w:val="24"/>
      <w:lang w:eastAsia="ro-MD"/>
    </w:rPr>
  </w:style>
  <w:style w:type="paragraph" w:styleId="FootnoteText">
    <w:name w:val="footnote text"/>
    <w:basedOn w:val="Normal"/>
    <w:link w:val="FootnoteTextChar"/>
    <w:uiPriority w:val="99"/>
    <w:semiHidden/>
    <w:unhideWhenUsed/>
    <w:rsid w:val="005D39A2"/>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D39A2"/>
    <w:rPr>
      <w:sz w:val="20"/>
      <w:szCs w:val="20"/>
    </w:rPr>
  </w:style>
  <w:style w:type="character" w:styleId="FootnoteReference">
    <w:name w:val="footnote reference"/>
    <w:basedOn w:val="DefaultParagraphFont"/>
    <w:uiPriority w:val="99"/>
    <w:semiHidden/>
    <w:unhideWhenUsed/>
    <w:rsid w:val="005D39A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44512">
      <w:bodyDiv w:val="1"/>
      <w:marLeft w:val="0"/>
      <w:marRight w:val="0"/>
      <w:marTop w:val="0"/>
      <w:marBottom w:val="0"/>
      <w:divBdr>
        <w:top w:val="none" w:sz="0" w:space="0" w:color="auto"/>
        <w:left w:val="none" w:sz="0" w:space="0" w:color="auto"/>
        <w:bottom w:val="none" w:sz="0" w:space="0" w:color="auto"/>
        <w:right w:val="none" w:sz="0" w:space="0" w:color="auto"/>
      </w:divBdr>
      <w:divsChild>
        <w:div w:id="625236474">
          <w:marLeft w:val="0"/>
          <w:marRight w:val="0"/>
          <w:marTop w:val="0"/>
          <w:marBottom w:val="0"/>
          <w:divBdr>
            <w:top w:val="none" w:sz="0" w:space="0" w:color="auto"/>
            <w:left w:val="none" w:sz="0" w:space="0" w:color="auto"/>
            <w:bottom w:val="none" w:sz="0" w:space="0" w:color="auto"/>
            <w:right w:val="none" w:sz="0" w:space="0" w:color="auto"/>
          </w:divBdr>
          <w:divsChild>
            <w:div w:id="497307601">
              <w:marLeft w:val="0"/>
              <w:marRight w:val="0"/>
              <w:marTop w:val="0"/>
              <w:marBottom w:val="0"/>
              <w:divBdr>
                <w:top w:val="none" w:sz="0" w:space="0" w:color="auto"/>
                <w:left w:val="none" w:sz="0" w:space="0" w:color="auto"/>
                <w:bottom w:val="none" w:sz="0" w:space="0" w:color="auto"/>
                <w:right w:val="none" w:sz="0" w:space="0" w:color="auto"/>
              </w:divBdr>
            </w:div>
          </w:divsChild>
        </w:div>
        <w:div w:id="1648241264">
          <w:marLeft w:val="0"/>
          <w:marRight w:val="0"/>
          <w:marTop w:val="0"/>
          <w:marBottom w:val="0"/>
          <w:divBdr>
            <w:top w:val="none" w:sz="0" w:space="0" w:color="auto"/>
            <w:left w:val="none" w:sz="0" w:space="0" w:color="auto"/>
            <w:bottom w:val="none" w:sz="0" w:space="0" w:color="auto"/>
            <w:right w:val="none" w:sz="0" w:space="0" w:color="auto"/>
          </w:divBdr>
          <w:divsChild>
            <w:div w:id="1660426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7560">
      <w:bodyDiv w:val="1"/>
      <w:marLeft w:val="0"/>
      <w:marRight w:val="0"/>
      <w:marTop w:val="0"/>
      <w:marBottom w:val="0"/>
      <w:divBdr>
        <w:top w:val="none" w:sz="0" w:space="0" w:color="auto"/>
        <w:left w:val="none" w:sz="0" w:space="0" w:color="auto"/>
        <w:bottom w:val="none" w:sz="0" w:space="0" w:color="auto"/>
        <w:right w:val="none" w:sz="0" w:space="0" w:color="auto"/>
      </w:divBdr>
      <w:divsChild>
        <w:div w:id="359816115">
          <w:marLeft w:val="0"/>
          <w:marRight w:val="0"/>
          <w:marTop w:val="0"/>
          <w:marBottom w:val="0"/>
          <w:divBdr>
            <w:top w:val="none" w:sz="0" w:space="0" w:color="auto"/>
            <w:left w:val="none" w:sz="0" w:space="0" w:color="auto"/>
            <w:bottom w:val="none" w:sz="0" w:space="0" w:color="auto"/>
            <w:right w:val="none" w:sz="0" w:space="0" w:color="auto"/>
          </w:divBdr>
          <w:divsChild>
            <w:div w:id="1111238644">
              <w:marLeft w:val="0"/>
              <w:marRight w:val="0"/>
              <w:marTop w:val="0"/>
              <w:marBottom w:val="0"/>
              <w:divBdr>
                <w:top w:val="none" w:sz="0" w:space="0" w:color="auto"/>
                <w:left w:val="none" w:sz="0" w:space="0" w:color="auto"/>
                <w:bottom w:val="none" w:sz="0" w:space="0" w:color="auto"/>
                <w:right w:val="none" w:sz="0" w:space="0" w:color="auto"/>
              </w:divBdr>
              <w:divsChild>
                <w:div w:id="340354093">
                  <w:marLeft w:val="0"/>
                  <w:marRight w:val="0"/>
                  <w:marTop w:val="0"/>
                  <w:marBottom w:val="0"/>
                  <w:divBdr>
                    <w:top w:val="none" w:sz="0" w:space="0" w:color="auto"/>
                    <w:left w:val="none" w:sz="0" w:space="0" w:color="auto"/>
                    <w:bottom w:val="none" w:sz="0" w:space="0" w:color="auto"/>
                    <w:right w:val="none" w:sz="0" w:space="0" w:color="auto"/>
                  </w:divBdr>
                </w:div>
                <w:div w:id="1666669808">
                  <w:marLeft w:val="0"/>
                  <w:marRight w:val="0"/>
                  <w:marTop w:val="120"/>
                  <w:marBottom w:val="0"/>
                  <w:divBdr>
                    <w:top w:val="none" w:sz="0" w:space="0" w:color="auto"/>
                    <w:left w:val="none" w:sz="0" w:space="0" w:color="auto"/>
                    <w:bottom w:val="none" w:sz="0" w:space="0" w:color="auto"/>
                    <w:right w:val="none" w:sz="0" w:space="0" w:color="auto"/>
                  </w:divBdr>
                </w:div>
              </w:divsChild>
            </w:div>
            <w:div w:id="1720351510">
              <w:marLeft w:val="0"/>
              <w:marRight w:val="0"/>
              <w:marTop w:val="0"/>
              <w:marBottom w:val="0"/>
              <w:divBdr>
                <w:top w:val="none" w:sz="0" w:space="0" w:color="auto"/>
                <w:left w:val="none" w:sz="0" w:space="0" w:color="auto"/>
                <w:bottom w:val="none" w:sz="0" w:space="0" w:color="auto"/>
                <w:right w:val="none" w:sz="0" w:space="0" w:color="auto"/>
              </w:divBdr>
              <w:divsChild>
                <w:div w:id="1022786744">
                  <w:marLeft w:val="0"/>
                  <w:marRight w:val="0"/>
                  <w:marTop w:val="120"/>
                  <w:marBottom w:val="0"/>
                  <w:divBdr>
                    <w:top w:val="none" w:sz="0" w:space="0" w:color="auto"/>
                    <w:left w:val="none" w:sz="0" w:space="0" w:color="auto"/>
                    <w:bottom w:val="none" w:sz="0" w:space="0" w:color="auto"/>
                    <w:right w:val="none" w:sz="0" w:space="0" w:color="auto"/>
                  </w:divBdr>
                </w:div>
                <w:div w:id="1026635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60046">
      <w:bodyDiv w:val="1"/>
      <w:marLeft w:val="0"/>
      <w:marRight w:val="0"/>
      <w:marTop w:val="0"/>
      <w:marBottom w:val="0"/>
      <w:divBdr>
        <w:top w:val="none" w:sz="0" w:space="0" w:color="auto"/>
        <w:left w:val="none" w:sz="0" w:space="0" w:color="auto"/>
        <w:bottom w:val="none" w:sz="0" w:space="0" w:color="auto"/>
        <w:right w:val="none" w:sz="0" w:space="0" w:color="auto"/>
      </w:divBdr>
      <w:divsChild>
        <w:div w:id="41099246">
          <w:marLeft w:val="0"/>
          <w:marRight w:val="0"/>
          <w:marTop w:val="0"/>
          <w:marBottom w:val="0"/>
          <w:divBdr>
            <w:top w:val="none" w:sz="0" w:space="0" w:color="auto"/>
            <w:left w:val="none" w:sz="0" w:space="0" w:color="auto"/>
            <w:bottom w:val="none" w:sz="0" w:space="0" w:color="auto"/>
            <w:right w:val="none" w:sz="0" w:space="0" w:color="auto"/>
          </w:divBdr>
          <w:divsChild>
            <w:div w:id="1874734820">
              <w:marLeft w:val="0"/>
              <w:marRight w:val="0"/>
              <w:marTop w:val="0"/>
              <w:marBottom w:val="0"/>
              <w:divBdr>
                <w:top w:val="none" w:sz="0" w:space="0" w:color="auto"/>
                <w:left w:val="none" w:sz="0" w:space="0" w:color="auto"/>
                <w:bottom w:val="none" w:sz="0" w:space="0" w:color="auto"/>
                <w:right w:val="none" w:sz="0" w:space="0" w:color="auto"/>
              </w:divBdr>
            </w:div>
          </w:divsChild>
        </w:div>
        <w:div w:id="458257973">
          <w:marLeft w:val="0"/>
          <w:marRight w:val="0"/>
          <w:marTop w:val="0"/>
          <w:marBottom w:val="0"/>
          <w:divBdr>
            <w:top w:val="none" w:sz="0" w:space="0" w:color="auto"/>
            <w:left w:val="none" w:sz="0" w:space="0" w:color="auto"/>
            <w:bottom w:val="none" w:sz="0" w:space="0" w:color="auto"/>
            <w:right w:val="none" w:sz="0" w:space="0" w:color="auto"/>
          </w:divBdr>
          <w:divsChild>
            <w:div w:id="1341078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829742">
      <w:bodyDiv w:val="1"/>
      <w:marLeft w:val="0"/>
      <w:marRight w:val="0"/>
      <w:marTop w:val="0"/>
      <w:marBottom w:val="0"/>
      <w:divBdr>
        <w:top w:val="none" w:sz="0" w:space="0" w:color="auto"/>
        <w:left w:val="none" w:sz="0" w:space="0" w:color="auto"/>
        <w:bottom w:val="none" w:sz="0" w:space="0" w:color="auto"/>
        <w:right w:val="none" w:sz="0" w:space="0" w:color="auto"/>
      </w:divBdr>
      <w:divsChild>
        <w:div w:id="607547490">
          <w:marLeft w:val="0"/>
          <w:marRight w:val="0"/>
          <w:marTop w:val="0"/>
          <w:marBottom w:val="0"/>
          <w:divBdr>
            <w:top w:val="none" w:sz="0" w:space="0" w:color="auto"/>
            <w:left w:val="none" w:sz="0" w:space="0" w:color="auto"/>
            <w:bottom w:val="none" w:sz="0" w:space="0" w:color="auto"/>
            <w:right w:val="none" w:sz="0" w:space="0" w:color="auto"/>
          </w:divBdr>
          <w:divsChild>
            <w:div w:id="1715881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338861">
      <w:bodyDiv w:val="1"/>
      <w:marLeft w:val="0"/>
      <w:marRight w:val="0"/>
      <w:marTop w:val="0"/>
      <w:marBottom w:val="0"/>
      <w:divBdr>
        <w:top w:val="none" w:sz="0" w:space="0" w:color="auto"/>
        <w:left w:val="none" w:sz="0" w:space="0" w:color="auto"/>
        <w:bottom w:val="none" w:sz="0" w:space="0" w:color="auto"/>
        <w:right w:val="none" w:sz="0" w:space="0" w:color="auto"/>
      </w:divBdr>
      <w:divsChild>
        <w:div w:id="47775954">
          <w:marLeft w:val="0"/>
          <w:marRight w:val="0"/>
          <w:marTop w:val="0"/>
          <w:marBottom w:val="0"/>
          <w:divBdr>
            <w:top w:val="none" w:sz="0" w:space="0" w:color="auto"/>
            <w:left w:val="none" w:sz="0" w:space="0" w:color="auto"/>
            <w:bottom w:val="none" w:sz="0" w:space="0" w:color="auto"/>
            <w:right w:val="none" w:sz="0" w:space="0" w:color="auto"/>
          </w:divBdr>
          <w:divsChild>
            <w:div w:id="1987010073">
              <w:marLeft w:val="0"/>
              <w:marRight w:val="0"/>
              <w:marTop w:val="0"/>
              <w:marBottom w:val="0"/>
              <w:divBdr>
                <w:top w:val="none" w:sz="0" w:space="0" w:color="auto"/>
                <w:left w:val="none" w:sz="0" w:space="0" w:color="auto"/>
                <w:bottom w:val="none" w:sz="0" w:space="0" w:color="auto"/>
                <w:right w:val="none" w:sz="0" w:space="0" w:color="auto"/>
              </w:divBdr>
            </w:div>
          </w:divsChild>
        </w:div>
        <w:div w:id="203369231">
          <w:marLeft w:val="0"/>
          <w:marRight w:val="0"/>
          <w:marTop w:val="0"/>
          <w:marBottom w:val="0"/>
          <w:divBdr>
            <w:top w:val="none" w:sz="0" w:space="0" w:color="auto"/>
            <w:left w:val="none" w:sz="0" w:space="0" w:color="auto"/>
            <w:bottom w:val="none" w:sz="0" w:space="0" w:color="auto"/>
            <w:right w:val="none" w:sz="0" w:space="0" w:color="auto"/>
          </w:divBdr>
          <w:divsChild>
            <w:div w:id="1856915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53396">
      <w:bodyDiv w:val="1"/>
      <w:marLeft w:val="0"/>
      <w:marRight w:val="0"/>
      <w:marTop w:val="0"/>
      <w:marBottom w:val="0"/>
      <w:divBdr>
        <w:top w:val="none" w:sz="0" w:space="0" w:color="auto"/>
        <w:left w:val="none" w:sz="0" w:space="0" w:color="auto"/>
        <w:bottom w:val="none" w:sz="0" w:space="0" w:color="auto"/>
        <w:right w:val="none" w:sz="0" w:space="0" w:color="auto"/>
      </w:divBdr>
      <w:divsChild>
        <w:div w:id="1431778538">
          <w:marLeft w:val="0"/>
          <w:marRight w:val="0"/>
          <w:marTop w:val="0"/>
          <w:marBottom w:val="0"/>
          <w:divBdr>
            <w:top w:val="none" w:sz="0" w:space="0" w:color="auto"/>
            <w:left w:val="none" w:sz="0" w:space="0" w:color="auto"/>
            <w:bottom w:val="none" w:sz="0" w:space="0" w:color="auto"/>
            <w:right w:val="none" w:sz="0" w:space="0" w:color="auto"/>
          </w:divBdr>
          <w:divsChild>
            <w:div w:id="593588234">
              <w:marLeft w:val="0"/>
              <w:marRight w:val="0"/>
              <w:marTop w:val="0"/>
              <w:marBottom w:val="0"/>
              <w:divBdr>
                <w:top w:val="none" w:sz="0" w:space="0" w:color="auto"/>
                <w:left w:val="none" w:sz="0" w:space="0" w:color="auto"/>
                <w:bottom w:val="none" w:sz="0" w:space="0" w:color="auto"/>
                <w:right w:val="none" w:sz="0" w:space="0" w:color="auto"/>
              </w:divBdr>
              <w:divsChild>
                <w:div w:id="1717854916">
                  <w:marLeft w:val="0"/>
                  <w:marRight w:val="0"/>
                  <w:marTop w:val="0"/>
                  <w:marBottom w:val="0"/>
                  <w:divBdr>
                    <w:top w:val="none" w:sz="0" w:space="0" w:color="auto"/>
                    <w:left w:val="none" w:sz="0" w:space="0" w:color="auto"/>
                    <w:bottom w:val="none" w:sz="0" w:space="0" w:color="auto"/>
                    <w:right w:val="none" w:sz="0" w:space="0" w:color="auto"/>
                  </w:divBdr>
                </w:div>
                <w:div w:id="2039307516">
                  <w:marLeft w:val="0"/>
                  <w:marRight w:val="0"/>
                  <w:marTop w:val="120"/>
                  <w:marBottom w:val="0"/>
                  <w:divBdr>
                    <w:top w:val="none" w:sz="0" w:space="0" w:color="auto"/>
                    <w:left w:val="none" w:sz="0" w:space="0" w:color="auto"/>
                    <w:bottom w:val="none" w:sz="0" w:space="0" w:color="auto"/>
                    <w:right w:val="none" w:sz="0" w:space="0" w:color="auto"/>
                  </w:divBdr>
                </w:div>
              </w:divsChild>
            </w:div>
            <w:div w:id="1419135514">
              <w:marLeft w:val="0"/>
              <w:marRight w:val="0"/>
              <w:marTop w:val="0"/>
              <w:marBottom w:val="0"/>
              <w:divBdr>
                <w:top w:val="none" w:sz="0" w:space="0" w:color="auto"/>
                <w:left w:val="none" w:sz="0" w:space="0" w:color="auto"/>
                <w:bottom w:val="none" w:sz="0" w:space="0" w:color="auto"/>
                <w:right w:val="none" w:sz="0" w:space="0" w:color="auto"/>
              </w:divBdr>
              <w:divsChild>
                <w:div w:id="973952382">
                  <w:marLeft w:val="0"/>
                  <w:marRight w:val="0"/>
                  <w:marTop w:val="0"/>
                  <w:marBottom w:val="0"/>
                  <w:divBdr>
                    <w:top w:val="none" w:sz="0" w:space="0" w:color="auto"/>
                    <w:left w:val="none" w:sz="0" w:space="0" w:color="auto"/>
                    <w:bottom w:val="none" w:sz="0" w:space="0" w:color="auto"/>
                    <w:right w:val="none" w:sz="0" w:space="0" w:color="auto"/>
                  </w:divBdr>
                </w:div>
                <w:div w:id="1876112639">
                  <w:marLeft w:val="0"/>
                  <w:marRight w:val="0"/>
                  <w:marTop w:val="120"/>
                  <w:marBottom w:val="0"/>
                  <w:divBdr>
                    <w:top w:val="none" w:sz="0" w:space="0" w:color="auto"/>
                    <w:left w:val="none" w:sz="0" w:space="0" w:color="auto"/>
                    <w:bottom w:val="none" w:sz="0" w:space="0" w:color="auto"/>
                    <w:right w:val="none" w:sz="0" w:space="0" w:color="auto"/>
                  </w:divBdr>
                </w:div>
              </w:divsChild>
            </w:div>
            <w:div w:id="1578394977">
              <w:marLeft w:val="0"/>
              <w:marRight w:val="0"/>
              <w:marTop w:val="0"/>
              <w:marBottom w:val="0"/>
              <w:divBdr>
                <w:top w:val="none" w:sz="0" w:space="0" w:color="auto"/>
                <w:left w:val="none" w:sz="0" w:space="0" w:color="auto"/>
                <w:bottom w:val="none" w:sz="0" w:space="0" w:color="auto"/>
                <w:right w:val="none" w:sz="0" w:space="0" w:color="auto"/>
              </w:divBdr>
              <w:divsChild>
                <w:div w:id="1494562406">
                  <w:marLeft w:val="0"/>
                  <w:marRight w:val="0"/>
                  <w:marTop w:val="120"/>
                  <w:marBottom w:val="0"/>
                  <w:divBdr>
                    <w:top w:val="none" w:sz="0" w:space="0" w:color="auto"/>
                    <w:left w:val="none" w:sz="0" w:space="0" w:color="auto"/>
                    <w:bottom w:val="none" w:sz="0" w:space="0" w:color="auto"/>
                    <w:right w:val="none" w:sz="0" w:space="0" w:color="auto"/>
                  </w:divBdr>
                </w:div>
                <w:div w:id="193975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69599">
      <w:bodyDiv w:val="1"/>
      <w:marLeft w:val="0"/>
      <w:marRight w:val="0"/>
      <w:marTop w:val="0"/>
      <w:marBottom w:val="0"/>
      <w:divBdr>
        <w:top w:val="none" w:sz="0" w:space="0" w:color="auto"/>
        <w:left w:val="none" w:sz="0" w:space="0" w:color="auto"/>
        <w:bottom w:val="none" w:sz="0" w:space="0" w:color="auto"/>
        <w:right w:val="none" w:sz="0" w:space="0" w:color="auto"/>
      </w:divBdr>
      <w:divsChild>
        <w:div w:id="1552886573">
          <w:marLeft w:val="0"/>
          <w:marRight w:val="0"/>
          <w:marTop w:val="0"/>
          <w:marBottom w:val="0"/>
          <w:divBdr>
            <w:top w:val="none" w:sz="0" w:space="0" w:color="auto"/>
            <w:left w:val="none" w:sz="0" w:space="0" w:color="auto"/>
            <w:bottom w:val="none" w:sz="0" w:space="0" w:color="auto"/>
            <w:right w:val="none" w:sz="0" w:space="0" w:color="auto"/>
          </w:divBdr>
          <w:divsChild>
            <w:div w:id="337386293">
              <w:marLeft w:val="0"/>
              <w:marRight w:val="0"/>
              <w:marTop w:val="0"/>
              <w:marBottom w:val="0"/>
              <w:divBdr>
                <w:top w:val="none" w:sz="0" w:space="0" w:color="auto"/>
                <w:left w:val="none" w:sz="0" w:space="0" w:color="auto"/>
                <w:bottom w:val="none" w:sz="0" w:space="0" w:color="auto"/>
                <w:right w:val="none" w:sz="0" w:space="0" w:color="auto"/>
              </w:divBdr>
              <w:divsChild>
                <w:div w:id="916666044">
                  <w:marLeft w:val="0"/>
                  <w:marRight w:val="0"/>
                  <w:marTop w:val="120"/>
                  <w:marBottom w:val="0"/>
                  <w:divBdr>
                    <w:top w:val="none" w:sz="0" w:space="0" w:color="auto"/>
                    <w:left w:val="none" w:sz="0" w:space="0" w:color="auto"/>
                    <w:bottom w:val="none" w:sz="0" w:space="0" w:color="auto"/>
                    <w:right w:val="none" w:sz="0" w:space="0" w:color="auto"/>
                  </w:divBdr>
                </w:div>
                <w:div w:id="1418332548">
                  <w:marLeft w:val="0"/>
                  <w:marRight w:val="0"/>
                  <w:marTop w:val="0"/>
                  <w:marBottom w:val="0"/>
                  <w:divBdr>
                    <w:top w:val="none" w:sz="0" w:space="0" w:color="auto"/>
                    <w:left w:val="none" w:sz="0" w:space="0" w:color="auto"/>
                    <w:bottom w:val="none" w:sz="0" w:space="0" w:color="auto"/>
                    <w:right w:val="none" w:sz="0" w:space="0" w:color="auto"/>
                  </w:divBdr>
                </w:div>
              </w:divsChild>
            </w:div>
            <w:div w:id="743992846">
              <w:marLeft w:val="0"/>
              <w:marRight w:val="0"/>
              <w:marTop w:val="0"/>
              <w:marBottom w:val="0"/>
              <w:divBdr>
                <w:top w:val="none" w:sz="0" w:space="0" w:color="auto"/>
                <w:left w:val="none" w:sz="0" w:space="0" w:color="auto"/>
                <w:bottom w:val="none" w:sz="0" w:space="0" w:color="auto"/>
                <w:right w:val="none" w:sz="0" w:space="0" w:color="auto"/>
              </w:divBdr>
              <w:divsChild>
                <w:div w:id="932976196">
                  <w:marLeft w:val="0"/>
                  <w:marRight w:val="0"/>
                  <w:marTop w:val="120"/>
                  <w:marBottom w:val="0"/>
                  <w:divBdr>
                    <w:top w:val="none" w:sz="0" w:space="0" w:color="auto"/>
                    <w:left w:val="none" w:sz="0" w:space="0" w:color="auto"/>
                    <w:bottom w:val="none" w:sz="0" w:space="0" w:color="auto"/>
                    <w:right w:val="none" w:sz="0" w:space="0" w:color="auto"/>
                  </w:divBdr>
                </w:div>
                <w:div w:id="122618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6988">
      <w:bodyDiv w:val="1"/>
      <w:marLeft w:val="0"/>
      <w:marRight w:val="0"/>
      <w:marTop w:val="0"/>
      <w:marBottom w:val="0"/>
      <w:divBdr>
        <w:top w:val="none" w:sz="0" w:space="0" w:color="auto"/>
        <w:left w:val="none" w:sz="0" w:space="0" w:color="auto"/>
        <w:bottom w:val="none" w:sz="0" w:space="0" w:color="auto"/>
        <w:right w:val="none" w:sz="0" w:space="0" w:color="auto"/>
      </w:divBdr>
      <w:divsChild>
        <w:div w:id="22752554">
          <w:marLeft w:val="0"/>
          <w:marRight w:val="0"/>
          <w:marTop w:val="0"/>
          <w:marBottom w:val="0"/>
          <w:divBdr>
            <w:top w:val="none" w:sz="0" w:space="0" w:color="auto"/>
            <w:left w:val="none" w:sz="0" w:space="0" w:color="auto"/>
            <w:bottom w:val="none" w:sz="0" w:space="0" w:color="auto"/>
            <w:right w:val="none" w:sz="0" w:space="0" w:color="auto"/>
          </w:divBdr>
          <w:divsChild>
            <w:div w:id="1594512813">
              <w:marLeft w:val="0"/>
              <w:marRight w:val="0"/>
              <w:marTop w:val="0"/>
              <w:marBottom w:val="0"/>
              <w:divBdr>
                <w:top w:val="none" w:sz="0" w:space="0" w:color="auto"/>
                <w:left w:val="none" w:sz="0" w:space="0" w:color="auto"/>
                <w:bottom w:val="none" w:sz="0" w:space="0" w:color="auto"/>
                <w:right w:val="none" w:sz="0" w:space="0" w:color="auto"/>
              </w:divBdr>
              <w:divsChild>
                <w:div w:id="538128520">
                  <w:marLeft w:val="0"/>
                  <w:marRight w:val="0"/>
                  <w:marTop w:val="0"/>
                  <w:marBottom w:val="0"/>
                  <w:divBdr>
                    <w:top w:val="none" w:sz="0" w:space="0" w:color="auto"/>
                    <w:left w:val="none" w:sz="0" w:space="0" w:color="auto"/>
                    <w:bottom w:val="none" w:sz="0" w:space="0" w:color="auto"/>
                    <w:right w:val="none" w:sz="0" w:space="0" w:color="auto"/>
                  </w:divBdr>
                  <w:divsChild>
                    <w:div w:id="1049644407">
                      <w:marLeft w:val="0"/>
                      <w:marRight w:val="0"/>
                      <w:marTop w:val="120"/>
                      <w:marBottom w:val="0"/>
                      <w:divBdr>
                        <w:top w:val="none" w:sz="0" w:space="0" w:color="auto"/>
                        <w:left w:val="none" w:sz="0" w:space="0" w:color="auto"/>
                        <w:bottom w:val="none" w:sz="0" w:space="0" w:color="auto"/>
                        <w:right w:val="none" w:sz="0" w:space="0" w:color="auto"/>
                      </w:divBdr>
                    </w:div>
                    <w:div w:id="2052459355">
                      <w:marLeft w:val="0"/>
                      <w:marRight w:val="0"/>
                      <w:marTop w:val="0"/>
                      <w:marBottom w:val="0"/>
                      <w:divBdr>
                        <w:top w:val="none" w:sz="0" w:space="0" w:color="auto"/>
                        <w:left w:val="none" w:sz="0" w:space="0" w:color="auto"/>
                        <w:bottom w:val="none" w:sz="0" w:space="0" w:color="auto"/>
                        <w:right w:val="none" w:sz="0" w:space="0" w:color="auto"/>
                      </w:divBdr>
                      <w:divsChild>
                        <w:div w:id="515004428">
                          <w:marLeft w:val="0"/>
                          <w:marRight w:val="0"/>
                          <w:marTop w:val="0"/>
                          <w:marBottom w:val="0"/>
                          <w:divBdr>
                            <w:top w:val="none" w:sz="0" w:space="0" w:color="auto"/>
                            <w:left w:val="none" w:sz="0" w:space="0" w:color="auto"/>
                            <w:bottom w:val="none" w:sz="0" w:space="0" w:color="auto"/>
                            <w:right w:val="none" w:sz="0" w:space="0" w:color="auto"/>
                          </w:divBdr>
                          <w:divsChild>
                            <w:div w:id="1381130384">
                              <w:marLeft w:val="0"/>
                              <w:marRight w:val="0"/>
                              <w:marTop w:val="0"/>
                              <w:marBottom w:val="0"/>
                              <w:divBdr>
                                <w:top w:val="none" w:sz="0" w:space="0" w:color="auto"/>
                                <w:left w:val="none" w:sz="0" w:space="0" w:color="auto"/>
                                <w:bottom w:val="none" w:sz="0" w:space="0" w:color="auto"/>
                                <w:right w:val="none" w:sz="0" w:space="0" w:color="auto"/>
                              </w:divBdr>
                            </w:div>
                            <w:div w:id="1838305211">
                              <w:marLeft w:val="0"/>
                              <w:marRight w:val="0"/>
                              <w:marTop w:val="120"/>
                              <w:marBottom w:val="0"/>
                              <w:divBdr>
                                <w:top w:val="none" w:sz="0" w:space="0" w:color="auto"/>
                                <w:left w:val="none" w:sz="0" w:space="0" w:color="auto"/>
                                <w:bottom w:val="none" w:sz="0" w:space="0" w:color="auto"/>
                                <w:right w:val="none" w:sz="0" w:space="0" w:color="auto"/>
                              </w:divBdr>
                            </w:div>
                          </w:divsChild>
                        </w:div>
                        <w:div w:id="1344094132">
                          <w:marLeft w:val="0"/>
                          <w:marRight w:val="0"/>
                          <w:marTop w:val="0"/>
                          <w:marBottom w:val="0"/>
                          <w:divBdr>
                            <w:top w:val="none" w:sz="0" w:space="0" w:color="auto"/>
                            <w:left w:val="none" w:sz="0" w:space="0" w:color="auto"/>
                            <w:bottom w:val="none" w:sz="0" w:space="0" w:color="auto"/>
                            <w:right w:val="none" w:sz="0" w:space="0" w:color="auto"/>
                          </w:divBdr>
                          <w:divsChild>
                            <w:div w:id="1998338744">
                              <w:marLeft w:val="0"/>
                              <w:marRight w:val="0"/>
                              <w:marTop w:val="0"/>
                              <w:marBottom w:val="0"/>
                              <w:divBdr>
                                <w:top w:val="none" w:sz="0" w:space="0" w:color="auto"/>
                                <w:left w:val="none" w:sz="0" w:space="0" w:color="auto"/>
                                <w:bottom w:val="none" w:sz="0" w:space="0" w:color="auto"/>
                                <w:right w:val="none" w:sz="0" w:space="0" w:color="auto"/>
                              </w:divBdr>
                            </w:div>
                            <w:div w:id="20361473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57325629">
                  <w:marLeft w:val="0"/>
                  <w:marRight w:val="0"/>
                  <w:marTop w:val="0"/>
                  <w:marBottom w:val="0"/>
                  <w:divBdr>
                    <w:top w:val="none" w:sz="0" w:space="0" w:color="auto"/>
                    <w:left w:val="none" w:sz="0" w:space="0" w:color="auto"/>
                    <w:bottom w:val="none" w:sz="0" w:space="0" w:color="auto"/>
                    <w:right w:val="none" w:sz="0" w:space="0" w:color="auto"/>
                  </w:divBdr>
                  <w:divsChild>
                    <w:div w:id="71440460">
                      <w:marLeft w:val="0"/>
                      <w:marRight w:val="0"/>
                      <w:marTop w:val="0"/>
                      <w:marBottom w:val="0"/>
                      <w:divBdr>
                        <w:top w:val="none" w:sz="0" w:space="0" w:color="auto"/>
                        <w:left w:val="none" w:sz="0" w:space="0" w:color="auto"/>
                        <w:bottom w:val="none" w:sz="0" w:space="0" w:color="auto"/>
                        <w:right w:val="none" w:sz="0" w:space="0" w:color="auto"/>
                      </w:divBdr>
                    </w:div>
                    <w:div w:id="1187020328">
                      <w:marLeft w:val="0"/>
                      <w:marRight w:val="0"/>
                      <w:marTop w:val="120"/>
                      <w:marBottom w:val="0"/>
                      <w:divBdr>
                        <w:top w:val="none" w:sz="0" w:space="0" w:color="auto"/>
                        <w:left w:val="none" w:sz="0" w:space="0" w:color="auto"/>
                        <w:bottom w:val="none" w:sz="0" w:space="0" w:color="auto"/>
                        <w:right w:val="none" w:sz="0" w:space="0" w:color="auto"/>
                      </w:divBdr>
                    </w:div>
                  </w:divsChild>
                </w:div>
                <w:div w:id="1495143577">
                  <w:marLeft w:val="0"/>
                  <w:marRight w:val="0"/>
                  <w:marTop w:val="0"/>
                  <w:marBottom w:val="0"/>
                  <w:divBdr>
                    <w:top w:val="none" w:sz="0" w:space="0" w:color="auto"/>
                    <w:left w:val="none" w:sz="0" w:space="0" w:color="auto"/>
                    <w:bottom w:val="none" w:sz="0" w:space="0" w:color="auto"/>
                    <w:right w:val="none" w:sz="0" w:space="0" w:color="auto"/>
                  </w:divBdr>
                  <w:divsChild>
                    <w:div w:id="329531402">
                      <w:marLeft w:val="0"/>
                      <w:marRight w:val="0"/>
                      <w:marTop w:val="120"/>
                      <w:marBottom w:val="0"/>
                      <w:divBdr>
                        <w:top w:val="none" w:sz="0" w:space="0" w:color="auto"/>
                        <w:left w:val="none" w:sz="0" w:space="0" w:color="auto"/>
                        <w:bottom w:val="none" w:sz="0" w:space="0" w:color="auto"/>
                        <w:right w:val="none" w:sz="0" w:space="0" w:color="auto"/>
                      </w:divBdr>
                    </w:div>
                    <w:div w:id="1535774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825218">
          <w:marLeft w:val="0"/>
          <w:marRight w:val="0"/>
          <w:marTop w:val="0"/>
          <w:marBottom w:val="0"/>
          <w:divBdr>
            <w:top w:val="none" w:sz="0" w:space="0" w:color="auto"/>
            <w:left w:val="none" w:sz="0" w:space="0" w:color="auto"/>
            <w:bottom w:val="none" w:sz="0" w:space="0" w:color="auto"/>
            <w:right w:val="none" w:sz="0" w:space="0" w:color="auto"/>
          </w:divBdr>
          <w:divsChild>
            <w:div w:id="1280529725">
              <w:marLeft w:val="0"/>
              <w:marRight w:val="0"/>
              <w:marTop w:val="0"/>
              <w:marBottom w:val="0"/>
              <w:divBdr>
                <w:top w:val="none" w:sz="0" w:space="0" w:color="auto"/>
                <w:left w:val="none" w:sz="0" w:space="0" w:color="auto"/>
                <w:bottom w:val="none" w:sz="0" w:space="0" w:color="auto"/>
                <w:right w:val="none" w:sz="0" w:space="0" w:color="auto"/>
              </w:divBdr>
            </w:div>
          </w:divsChild>
        </w:div>
        <w:div w:id="813982291">
          <w:marLeft w:val="0"/>
          <w:marRight w:val="0"/>
          <w:marTop w:val="0"/>
          <w:marBottom w:val="0"/>
          <w:divBdr>
            <w:top w:val="none" w:sz="0" w:space="0" w:color="auto"/>
            <w:left w:val="none" w:sz="0" w:space="0" w:color="auto"/>
            <w:bottom w:val="none" w:sz="0" w:space="0" w:color="auto"/>
            <w:right w:val="none" w:sz="0" w:space="0" w:color="auto"/>
          </w:divBdr>
          <w:divsChild>
            <w:div w:id="696123793">
              <w:marLeft w:val="0"/>
              <w:marRight w:val="0"/>
              <w:marTop w:val="0"/>
              <w:marBottom w:val="0"/>
              <w:divBdr>
                <w:top w:val="none" w:sz="0" w:space="0" w:color="auto"/>
                <w:left w:val="none" w:sz="0" w:space="0" w:color="auto"/>
                <w:bottom w:val="none" w:sz="0" w:space="0" w:color="auto"/>
                <w:right w:val="none" w:sz="0" w:space="0" w:color="auto"/>
              </w:divBdr>
            </w:div>
          </w:divsChild>
        </w:div>
        <w:div w:id="1338733468">
          <w:marLeft w:val="0"/>
          <w:marRight w:val="0"/>
          <w:marTop w:val="0"/>
          <w:marBottom w:val="0"/>
          <w:divBdr>
            <w:top w:val="none" w:sz="0" w:space="0" w:color="auto"/>
            <w:left w:val="none" w:sz="0" w:space="0" w:color="auto"/>
            <w:bottom w:val="none" w:sz="0" w:space="0" w:color="auto"/>
            <w:right w:val="none" w:sz="0" w:space="0" w:color="auto"/>
          </w:divBdr>
          <w:divsChild>
            <w:div w:id="374816838">
              <w:marLeft w:val="0"/>
              <w:marRight w:val="0"/>
              <w:marTop w:val="0"/>
              <w:marBottom w:val="0"/>
              <w:divBdr>
                <w:top w:val="none" w:sz="0" w:space="0" w:color="auto"/>
                <w:left w:val="none" w:sz="0" w:space="0" w:color="auto"/>
                <w:bottom w:val="none" w:sz="0" w:space="0" w:color="auto"/>
                <w:right w:val="none" w:sz="0" w:space="0" w:color="auto"/>
              </w:divBdr>
            </w:div>
          </w:divsChild>
        </w:div>
        <w:div w:id="1390571218">
          <w:marLeft w:val="0"/>
          <w:marRight w:val="0"/>
          <w:marTop w:val="0"/>
          <w:marBottom w:val="0"/>
          <w:divBdr>
            <w:top w:val="none" w:sz="0" w:space="0" w:color="auto"/>
            <w:left w:val="none" w:sz="0" w:space="0" w:color="auto"/>
            <w:bottom w:val="none" w:sz="0" w:space="0" w:color="auto"/>
            <w:right w:val="none" w:sz="0" w:space="0" w:color="auto"/>
          </w:divBdr>
          <w:divsChild>
            <w:div w:id="961686366">
              <w:marLeft w:val="0"/>
              <w:marRight w:val="0"/>
              <w:marTop w:val="0"/>
              <w:marBottom w:val="0"/>
              <w:divBdr>
                <w:top w:val="none" w:sz="0" w:space="0" w:color="auto"/>
                <w:left w:val="none" w:sz="0" w:space="0" w:color="auto"/>
                <w:bottom w:val="none" w:sz="0" w:space="0" w:color="auto"/>
                <w:right w:val="none" w:sz="0" w:space="0" w:color="auto"/>
              </w:divBdr>
            </w:div>
          </w:divsChild>
        </w:div>
        <w:div w:id="1782336878">
          <w:marLeft w:val="0"/>
          <w:marRight w:val="0"/>
          <w:marTop w:val="0"/>
          <w:marBottom w:val="0"/>
          <w:divBdr>
            <w:top w:val="none" w:sz="0" w:space="0" w:color="auto"/>
            <w:left w:val="none" w:sz="0" w:space="0" w:color="auto"/>
            <w:bottom w:val="none" w:sz="0" w:space="0" w:color="auto"/>
            <w:right w:val="none" w:sz="0" w:space="0" w:color="auto"/>
          </w:divBdr>
          <w:divsChild>
            <w:div w:id="680088141">
              <w:marLeft w:val="0"/>
              <w:marRight w:val="0"/>
              <w:marTop w:val="0"/>
              <w:marBottom w:val="0"/>
              <w:divBdr>
                <w:top w:val="none" w:sz="0" w:space="0" w:color="auto"/>
                <w:left w:val="none" w:sz="0" w:space="0" w:color="auto"/>
                <w:bottom w:val="none" w:sz="0" w:space="0" w:color="auto"/>
                <w:right w:val="none" w:sz="0" w:space="0" w:color="auto"/>
              </w:divBdr>
            </w:div>
          </w:divsChild>
        </w:div>
        <w:div w:id="2008898340">
          <w:marLeft w:val="0"/>
          <w:marRight w:val="0"/>
          <w:marTop w:val="0"/>
          <w:marBottom w:val="0"/>
          <w:divBdr>
            <w:top w:val="none" w:sz="0" w:space="0" w:color="auto"/>
            <w:left w:val="none" w:sz="0" w:space="0" w:color="auto"/>
            <w:bottom w:val="none" w:sz="0" w:space="0" w:color="auto"/>
            <w:right w:val="none" w:sz="0" w:space="0" w:color="auto"/>
          </w:divBdr>
          <w:divsChild>
            <w:div w:id="487746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932791">
      <w:bodyDiv w:val="1"/>
      <w:marLeft w:val="0"/>
      <w:marRight w:val="0"/>
      <w:marTop w:val="0"/>
      <w:marBottom w:val="0"/>
      <w:divBdr>
        <w:top w:val="none" w:sz="0" w:space="0" w:color="auto"/>
        <w:left w:val="none" w:sz="0" w:space="0" w:color="auto"/>
        <w:bottom w:val="none" w:sz="0" w:space="0" w:color="auto"/>
        <w:right w:val="none" w:sz="0" w:space="0" w:color="auto"/>
      </w:divBdr>
      <w:divsChild>
        <w:div w:id="839589460">
          <w:marLeft w:val="0"/>
          <w:marRight w:val="0"/>
          <w:marTop w:val="0"/>
          <w:marBottom w:val="0"/>
          <w:divBdr>
            <w:top w:val="none" w:sz="0" w:space="0" w:color="auto"/>
            <w:left w:val="none" w:sz="0" w:space="0" w:color="auto"/>
            <w:bottom w:val="none" w:sz="0" w:space="0" w:color="auto"/>
            <w:right w:val="none" w:sz="0" w:space="0" w:color="auto"/>
          </w:divBdr>
        </w:div>
      </w:divsChild>
    </w:div>
    <w:div w:id="62218226">
      <w:bodyDiv w:val="1"/>
      <w:marLeft w:val="0"/>
      <w:marRight w:val="0"/>
      <w:marTop w:val="0"/>
      <w:marBottom w:val="0"/>
      <w:divBdr>
        <w:top w:val="none" w:sz="0" w:space="0" w:color="auto"/>
        <w:left w:val="none" w:sz="0" w:space="0" w:color="auto"/>
        <w:bottom w:val="none" w:sz="0" w:space="0" w:color="auto"/>
        <w:right w:val="none" w:sz="0" w:space="0" w:color="auto"/>
      </w:divBdr>
      <w:divsChild>
        <w:div w:id="1264218921">
          <w:marLeft w:val="0"/>
          <w:marRight w:val="0"/>
          <w:marTop w:val="0"/>
          <w:marBottom w:val="0"/>
          <w:divBdr>
            <w:top w:val="none" w:sz="0" w:space="0" w:color="auto"/>
            <w:left w:val="none" w:sz="0" w:space="0" w:color="auto"/>
            <w:bottom w:val="none" w:sz="0" w:space="0" w:color="auto"/>
            <w:right w:val="none" w:sz="0" w:space="0" w:color="auto"/>
          </w:divBdr>
          <w:divsChild>
            <w:div w:id="814613498">
              <w:marLeft w:val="0"/>
              <w:marRight w:val="0"/>
              <w:marTop w:val="0"/>
              <w:marBottom w:val="0"/>
              <w:divBdr>
                <w:top w:val="none" w:sz="0" w:space="0" w:color="auto"/>
                <w:left w:val="none" w:sz="0" w:space="0" w:color="auto"/>
                <w:bottom w:val="none" w:sz="0" w:space="0" w:color="auto"/>
                <w:right w:val="none" w:sz="0" w:space="0" w:color="auto"/>
              </w:divBdr>
              <w:divsChild>
                <w:div w:id="111899430">
                  <w:marLeft w:val="0"/>
                  <w:marRight w:val="0"/>
                  <w:marTop w:val="120"/>
                  <w:marBottom w:val="0"/>
                  <w:divBdr>
                    <w:top w:val="none" w:sz="0" w:space="0" w:color="auto"/>
                    <w:left w:val="none" w:sz="0" w:space="0" w:color="auto"/>
                    <w:bottom w:val="none" w:sz="0" w:space="0" w:color="auto"/>
                    <w:right w:val="none" w:sz="0" w:space="0" w:color="auto"/>
                  </w:divBdr>
                </w:div>
                <w:div w:id="305281796">
                  <w:marLeft w:val="0"/>
                  <w:marRight w:val="0"/>
                  <w:marTop w:val="0"/>
                  <w:marBottom w:val="0"/>
                  <w:divBdr>
                    <w:top w:val="none" w:sz="0" w:space="0" w:color="auto"/>
                    <w:left w:val="none" w:sz="0" w:space="0" w:color="auto"/>
                    <w:bottom w:val="none" w:sz="0" w:space="0" w:color="auto"/>
                    <w:right w:val="none" w:sz="0" w:space="0" w:color="auto"/>
                  </w:divBdr>
                </w:div>
              </w:divsChild>
            </w:div>
            <w:div w:id="1618944831">
              <w:marLeft w:val="0"/>
              <w:marRight w:val="0"/>
              <w:marTop w:val="0"/>
              <w:marBottom w:val="0"/>
              <w:divBdr>
                <w:top w:val="none" w:sz="0" w:space="0" w:color="auto"/>
                <w:left w:val="none" w:sz="0" w:space="0" w:color="auto"/>
                <w:bottom w:val="none" w:sz="0" w:space="0" w:color="auto"/>
                <w:right w:val="none" w:sz="0" w:space="0" w:color="auto"/>
              </w:divBdr>
              <w:divsChild>
                <w:div w:id="182283084">
                  <w:marLeft w:val="0"/>
                  <w:marRight w:val="0"/>
                  <w:marTop w:val="120"/>
                  <w:marBottom w:val="0"/>
                  <w:divBdr>
                    <w:top w:val="none" w:sz="0" w:space="0" w:color="auto"/>
                    <w:left w:val="none" w:sz="0" w:space="0" w:color="auto"/>
                    <w:bottom w:val="none" w:sz="0" w:space="0" w:color="auto"/>
                    <w:right w:val="none" w:sz="0" w:space="0" w:color="auto"/>
                  </w:divBdr>
                </w:div>
                <w:div w:id="164581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15827">
      <w:bodyDiv w:val="1"/>
      <w:marLeft w:val="0"/>
      <w:marRight w:val="0"/>
      <w:marTop w:val="0"/>
      <w:marBottom w:val="0"/>
      <w:divBdr>
        <w:top w:val="none" w:sz="0" w:space="0" w:color="auto"/>
        <w:left w:val="none" w:sz="0" w:space="0" w:color="auto"/>
        <w:bottom w:val="none" w:sz="0" w:space="0" w:color="auto"/>
        <w:right w:val="none" w:sz="0" w:space="0" w:color="auto"/>
      </w:divBdr>
    </w:div>
    <w:div w:id="65566847">
      <w:bodyDiv w:val="1"/>
      <w:marLeft w:val="0"/>
      <w:marRight w:val="0"/>
      <w:marTop w:val="0"/>
      <w:marBottom w:val="0"/>
      <w:divBdr>
        <w:top w:val="none" w:sz="0" w:space="0" w:color="auto"/>
        <w:left w:val="none" w:sz="0" w:space="0" w:color="auto"/>
        <w:bottom w:val="none" w:sz="0" w:space="0" w:color="auto"/>
        <w:right w:val="none" w:sz="0" w:space="0" w:color="auto"/>
      </w:divBdr>
    </w:div>
    <w:div w:id="73280835">
      <w:bodyDiv w:val="1"/>
      <w:marLeft w:val="0"/>
      <w:marRight w:val="0"/>
      <w:marTop w:val="0"/>
      <w:marBottom w:val="0"/>
      <w:divBdr>
        <w:top w:val="none" w:sz="0" w:space="0" w:color="auto"/>
        <w:left w:val="none" w:sz="0" w:space="0" w:color="auto"/>
        <w:bottom w:val="none" w:sz="0" w:space="0" w:color="auto"/>
        <w:right w:val="none" w:sz="0" w:space="0" w:color="auto"/>
      </w:divBdr>
    </w:div>
    <w:div w:id="105152003">
      <w:bodyDiv w:val="1"/>
      <w:marLeft w:val="0"/>
      <w:marRight w:val="0"/>
      <w:marTop w:val="0"/>
      <w:marBottom w:val="0"/>
      <w:divBdr>
        <w:top w:val="none" w:sz="0" w:space="0" w:color="auto"/>
        <w:left w:val="none" w:sz="0" w:space="0" w:color="auto"/>
        <w:bottom w:val="none" w:sz="0" w:space="0" w:color="auto"/>
        <w:right w:val="none" w:sz="0" w:space="0" w:color="auto"/>
      </w:divBdr>
      <w:divsChild>
        <w:div w:id="383992283">
          <w:marLeft w:val="0"/>
          <w:marRight w:val="0"/>
          <w:marTop w:val="120"/>
          <w:marBottom w:val="0"/>
          <w:divBdr>
            <w:top w:val="none" w:sz="0" w:space="0" w:color="auto"/>
            <w:left w:val="none" w:sz="0" w:space="0" w:color="auto"/>
            <w:bottom w:val="none" w:sz="0" w:space="0" w:color="auto"/>
            <w:right w:val="none" w:sz="0" w:space="0" w:color="auto"/>
          </w:divBdr>
        </w:div>
        <w:div w:id="2018841752">
          <w:marLeft w:val="0"/>
          <w:marRight w:val="0"/>
          <w:marTop w:val="0"/>
          <w:marBottom w:val="0"/>
          <w:divBdr>
            <w:top w:val="none" w:sz="0" w:space="0" w:color="auto"/>
            <w:left w:val="none" w:sz="0" w:space="0" w:color="auto"/>
            <w:bottom w:val="none" w:sz="0" w:space="0" w:color="auto"/>
            <w:right w:val="none" w:sz="0" w:space="0" w:color="auto"/>
          </w:divBdr>
        </w:div>
      </w:divsChild>
    </w:div>
    <w:div w:id="123282316">
      <w:bodyDiv w:val="1"/>
      <w:marLeft w:val="0"/>
      <w:marRight w:val="0"/>
      <w:marTop w:val="0"/>
      <w:marBottom w:val="0"/>
      <w:divBdr>
        <w:top w:val="none" w:sz="0" w:space="0" w:color="auto"/>
        <w:left w:val="none" w:sz="0" w:space="0" w:color="auto"/>
        <w:bottom w:val="none" w:sz="0" w:space="0" w:color="auto"/>
        <w:right w:val="none" w:sz="0" w:space="0" w:color="auto"/>
      </w:divBdr>
    </w:div>
    <w:div w:id="129052572">
      <w:bodyDiv w:val="1"/>
      <w:marLeft w:val="0"/>
      <w:marRight w:val="0"/>
      <w:marTop w:val="0"/>
      <w:marBottom w:val="0"/>
      <w:divBdr>
        <w:top w:val="none" w:sz="0" w:space="0" w:color="auto"/>
        <w:left w:val="none" w:sz="0" w:space="0" w:color="auto"/>
        <w:bottom w:val="none" w:sz="0" w:space="0" w:color="auto"/>
        <w:right w:val="none" w:sz="0" w:space="0" w:color="auto"/>
      </w:divBdr>
      <w:divsChild>
        <w:div w:id="20474971">
          <w:marLeft w:val="0"/>
          <w:marRight w:val="0"/>
          <w:marTop w:val="0"/>
          <w:marBottom w:val="0"/>
          <w:divBdr>
            <w:top w:val="none" w:sz="0" w:space="0" w:color="auto"/>
            <w:left w:val="none" w:sz="0" w:space="0" w:color="auto"/>
            <w:bottom w:val="none" w:sz="0" w:space="0" w:color="auto"/>
            <w:right w:val="none" w:sz="0" w:space="0" w:color="auto"/>
          </w:divBdr>
          <w:divsChild>
            <w:div w:id="303900525">
              <w:marLeft w:val="0"/>
              <w:marRight w:val="0"/>
              <w:marTop w:val="0"/>
              <w:marBottom w:val="0"/>
              <w:divBdr>
                <w:top w:val="none" w:sz="0" w:space="0" w:color="auto"/>
                <w:left w:val="none" w:sz="0" w:space="0" w:color="auto"/>
                <w:bottom w:val="none" w:sz="0" w:space="0" w:color="auto"/>
                <w:right w:val="none" w:sz="0" w:space="0" w:color="auto"/>
              </w:divBdr>
              <w:divsChild>
                <w:div w:id="87628048">
                  <w:marLeft w:val="0"/>
                  <w:marRight w:val="0"/>
                  <w:marTop w:val="0"/>
                  <w:marBottom w:val="0"/>
                  <w:divBdr>
                    <w:top w:val="none" w:sz="0" w:space="0" w:color="auto"/>
                    <w:left w:val="none" w:sz="0" w:space="0" w:color="auto"/>
                    <w:bottom w:val="none" w:sz="0" w:space="0" w:color="auto"/>
                    <w:right w:val="none" w:sz="0" w:space="0" w:color="auto"/>
                  </w:divBdr>
                  <w:divsChild>
                    <w:div w:id="55707976">
                      <w:marLeft w:val="0"/>
                      <w:marRight w:val="0"/>
                      <w:marTop w:val="0"/>
                      <w:marBottom w:val="0"/>
                      <w:divBdr>
                        <w:top w:val="none" w:sz="0" w:space="0" w:color="auto"/>
                        <w:left w:val="none" w:sz="0" w:space="0" w:color="auto"/>
                        <w:bottom w:val="none" w:sz="0" w:space="0" w:color="auto"/>
                        <w:right w:val="none" w:sz="0" w:space="0" w:color="auto"/>
                      </w:divBdr>
                      <w:divsChild>
                        <w:div w:id="986475548">
                          <w:marLeft w:val="0"/>
                          <w:marRight w:val="0"/>
                          <w:marTop w:val="0"/>
                          <w:marBottom w:val="0"/>
                          <w:divBdr>
                            <w:top w:val="none" w:sz="0" w:space="0" w:color="auto"/>
                            <w:left w:val="none" w:sz="0" w:space="0" w:color="auto"/>
                            <w:bottom w:val="none" w:sz="0" w:space="0" w:color="auto"/>
                            <w:right w:val="none" w:sz="0" w:space="0" w:color="auto"/>
                          </w:divBdr>
                        </w:div>
                        <w:div w:id="1189832312">
                          <w:marLeft w:val="0"/>
                          <w:marRight w:val="0"/>
                          <w:marTop w:val="120"/>
                          <w:marBottom w:val="0"/>
                          <w:divBdr>
                            <w:top w:val="none" w:sz="0" w:space="0" w:color="auto"/>
                            <w:left w:val="none" w:sz="0" w:space="0" w:color="auto"/>
                            <w:bottom w:val="none" w:sz="0" w:space="0" w:color="auto"/>
                            <w:right w:val="none" w:sz="0" w:space="0" w:color="auto"/>
                          </w:divBdr>
                        </w:div>
                      </w:divsChild>
                    </w:div>
                    <w:div w:id="964241239">
                      <w:marLeft w:val="0"/>
                      <w:marRight w:val="0"/>
                      <w:marTop w:val="0"/>
                      <w:marBottom w:val="0"/>
                      <w:divBdr>
                        <w:top w:val="none" w:sz="0" w:space="0" w:color="auto"/>
                        <w:left w:val="none" w:sz="0" w:space="0" w:color="auto"/>
                        <w:bottom w:val="none" w:sz="0" w:space="0" w:color="auto"/>
                        <w:right w:val="none" w:sz="0" w:space="0" w:color="auto"/>
                      </w:divBdr>
                      <w:divsChild>
                        <w:div w:id="218249104">
                          <w:marLeft w:val="0"/>
                          <w:marRight w:val="0"/>
                          <w:marTop w:val="120"/>
                          <w:marBottom w:val="0"/>
                          <w:divBdr>
                            <w:top w:val="none" w:sz="0" w:space="0" w:color="auto"/>
                            <w:left w:val="none" w:sz="0" w:space="0" w:color="auto"/>
                            <w:bottom w:val="none" w:sz="0" w:space="0" w:color="auto"/>
                            <w:right w:val="none" w:sz="0" w:space="0" w:color="auto"/>
                          </w:divBdr>
                        </w:div>
                        <w:div w:id="441077333">
                          <w:marLeft w:val="0"/>
                          <w:marRight w:val="0"/>
                          <w:marTop w:val="0"/>
                          <w:marBottom w:val="0"/>
                          <w:divBdr>
                            <w:top w:val="none" w:sz="0" w:space="0" w:color="auto"/>
                            <w:left w:val="none" w:sz="0" w:space="0" w:color="auto"/>
                            <w:bottom w:val="none" w:sz="0" w:space="0" w:color="auto"/>
                            <w:right w:val="none" w:sz="0" w:space="0" w:color="auto"/>
                          </w:divBdr>
                        </w:div>
                      </w:divsChild>
                    </w:div>
                    <w:div w:id="1487162839">
                      <w:marLeft w:val="0"/>
                      <w:marRight w:val="0"/>
                      <w:marTop w:val="0"/>
                      <w:marBottom w:val="0"/>
                      <w:divBdr>
                        <w:top w:val="none" w:sz="0" w:space="0" w:color="auto"/>
                        <w:left w:val="none" w:sz="0" w:space="0" w:color="auto"/>
                        <w:bottom w:val="none" w:sz="0" w:space="0" w:color="auto"/>
                        <w:right w:val="none" w:sz="0" w:space="0" w:color="auto"/>
                      </w:divBdr>
                      <w:divsChild>
                        <w:div w:id="137042641">
                          <w:marLeft w:val="0"/>
                          <w:marRight w:val="0"/>
                          <w:marTop w:val="120"/>
                          <w:marBottom w:val="0"/>
                          <w:divBdr>
                            <w:top w:val="none" w:sz="0" w:space="0" w:color="auto"/>
                            <w:left w:val="none" w:sz="0" w:space="0" w:color="auto"/>
                            <w:bottom w:val="none" w:sz="0" w:space="0" w:color="auto"/>
                            <w:right w:val="none" w:sz="0" w:space="0" w:color="auto"/>
                          </w:divBdr>
                        </w:div>
                        <w:div w:id="1551382587">
                          <w:marLeft w:val="0"/>
                          <w:marRight w:val="0"/>
                          <w:marTop w:val="0"/>
                          <w:marBottom w:val="0"/>
                          <w:divBdr>
                            <w:top w:val="none" w:sz="0" w:space="0" w:color="auto"/>
                            <w:left w:val="none" w:sz="0" w:space="0" w:color="auto"/>
                            <w:bottom w:val="none" w:sz="0" w:space="0" w:color="auto"/>
                            <w:right w:val="none" w:sz="0" w:space="0" w:color="auto"/>
                          </w:divBdr>
                        </w:div>
                      </w:divsChild>
                    </w:div>
                    <w:div w:id="1607040266">
                      <w:marLeft w:val="0"/>
                      <w:marRight w:val="0"/>
                      <w:marTop w:val="0"/>
                      <w:marBottom w:val="0"/>
                      <w:divBdr>
                        <w:top w:val="none" w:sz="0" w:space="0" w:color="auto"/>
                        <w:left w:val="none" w:sz="0" w:space="0" w:color="auto"/>
                        <w:bottom w:val="none" w:sz="0" w:space="0" w:color="auto"/>
                        <w:right w:val="none" w:sz="0" w:space="0" w:color="auto"/>
                      </w:divBdr>
                      <w:divsChild>
                        <w:div w:id="67846538">
                          <w:marLeft w:val="0"/>
                          <w:marRight w:val="0"/>
                          <w:marTop w:val="0"/>
                          <w:marBottom w:val="0"/>
                          <w:divBdr>
                            <w:top w:val="none" w:sz="0" w:space="0" w:color="auto"/>
                            <w:left w:val="none" w:sz="0" w:space="0" w:color="auto"/>
                            <w:bottom w:val="none" w:sz="0" w:space="0" w:color="auto"/>
                            <w:right w:val="none" w:sz="0" w:space="0" w:color="auto"/>
                          </w:divBdr>
                        </w:div>
                        <w:div w:id="109539441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152675141">
                  <w:marLeft w:val="0"/>
                  <w:marRight w:val="0"/>
                  <w:marTop w:val="120"/>
                  <w:marBottom w:val="0"/>
                  <w:divBdr>
                    <w:top w:val="none" w:sz="0" w:space="0" w:color="auto"/>
                    <w:left w:val="none" w:sz="0" w:space="0" w:color="auto"/>
                    <w:bottom w:val="none" w:sz="0" w:space="0" w:color="auto"/>
                    <w:right w:val="none" w:sz="0" w:space="0" w:color="auto"/>
                  </w:divBdr>
                </w:div>
              </w:divsChild>
            </w:div>
            <w:div w:id="1543982931">
              <w:marLeft w:val="0"/>
              <w:marRight w:val="0"/>
              <w:marTop w:val="0"/>
              <w:marBottom w:val="0"/>
              <w:divBdr>
                <w:top w:val="none" w:sz="0" w:space="0" w:color="auto"/>
                <w:left w:val="none" w:sz="0" w:space="0" w:color="auto"/>
                <w:bottom w:val="none" w:sz="0" w:space="0" w:color="auto"/>
                <w:right w:val="none" w:sz="0" w:space="0" w:color="auto"/>
              </w:divBdr>
              <w:divsChild>
                <w:div w:id="127554433">
                  <w:marLeft w:val="0"/>
                  <w:marRight w:val="0"/>
                  <w:marTop w:val="120"/>
                  <w:marBottom w:val="0"/>
                  <w:divBdr>
                    <w:top w:val="none" w:sz="0" w:space="0" w:color="auto"/>
                    <w:left w:val="none" w:sz="0" w:space="0" w:color="auto"/>
                    <w:bottom w:val="none" w:sz="0" w:space="0" w:color="auto"/>
                    <w:right w:val="none" w:sz="0" w:space="0" w:color="auto"/>
                  </w:divBdr>
                </w:div>
                <w:div w:id="498270951">
                  <w:marLeft w:val="0"/>
                  <w:marRight w:val="0"/>
                  <w:marTop w:val="0"/>
                  <w:marBottom w:val="0"/>
                  <w:divBdr>
                    <w:top w:val="none" w:sz="0" w:space="0" w:color="auto"/>
                    <w:left w:val="none" w:sz="0" w:space="0" w:color="auto"/>
                    <w:bottom w:val="none" w:sz="0" w:space="0" w:color="auto"/>
                    <w:right w:val="none" w:sz="0" w:space="0" w:color="auto"/>
                  </w:divBdr>
                </w:div>
              </w:divsChild>
            </w:div>
            <w:div w:id="1849443842">
              <w:marLeft w:val="0"/>
              <w:marRight w:val="0"/>
              <w:marTop w:val="0"/>
              <w:marBottom w:val="0"/>
              <w:divBdr>
                <w:top w:val="none" w:sz="0" w:space="0" w:color="auto"/>
                <w:left w:val="none" w:sz="0" w:space="0" w:color="auto"/>
                <w:bottom w:val="none" w:sz="0" w:space="0" w:color="auto"/>
                <w:right w:val="none" w:sz="0" w:space="0" w:color="auto"/>
              </w:divBdr>
              <w:divsChild>
                <w:div w:id="928391740">
                  <w:marLeft w:val="0"/>
                  <w:marRight w:val="0"/>
                  <w:marTop w:val="120"/>
                  <w:marBottom w:val="0"/>
                  <w:divBdr>
                    <w:top w:val="none" w:sz="0" w:space="0" w:color="auto"/>
                    <w:left w:val="none" w:sz="0" w:space="0" w:color="auto"/>
                    <w:bottom w:val="none" w:sz="0" w:space="0" w:color="auto"/>
                    <w:right w:val="none" w:sz="0" w:space="0" w:color="auto"/>
                  </w:divBdr>
                </w:div>
                <w:div w:id="1650477731">
                  <w:marLeft w:val="0"/>
                  <w:marRight w:val="0"/>
                  <w:marTop w:val="0"/>
                  <w:marBottom w:val="0"/>
                  <w:divBdr>
                    <w:top w:val="none" w:sz="0" w:space="0" w:color="auto"/>
                    <w:left w:val="none" w:sz="0" w:space="0" w:color="auto"/>
                    <w:bottom w:val="none" w:sz="0" w:space="0" w:color="auto"/>
                    <w:right w:val="none" w:sz="0" w:space="0" w:color="auto"/>
                  </w:divBdr>
                </w:div>
              </w:divsChild>
            </w:div>
            <w:div w:id="2029746356">
              <w:marLeft w:val="0"/>
              <w:marRight w:val="0"/>
              <w:marTop w:val="0"/>
              <w:marBottom w:val="0"/>
              <w:divBdr>
                <w:top w:val="none" w:sz="0" w:space="0" w:color="auto"/>
                <w:left w:val="none" w:sz="0" w:space="0" w:color="auto"/>
                <w:bottom w:val="none" w:sz="0" w:space="0" w:color="auto"/>
                <w:right w:val="none" w:sz="0" w:space="0" w:color="auto"/>
              </w:divBdr>
              <w:divsChild>
                <w:div w:id="526872981">
                  <w:marLeft w:val="0"/>
                  <w:marRight w:val="0"/>
                  <w:marTop w:val="0"/>
                  <w:marBottom w:val="0"/>
                  <w:divBdr>
                    <w:top w:val="none" w:sz="0" w:space="0" w:color="auto"/>
                    <w:left w:val="none" w:sz="0" w:space="0" w:color="auto"/>
                    <w:bottom w:val="none" w:sz="0" w:space="0" w:color="auto"/>
                    <w:right w:val="none" w:sz="0" w:space="0" w:color="auto"/>
                  </w:divBdr>
                </w:div>
                <w:div w:id="1995723416">
                  <w:marLeft w:val="0"/>
                  <w:marRight w:val="0"/>
                  <w:marTop w:val="120"/>
                  <w:marBottom w:val="0"/>
                  <w:divBdr>
                    <w:top w:val="none" w:sz="0" w:space="0" w:color="auto"/>
                    <w:left w:val="none" w:sz="0" w:space="0" w:color="auto"/>
                    <w:bottom w:val="none" w:sz="0" w:space="0" w:color="auto"/>
                    <w:right w:val="none" w:sz="0" w:space="0" w:color="auto"/>
                  </w:divBdr>
                </w:div>
              </w:divsChild>
            </w:div>
            <w:div w:id="2104718027">
              <w:marLeft w:val="0"/>
              <w:marRight w:val="0"/>
              <w:marTop w:val="0"/>
              <w:marBottom w:val="0"/>
              <w:divBdr>
                <w:top w:val="none" w:sz="0" w:space="0" w:color="auto"/>
                <w:left w:val="none" w:sz="0" w:space="0" w:color="auto"/>
                <w:bottom w:val="none" w:sz="0" w:space="0" w:color="auto"/>
                <w:right w:val="none" w:sz="0" w:space="0" w:color="auto"/>
              </w:divBdr>
              <w:divsChild>
                <w:div w:id="1554004005">
                  <w:marLeft w:val="0"/>
                  <w:marRight w:val="0"/>
                  <w:marTop w:val="0"/>
                  <w:marBottom w:val="0"/>
                  <w:divBdr>
                    <w:top w:val="none" w:sz="0" w:space="0" w:color="auto"/>
                    <w:left w:val="none" w:sz="0" w:space="0" w:color="auto"/>
                    <w:bottom w:val="none" w:sz="0" w:space="0" w:color="auto"/>
                    <w:right w:val="none" w:sz="0" w:space="0" w:color="auto"/>
                  </w:divBdr>
                </w:div>
                <w:div w:id="177362750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2088016">
      <w:bodyDiv w:val="1"/>
      <w:marLeft w:val="0"/>
      <w:marRight w:val="0"/>
      <w:marTop w:val="0"/>
      <w:marBottom w:val="0"/>
      <w:divBdr>
        <w:top w:val="none" w:sz="0" w:space="0" w:color="auto"/>
        <w:left w:val="none" w:sz="0" w:space="0" w:color="auto"/>
        <w:bottom w:val="none" w:sz="0" w:space="0" w:color="auto"/>
        <w:right w:val="none" w:sz="0" w:space="0" w:color="auto"/>
      </w:divBdr>
      <w:divsChild>
        <w:div w:id="336930472">
          <w:marLeft w:val="0"/>
          <w:marRight w:val="0"/>
          <w:marTop w:val="0"/>
          <w:marBottom w:val="0"/>
          <w:divBdr>
            <w:top w:val="none" w:sz="0" w:space="0" w:color="auto"/>
            <w:left w:val="none" w:sz="0" w:space="0" w:color="auto"/>
            <w:bottom w:val="none" w:sz="0" w:space="0" w:color="auto"/>
            <w:right w:val="none" w:sz="0" w:space="0" w:color="auto"/>
          </w:divBdr>
        </w:div>
      </w:divsChild>
    </w:div>
    <w:div w:id="158084740">
      <w:bodyDiv w:val="1"/>
      <w:marLeft w:val="0"/>
      <w:marRight w:val="0"/>
      <w:marTop w:val="0"/>
      <w:marBottom w:val="0"/>
      <w:divBdr>
        <w:top w:val="none" w:sz="0" w:space="0" w:color="auto"/>
        <w:left w:val="none" w:sz="0" w:space="0" w:color="auto"/>
        <w:bottom w:val="none" w:sz="0" w:space="0" w:color="auto"/>
        <w:right w:val="none" w:sz="0" w:space="0" w:color="auto"/>
      </w:divBdr>
    </w:div>
    <w:div w:id="162554741">
      <w:bodyDiv w:val="1"/>
      <w:marLeft w:val="0"/>
      <w:marRight w:val="0"/>
      <w:marTop w:val="0"/>
      <w:marBottom w:val="0"/>
      <w:divBdr>
        <w:top w:val="none" w:sz="0" w:space="0" w:color="auto"/>
        <w:left w:val="none" w:sz="0" w:space="0" w:color="auto"/>
        <w:bottom w:val="none" w:sz="0" w:space="0" w:color="auto"/>
        <w:right w:val="none" w:sz="0" w:space="0" w:color="auto"/>
      </w:divBdr>
    </w:div>
    <w:div w:id="164637570">
      <w:bodyDiv w:val="1"/>
      <w:marLeft w:val="0"/>
      <w:marRight w:val="0"/>
      <w:marTop w:val="0"/>
      <w:marBottom w:val="0"/>
      <w:divBdr>
        <w:top w:val="none" w:sz="0" w:space="0" w:color="auto"/>
        <w:left w:val="none" w:sz="0" w:space="0" w:color="auto"/>
        <w:bottom w:val="none" w:sz="0" w:space="0" w:color="auto"/>
        <w:right w:val="none" w:sz="0" w:space="0" w:color="auto"/>
      </w:divBdr>
      <w:divsChild>
        <w:div w:id="126319498">
          <w:marLeft w:val="0"/>
          <w:marRight w:val="0"/>
          <w:marTop w:val="0"/>
          <w:marBottom w:val="0"/>
          <w:divBdr>
            <w:top w:val="none" w:sz="0" w:space="0" w:color="auto"/>
            <w:left w:val="none" w:sz="0" w:space="0" w:color="auto"/>
            <w:bottom w:val="none" w:sz="0" w:space="0" w:color="auto"/>
            <w:right w:val="none" w:sz="0" w:space="0" w:color="auto"/>
          </w:divBdr>
          <w:divsChild>
            <w:div w:id="235894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93059">
      <w:bodyDiv w:val="1"/>
      <w:marLeft w:val="0"/>
      <w:marRight w:val="0"/>
      <w:marTop w:val="0"/>
      <w:marBottom w:val="0"/>
      <w:divBdr>
        <w:top w:val="none" w:sz="0" w:space="0" w:color="auto"/>
        <w:left w:val="none" w:sz="0" w:space="0" w:color="auto"/>
        <w:bottom w:val="none" w:sz="0" w:space="0" w:color="auto"/>
        <w:right w:val="none" w:sz="0" w:space="0" w:color="auto"/>
      </w:divBdr>
      <w:divsChild>
        <w:div w:id="196699188">
          <w:marLeft w:val="0"/>
          <w:marRight w:val="0"/>
          <w:marTop w:val="0"/>
          <w:marBottom w:val="0"/>
          <w:divBdr>
            <w:top w:val="none" w:sz="0" w:space="0" w:color="auto"/>
            <w:left w:val="none" w:sz="0" w:space="0" w:color="auto"/>
            <w:bottom w:val="none" w:sz="0" w:space="0" w:color="auto"/>
            <w:right w:val="none" w:sz="0" w:space="0" w:color="auto"/>
          </w:divBdr>
          <w:divsChild>
            <w:div w:id="1031344083">
              <w:marLeft w:val="0"/>
              <w:marRight w:val="0"/>
              <w:marTop w:val="0"/>
              <w:marBottom w:val="0"/>
              <w:divBdr>
                <w:top w:val="none" w:sz="0" w:space="0" w:color="auto"/>
                <w:left w:val="none" w:sz="0" w:space="0" w:color="auto"/>
                <w:bottom w:val="none" w:sz="0" w:space="0" w:color="auto"/>
                <w:right w:val="none" w:sz="0" w:space="0" w:color="auto"/>
              </w:divBdr>
            </w:div>
            <w:div w:id="1157764359">
              <w:marLeft w:val="0"/>
              <w:marRight w:val="0"/>
              <w:marTop w:val="120"/>
              <w:marBottom w:val="0"/>
              <w:divBdr>
                <w:top w:val="none" w:sz="0" w:space="0" w:color="auto"/>
                <w:left w:val="none" w:sz="0" w:space="0" w:color="auto"/>
                <w:bottom w:val="none" w:sz="0" w:space="0" w:color="auto"/>
                <w:right w:val="none" w:sz="0" w:space="0" w:color="auto"/>
              </w:divBdr>
            </w:div>
          </w:divsChild>
        </w:div>
        <w:div w:id="424496320">
          <w:marLeft w:val="0"/>
          <w:marRight w:val="0"/>
          <w:marTop w:val="0"/>
          <w:marBottom w:val="0"/>
          <w:divBdr>
            <w:top w:val="none" w:sz="0" w:space="0" w:color="auto"/>
            <w:left w:val="none" w:sz="0" w:space="0" w:color="auto"/>
            <w:bottom w:val="none" w:sz="0" w:space="0" w:color="auto"/>
            <w:right w:val="none" w:sz="0" w:space="0" w:color="auto"/>
          </w:divBdr>
          <w:divsChild>
            <w:div w:id="832842288">
              <w:marLeft w:val="0"/>
              <w:marRight w:val="0"/>
              <w:marTop w:val="0"/>
              <w:marBottom w:val="0"/>
              <w:divBdr>
                <w:top w:val="none" w:sz="0" w:space="0" w:color="auto"/>
                <w:left w:val="none" w:sz="0" w:space="0" w:color="auto"/>
                <w:bottom w:val="none" w:sz="0" w:space="0" w:color="auto"/>
                <w:right w:val="none" w:sz="0" w:space="0" w:color="auto"/>
              </w:divBdr>
            </w:div>
            <w:div w:id="1558323277">
              <w:marLeft w:val="0"/>
              <w:marRight w:val="0"/>
              <w:marTop w:val="120"/>
              <w:marBottom w:val="0"/>
              <w:divBdr>
                <w:top w:val="none" w:sz="0" w:space="0" w:color="auto"/>
                <w:left w:val="none" w:sz="0" w:space="0" w:color="auto"/>
                <w:bottom w:val="none" w:sz="0" w:space="0" w:color="auto"/>
                <w:right w:val="none" w:sz="0" w:space="0" w:color="auto"/>
              </w:divBdr>
            </w:div>
          </w:divsChild>
        </w:div>
        <w:div w:id="810253029">
          <w:marLeft w:val="0"/>
          <w:marRight w:val="0"/>
          <w:marTop w:val="0"/>
          <w:marBottom w:val="0"/>
          <w:divBdr>
            <w:top w:val="none" w:sz="0" w:space="0" w:color="auto"/>
            <w:left w:val="none" w:sz="0" w:space="0" w:color="auto"/>
            <w:bottom w:val="none" w:sz="0" w:space="0" w:color="auto"/>
            <w:right w:val="none" w:sz="0" w:space="0" w:color="auto"/>
          </w:divBdr>
          <w:divsChild>
            <w:div w:id="413477258">
              <w:marLeft w:val="0"/>
              <w:marRight w:val="0"/>
              <w:marTop w:val="0"/>
              <w:marBottom w:val="0"/>
              <w:divBdr>
                <w:top w:val="none" w:sz="0" w:space="0" w:color="auto"/>
                <w:left w:val="none" w:sz="0" w:space="0" w:color="auto"/>
                <w:bottom w:val="none" w:sz="0" w:space="0" w:color="auto"/>
                <w:right w:val="none" w:sz="0" w:space="0" w:color="auto"/>
              </w:divBdr>
            </w:div>
            <w:div w:id="140895939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6596522">
      <w:bodyDiv w:val="1"/>
      <w:marLeft w:val="0"/>
      <w:marRight w:val="0"/>
      <w:marTop w:val="0"/>
      <w:marBottom w:val="0"/>
      <w:divBdr>
        <w:top w:val="none" w:sz="0" w:space="0" w:color="auto"/>
        <w:left w:val="none" w:sz="0" w:space="0" w:color="auto"/>
        <w:bottom w:val="none" w:sz="0" w:space="0" w:color="auto"/>
        <w:right w:val="none" w:sz="0" w:space="0" w:color="auto"/>
      </w:divBdr>
      <w:divsChild>
        <w:div w:id="1880583459">
          <w:marLeft w:val="0"/>
          <w:marRight w:val="0"/>
          <w:marTop w:val="0"/>
          <w:marBottom w:val="0"/>
          <w:divBdr>
            <w:top w:val="none" w:sz="0" w:space="0" w:color="auto"/>
            <w:left w:val="none" w:sz="0" w:space="0" w:color="auto"/>
            <w:bottom w:val="none" w:sz="0" w:space="0" w:color="auto"/>
            <w:right w:val="none" w:sz="0" w:space="0" w:color="auto"/>
          </w:divBdr>
        </w:div>
      </w:divsChild>
    </w:div>
    <w:div w:id="177431343">
      <w:bodyDiv w:val="1"/>
      <w:marLeft w:val="0"/>
      <w:marRight w:val="0"/>
      <w:marTop w:val="0"/>
      <w:marBottom w:val="0"/>
      <w:divBdr>
        <w:top w:val="none" w:sz="0" w:space="0" w:color="auto"/>
        <w:left w:val="none" w:sz="0" w:space="0" w:color="auto"/>
        <w:bottom w:val="none" w:sz="0" w:space="0" w:color="auto"/>
        <w:right w:val="none" w:sz="0" w:space="0" w:color="auto"/>
      </w:divBdr>
      <w:divsChild>
        <w:div w:id="1200320630">
          <w:marLeft w:val="0"/>
          <w:marRight w:val="0"/>
          <w:marTop w:val="0"/>
          <w:marBottom w:val="0"/>
          <w:divBdr>
            <w:top w:val="none" w:sz="0" w:space="0" w:color="auto"/>
            <w:left w:val="none" w:sz="0" w:space="0" w:color="auto"/>
            <w:bottom w:val="none" w:sz="0" w:space="0" w:color="auto"/>
            <w:right w:val="none" w:sz="0" w:space="0" w:color="auto"/>
          </w:divBdr>
          <w:divsChild>
            <w:div w:id="106306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627112">
      <w:bodyDiv w:val="1"/>
      <w:marLeft w:val="0"/>
      <w:marRight w:val="0"/>
      <w:marTop w:val="0"/>
      <w:marBottom w:val="0"/>
      <w:divBdr>
        <w:top w:val="none" w:sz="0" w:space="0" w:color="auto"/>
        <w:left w:val="none" w:sz="0" w:space="0" w:color="auto"/>
        <w:bottom w:val="none" w:sz="0" w:space="0" w:color="auto"/>
        <w:right w:val="none" w:sz="0" w:space="0" w:color="auto"/>
      </w:divBdr>
      <w:divsChild>
        <w:div w:id="273754707">
          <w:marLeft w:val="0"/>
          <w:marRight w:val="0"/>
          <w:marTop w:val="0"/>
          <w:marBottom w:val="0"/>
          <w:divBdr>
            <w:top w:val="none" w:sz="0" w:space="0" w:color="auto"/>
            <w:left w:val="none" w:sz="0" w:space="0" w:color="auto"/>
            <w:bottom w:val="none" w:sz="0" w:space="0" w:color="auto"/>
            <w:right w:val="none" w:sz="0" w:space="0" w:color="auto"/>
          </w:divBdr>
          <w:divsChild>
            <w:div w:id="1159156412">
              <w:marLeft w:val="0"/>
              <w:marRight w:val="0"/>
              <w:marTop w:val="0"/>
              <w:marBottom w:val="0"/>
              <w:divBdr>
                <w:top w:val="none" w:sz="0" w:space="0" w:color="auto"/>
                <w:left w:val="none" w:sz="0" w:space="0" w:color="auto"/>
                <w:bottom w:val="none" w:sz="0" w:space="0" w:color="auto"/>
                <w:right w:val="none" w:sz="0" w:space="0" w:color="auto"/>
              </w:divBdr>
            </w:div>
          </w:divsChild>
        </w:div>
        <w:div w:id="1058897806">
          <w:marLeft w:val="0"/>
          <w:marRight w:val="0"/>
          <w:marTop w:val="0"/>
          <w:marBottom w:val="0"/>
          <w:divBdr>
            <w:top w:val="none" w:sz="0" w:space="0" w:color="auto"/>
            <w:left w:val="none" w:sz="0" w:space="0" w:color="auto"/>
            <w:bottom w:val="none" w:sz="0" w:space="0" w:color="auto"/>
            <w:right w:val="none" w:sz="0" w:space="0" w:color="auto"/>
          </w:divBdr>
          <w:divsChild>
            <w:div w:id="1923224259">
              <w:marLeft w:val="0"/>
              <w:marRight w:val="0"/>
              <w:marTop w:val="0"/>
              <w:marBottom w:val="0"/>
              <w:divBdr>
                <w:top w:val="none" w:sz="0" w:space="0" w:color="auto"/>
                <w:left w:val="none" w:sz="0" w:space="0" w:color="auto"/>
                <w:bottom w:val="none" w:sz="0" w:space="0" w:color="auto"/>
                <w:right w:val="none" w:sz="0" w:space="0" w:color="auto"/>
              </w:divBdr>
            </w:div>
          </w:divsChild>
        </w:div>
        <w:div w:id="1629779269">
          <w:marLeft w:val="0"/>
          <w:marRight w:val="0"/>
          <w:marTop w:val="0"/>
          <w:marBottom w:val="0"/>
          <w:divBdr>
            <w:top w:val="none" w:sz="0" w:space="0" w:color="auto"/>
            <w:left w:val="none" w:sz="0" w:space="0" w:color="auto"/>
            <w:bottom w:val="none" w:sz="0" w:space="0" w:color="auto"/>
            <w:right w:val="none" w:sz="0" w:space="0" w:color="auto"/>
          </w:divBdr>
          <w:divsChild>
            <w:div w:id="343440011">
              <w:marLeft w:val="0"/>
              <w:marRight w:val="0"/>
              <w:marTop w:val="0"/>
              <w:marBottom w:val="0"/>
              <w:divBdr>
                <w:top w:val="none" w:sz="0" w:space="0" w:color="auto"/>
                <w:left w:val="none" w:sz="0" w:space="0" w:color="auto"/>
                <w:bottom w:val="none" w:sz="0" w:space="0" w:color="auto"/>
                <w:right w:val="none" w:sz="0" w:space="0" w:color="auto"/>
              </w:divBdr>
            </w:div>
          </w:divsChild>
        </w:div>
        <w:div w:id="1895776163">
          <w:marLeft w:val="0"/>
          <w:marRight w:val="0"/>
          <w:marTop w:val="0"/>
          <w:marBottom w:val="0"/>
          <w:divBdr>
            <w:top w:val="none" w:sz="0" w:space="0" w:color="auto"/>
            <w:left w:val="none" w:sz="0" w:space="0" w:color="auto"/>
            <w:bottom w:val="none" w:sz="0" w:space="0" w:color="auto"/>
            <w:right w:val="none" w:sz="0" w:space="0" w:color="auto"/>
          </w:divBdr>
          <w:divsChild>
            <w:div w:id="1452091721">
              <w:marLeft w:val="0"/>
              <w:marRight w:val="0"/>
              <w:marTop w:val="0"/>
              <w:marBottom w:val="0"/>
              <w:divBdr>
                <w:top w:val="none" w:sz="0" w:space="0" w:color="auto"/>
                <w:left w:val="none" w:sz="0" w:space="0" w:color="auto"/>
                <w:bottom w:val="none" w:sz="0" w:space="0" w:color="auto"/>
                <w:right w:val="none" w:sz="0" w:space="0" w:color="auto"/>
              </w:divBdr>
              <w:divsChild>
                <w:div w:id="17849978">
                  <w:marLeft w:val="0"/>
                  <w:marRight w:val="0"/>
                  <w:marTop w:val="0"/>
                  <w:marBottom w:val="0"/>
                  <w:divBdr>
                    <w:top w:val="none" w:sz="0" w:space="0" w:color="auto"/>
                    <w:left w:val="none" w:sz="0" w:space="0" w:color="auto"/>
                    <w:bottom w:val="none" w:sz="0" w:space="0" w:color="auto"/>
                    <w:right w:val="none" w:sz="0" w:space="0" w:color="auto"/>
                  </w:divBdr>
                  <w:divsChild>
                    <w:div w:id="89011244">
                      <w:marLeft w:val="0"/>
                      <w:marRight w:val="0"/>
                      <w:marTop w:val="0"/>
                      <w:marBottom w:val="0"/>
                      <w:divBdr>
                        <w:top w:val="none" w:sz="0" w:space="0" w:color="auto"/>
                        <w:left w:val="none" w:sz="0" w:space="0" w:color="auto"/>
                        <w:bottom w:val="none" w:sz="0" w:space="0" w:color="auto"/>
                        <w:right w:val="none" w:sz="0" w:space="0" w:color="auto"/>
                      </w:divBdr>
                    </w:div>
                    <w:div w:id="664287236">
                      <w:marLeft w:val="0"/>
                      <w:marRight w:val="0"/>
                      <w:marTop w:val="120"/>
                      <w:marBottom w:val="0"/>
                      <w:divBdr>
                        <w:top w:val="none" w:sz="0" w:space="0" w:color="auto"/>
                        <w:left w:val="none" w:sz="0" w:space="0" w:color="auto"/>
                        <w:bottom w:val="none" w:sz="0" w:space="0" w:color="auto"/>
                        <w:right w:val="none" w:sz="0" w:space="0" w:color="auto"/>
                      </w:divBdr>
                    </w:div>
                  </w:divsChild>
                </w:div>
                <w:div w:id="333537534">
                  <w:marLeft w:val="0"/>
                  <w:marRight w:val="0"/>
                  <w:marTop w:val="0"/>
                  <w:marBottom w:val="0"/>
                  <w:divBdr>
                    <w:top w:val="none" w:sz="0" w:space="0" w:color="auto"/>
                    <w:left w:val="none" w:sz="0" w:space="0" w:color="auto"/>
                    <w:bottom w:val="none" w:sz="0" w:space="0" w:color="auto"/>
                    <w:right w:val="none" w:sz="0" w:space="0" w:color="auto"/>
                  </w:divBdr>
                  <w:divsChild>
                    <w:div w:id="114716110">
                      <w:marLeft w:val="0"/>
                      <w:marRight w:val="0"/>
                      <w:marTop w:val="120"/>
                      <w:marBottom w:val="0"/>
                      <w:divBdr>
                        <w:top w:val="none" w:sz="0" w:space="0" w:color="auto"/>
                        <w:left w:val="none" w:sz="0" w:space="0" w:color="auto"/>
                        <w:bottom w:val="none" w:sz="0" w:space="0" w:color="auto"/>
                        <w:right w:val="none" w:sz="0" w:space="0" w:color="auto"/>
                      </w:divBdr>
                    </w:div>
                    <w:div w:id="540945074">
                      <w:marLeft w:val="0"/>
                      <w:marRight w:val="0"/>
                      <w:marTop w:val="0"/>
                      <w:marBottom w:val="0"/>
                      <w:divBdr>
                        <w:top w:val="none" w:sz="0" w:space="0" w:color="auto"/>
                        <w:left w:val="none" w:sz="0" w:space="0" w:color="auto"/>
                        <w:bottom w:val="none" w:sz="0" w:space="0" w:color="auto"/>
                        <w:right w:val="none" w:sz="0" w:space="0" w:color="auto"/>
                      </w:divBdr>
                    </w:div>
                  </w:divsChild>
                </w:div>
                <w:div w:id="1585064320">
                  <w:marLeft w:val="0"/>
                  <w:marRight w:val="0"/>
                  <w:marTop w:val="0"/>
                  <w:marBottom w:val="0"/>
                  <w:divBdr>
                    <w:top w:val="none" w:sz="0" w:space="0" w:color="auto"/>
                    <w:left w:val="none" w:sz="0" w:space="0" w:color="auto"/>
                    <w:bottom w:val="none" w:sz="0" w:space="0" w:color="auto"/>
                    <w:right w:val="none" w:sz="0" w:space="0" w:color="auto"/>
                  </w:divBdr>
                  <w:divsChild>
                    <w:div w:id="1390301075">
                      <w:marLeft w:val="0"/>
                      <w:marRight w:val="0"/>
                      <w:marTop w:val="120"/>
                      <w:marBottom w:val="0"/>
                      <w:divBdr>
                        <w:top w:val="none" w:sz="0" w:space="0" w:color="auto"/>
                        <w:left w:val="none" w:sz="0" w:space="0" w:color="auto"/>
                        <w:bottom w:val="none" w:sz="0" w:space="0" w:color="auto"/>
                        <w:right w:val="none" w:sz="0" w:space="0" w:color="auto"/>
                      </w:divBdr>
                    </w:div>
                    <w:div w:id="1491944809">
                      <w:marLeft w:val="0"/>
                      <w:marRight w:val="0"/>
                      <w:marTop w:val="0"/>
                      <w:marBottom w:val="0"/>
                      <w:divBdr>
                        <w:top w:val="none" w:sz="0" w:space="0" w:color="auto"/>
                        <w:left w:val="none" w:sz="0" w:space="0" w:color="auto"/>
                        <w:bottom w:val="none" w:sz="0" w:space="0" w:color="auto"/>
                        <w:right w:val="none" w:sz="0" w:space="0" w:color="auto"/>
                      </w:divBdr>
                    </w:div>
                  </w:divsChild>
                </w:div>
                <w:div w:id="1917935325">
                  <w:marLeft w:val="0"/>
                  <w:marRight w:val="0"/>
                  <w:marTop w:val="0"/>
                  <w:marBottom w:val="0"/>
                  <w:divBdr>
                    <w:top w:val="none" w:sz="0" w:space="0" w:color="auto"/>
                    <w:left w:val="none" w:sz="0" w:space="0" w:color="auto"/>
                    <w:bottom w:val="none" w:sz="0" w:space="0" w:color="auto"/>
                    <w:right w:val="none" w:sz="0" w:space="0" w:color="auto"/>
                  </w:divBdr>
                  <w:divsChild>
                    <w:div w:id="469441371">
                      <w:marLeft w:val="0"/>
                      <w:marRight w:val="0"/>
                      <w:marTop w:val="120"/>
                      <w:marBottom w:val="0"/>
                      <w:divBdr>
                        <w:top w:val="none" w:sz="0" w:space="0" w:color="auto"/>
                        <w:left w:val="none" w:sz="0" w:space="0" w:color="auto"/>
                        <w:bottom w:val="none" w:sz="0" w:space="0" w:color="auto"/>
                        <w:right w:val="none" w:sz="0" w:space="0" w:color="auto"/>
                      </w:divBdr>
                    </w:div>
                    <w:div w:id="200608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02205">
      <w:bodyDiv w:val="1"/>
      <w:marLeft w:val="0"/>
      <w:marRight w:val="0"/>
      <w:marTop w:val="0"/>
      <w:marBottom w:val="0"/>
      <w:divBdr>
        <w:top w:val="none" w:sz="0" w:space="0" w:color="auto"/>
        <w:left w:val="none" w:sz="0" w:space="0" w:color="auto"/>
        <w:bottom w:val="none" w:sz="0" w:space="0" w:color="auto"/>
        <w:right w:val="none" w:sz="0" w:space="0" w:color="auto"/>
      </w:divBdr>
      <w:divsChild>
        <w:div w:id="239023323">
          <w:marLeft w:val="0"/>
          <w:marRight w:val="0"/>
          <w:marTop w:val="0"/>
          <w:marBottom w:val="0"/>
          <w:divBdr>
            <w:top w:val="none" w:sz="0" w:space="0" w:color="auto"/>
            <w:left w:val="none" w:sz="0" w:space="0" w:color="auto"/>
            <w:bottom w:val="none" w:sz="0" w:space="0" w:color="auto"/>
            <w:right w:val="none" w:sz="0" w:space="0" w:color="auto"/>
          </w:divBdr>
          <w:divsChild>
            <w:div w:id="1818187596">
              <w:marLeft w:val="0"/>
              <w:marRight w:val="0"/>
              <w:marTop w:val="0"/>
              <w:marBottom w:val="0"/>
              <w:divBdr>
                <w:top w:val="none" w:sz="0" w:space="0" w:color="auto"/>
                <w:left w:val="none" w:sz="0" w:space="0" w:color="auto"/>
                <w:bottom w:val="none" w:sz="0" w:space="0" w:color="auto"/>
                <w:right w:val="none" w:sz="0" w:space="0" w:color="auto"/>
              </w:divBdr>
              <w:divsChild>
                <w:div w:id="73481247">
                  <w:marLeft w:val="0"/>
                  <w:marRight w:val="0"/>
                  <w:marTop w:val="0"/>
                  <w:marBottom w:val="0"/>
                  <w:divBdr>
                    <w:top w:val="none" w:sz="0" w:space="0" w:color="auto"/>
                    <w:left w:val="none" w:sz="0" w:space="0" w:color="auto"/>
                    <w:bottom w:val="none" w:sz="0" w:space="0" w:color="auto"/>
                    <w:right w:val="none" w:sz="0" w:space="0" w:color="auto"/>
                  </w:divBdr>
                  <w:divsChild>
                    <w:div w:id="476919290">
                      <w:marLeft w:val="0"/>
                      <w:marRight w:val="0"/>
                      <w:marTop w:val="120"/>
                      <w:marBottom w:val="0"/>
                      <w:divBdr>
                        <w:top w:val="none" w:sz="0" w:space="0" w:color="auto"/>
                        <w:left w:val="none" w:sz="0" w:space="0" w:color="auto"/>
                        <w:bottom w:val="none" w:sz="0" w:space="0" w:color="auto"/>
                        <w:right w:val="none" w:sz="0" w:space="0" w:color="auto"/>
                      </w:divBdr>
                    </w:div>
                    <w:div w:id="1307203870">
                      <w:marLeft w:val="0"/>
                      <w:marRight w:val="0"/>
                      <w:marTop w:val="0"/>
                      <w:marBottom w:val="0"/>
                      <w:divBdr>
                        <w:top w:val="none" w:sz="0" w:space="0" w:color="auto"/>
                        <w:left w:val="none" w:sz="0" w:space="0" w:color="auto"/>
                        <w:bottom w:val="none" w:sz="0" w:space="0" w:color="auto"/>
                        <w:right w:val="none" w:sz="0" w:space="0" w:color="auto"/>
                      </w:divBdr>
                    </w:div>
                  </w:divsChild>
                </w:div>
                <w:div w:id="258757326">
                  <w:marLeft w:val="0"/>
                  <w:marRight w:val="0"/>
                  <w:marTop w:val="0"/>
                  <w:marBottom w:val="0"/>
                  <w:divBdr>
                    <w:top w:val="none" w:sz="0" w:space="0" w:color="auto"/>
                    <w:left w:val="none" w:sz="0" w:space="0" w:color="auto"/>
                    <w:bottom w:val="none" w:sz="0" w:space="0" w:color="auto"/>
                    <w:right w:val="none" w:sz="0" w:space="0" w:color="auto"/>
                  </w:divBdr>
                  <w:divsChild>
                    <w:div w:id="168255012">
                      <w:marLeft w:val="0"/>
                      <w:marRight w:val="0"/>
                      <w:marTop w:val="120"/>
                      <w:marBottom w:val="0"/>
                      <w:divBdr>
                        <w:top w:val="none" w:sz="0" w:space="0" w:color="auto"/>
                        <w:left w:val="none" w:sz="0" w:space="0" w:color="auto"/>
                        <w:bottom w:val="none" w:sz="0" w:space="0" w:color="auto"/>
                        <w:right w:val="none" w:sz="0" w:space="0" w:color="auto"/>
                      </w:divBdr>
                    </w:div>
                    <w:div w:id="572550666">
                      <w:marLeft w:val="0"/>
                      <w:marRight w:val="0"/>
                      <w:marTop w:val="0"/>
                      <w:marBottom w:val="0"/>
                      <w:divBdr>
                        <w:top w:val="none" w:sz="0" w:space="0" w:color="auto"/>
                        <w:left w:val="none" w:sz="0" w:space="0" w:color="auto"/>
                        <w:bottom w:val="none" w:sz="0" w:space="0" w:color="auto"/>
                        <w:right w:val="none" w:sz="0" w:space="0" w:color="auto"/>
                      </w:divBdr>
                    </w:div>
                  </w:divsChild>
                </w:div>
                <w:div w:id="271135218">
                  <w:marLeft w:val="0"/>
                  <w:marRight w:val="0"/>
                  <w:marTop w:val="0"/>
                  <w:marBottom w:val="0"/>
                  <w:divBdr>
                    <w:top w:val="none" w:sz="0" w:space="0" w:color="auto"/>
                    <w:left w:val="none" w:sz="0" w:space="0" w:color="auto"/>
                    <w:bottom w:val="none" w:sz="0" w:space="0" w:color="auto"/>
                    <w:right w:val="none" w:sz="0" w:space="0" w:color="auto"/>
                  </w:divBdr>
                  <w:divsChild>
                    <w:div w:id="365179631">
                      <w:marLeft w:val="0"/>
                      <w:marRight w:val="0"/>
                      <w:marTop w:val="0"/>
                      <w:marBottom w:val="0"/>
                      <w:divBdr>
                        <w:top w:val="none" w:sz="0" w:space="0" w:color="auto"/>
                        <w:left w:val="none" w:sz="0" w:space="0" w:color="auto"/>
                        <w:bottom w:val="none" w:sz="0" w:space="0" w:color="auto"/>
                        <w:right w:val="none" w:sz="0" w:space="0" w:color="auto"/>
                      </w:divBdr>
                    </w:div>
                    <w:div w:id="1229925106">
                      <w:marLeft w:val="0"/>
                      <w:marRight w:val="0"/>
                      <w:marTop w:val="120"/>
                      <w:marBottom w:val="0"/>
                      <w:divBdr>
                        <w:top w:val="none" w:sz="0" w:space="0" w:color="auto"/>
                        <w:left w:val="none" w:sz="0" w:space="0" w:color="auto"/>
                        <w:bottom w:val="none" w:sz="0" w:space="0" w:color="auto"/>
                        <w:right w:val="none" w:sz="0" w:space="0" w:color="auto"/>
                      </w:divBdr>
                    </w:div>
                  </w:divsChild>
                </w:div>
                <w:div w:id="1033068694">
                  <w:marLeft w:val="0"/>
                  <w:marRight w:val="0"/>
                  <w:marTop w:val="0"/>
                  <w:marBottom w:val="0"/>
                  <w:divBdr>
                    <w:top w:val="none" w:sz="0" w:space="0" w:color="auto"/>
                    <w:left w:val="none" w:sz="0" w:space="0" w:color="auto"/>
                    <w:bottom w:val="none" w:sz="0" w:space="0" w:color="auto"/>
                    <w:right w:val="none" w:sz="0" w:space="0" w:color="auto"/>
                  </w:divBdr>
                  <w:divsChild>
                    <w:div w:id="634215079">
                      <w:marLeft w:val="0"/>
                      <w:marRight w:val="0"/>
                      <w:marTop w:val="120"/>
                      <w:marBottom w:val="0"/>
                      <w:divBdr>
                        <w:top w:val="none" w:sz="0" w:space="0" w:color="auto"/>
                        <w:left w:val="none" w:sz="0" w:space="0" w:color="auto"/>
                        <w:bottom w:val="none" w:sz="0" w:space="0" w:color="auto"/>
                        <w:right w:val="none" w:sz="0" w:space="0" w:color="auto"/>
                      </w:divBdr>
                    </w:div>
                    <w:div w:id="179891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197971">
          <w:marLeft w:val="0"/>
          <w:marRight w:val="0"/>
          <w:marTop w:val="0"/>
          <w:marBottom w:val="0"/>
          <w:divBdr>
            <w:top w:val="none" w:sz="0" w:space="0" w:color="auto"/>
            <w:left w:val="none" w:sz="0" w:space="0" w:color="auto"/>
            <w:bottom w:val="none" w:sz="0" w:space="0" w:color="auto"/>
            <w:right w:val="none" w:sz="0" w:space="0" w:color="auto"/>
          </w:divBdr>
          <w:divsChild>
            <w:div w:id="1056734980">
              <w:marLeft w:val="0"/>
              <w:marRight w:val="0"/>
              <w:marTop w:val="0"/>
              <w:marBottom w:val="0"/>
              <w:divBdr>
                <w:top w:val="none" w:sz="0" w:space="0" w:color="auto"/>
                <w:left w:val="none" w:sz="0" w:space="0" w:color="auto"/>
                <w:bottom w:val="none" w:sz="0" w:space="0" w:color="auto"/>
                <w:right w:val="none" w:sz="0" w:space="0" w:color="auto"/>
              </w:divBdr>
              <w:divsChild>
                <w:div w:id="631594042">
                  <w:marLeft w:val="0"/>
                  <w:marRight w:val="0"/>
                  <w:marTop w:val="0"/>
                  <w:marBottom w:val="0"/>
                  <w:divBdr>
                    <w:top w:val="none" w:sz="0" w:space="0" w:color="auto"/>
                    <w:left w:val="none" w:sz="0" w:space="0" w:color="auto"/>
                    <w:bottom w:val="none" w:sz="0" w:space="0" w:color="auto"/>
                    <w:right w:val="none" w:sz="0" w:space="0" w:color="auto"/>
                  </w:divBdr>
                  <w:divsChild>
                    <w:div w:id="1219434102">
                      <w:marLeft w:val="0"/>
                      <w:marRight w:val="0"/>
                      <w:marTop w:val="120"/>
                      <w:marBottom w:val="0"/>
                      <w:divBdr>
                        <w:top w:val="none" w:sz="0" w:space="0" w:color="auto"/>
                        <w:left w:val="none" w:sz="0" w:space="0" w:color="auto"/>
                        <w:bottom w:val="none" w:sz="0" w:space="0" w:color="auto"/>
                        <w:right w:val="none" w:sz="0" w:space="0" w:color="auto"/>
                      </w:divBdr>
                    </w:div>
                    <w:div w:id="1310131224">
                      <w:marLeft w:val="0"/>
                      <w:marRight w:val="0"/>
                      <w:marTop w:val="0"/>
                      <w:marBottom w:val="0"/>
                      <w:divBdr>
                        <w:top w:val="none" w:sz="0" w:space="0" w:color="auto"/>
                        <w:left w:val="none" w:sz="0" w:space="0" w:color="auto"/>
                        <w:bottom w:val="none" w:sz="0" w:space="0" w:color="auto"/>
                        <w:right w:val="none" w:sz="0" w:space="0" w:color="auto"/>
                      </w:divBdr>
                    </w:div>
                  </w:divsChild>
                </w:div>
                <w:div w:id="663823263">
                  <w:marLeft w:val="0"/>
                  <w:marRight w:val="0"/>
                  <w:marTop w:val="0"/>
                  <w:marBottom w:val="0"/>
                  <w:divBdr>
                    <w:top w:val="none" w:sz="0" w:space="0" w:color="auto"/>
                    <w:left w:val="none" w:sz="0" w:space="0" w:color="auto"/>
                    <w:bottom w:val="none" w:sz="0" w:space="0" w:color="auto"/>
                    <w:right w:val="none" w:sz="0" w:space="0" w:color="auto"/>
                  </w:divBdr>
                  <w:divsChild>
                    <w:div w:id="1429617507">
                      <w:marLeft w:val="0"/>
                      <w:marRight w:val="0"/>
                      <w:marTop w:val="120"/>
                      <w:marBottom w:val="0"/>
                      <w:divBdr>
                        <w:top w:val="none" w:sz="0" w:space="0" w:color="auto"/>
                        <w:left w:val="none" w:sz="0" w:space="0" w:color="auto"/>
                        <w:bottom w:val="none" w:sz="0" w:space="0" w:color="auto"/>
                        <w:right w:val="none" w:sz="0" w:space="0" w:color="auto"/>
                      </w:divBdr>
                    </w:div>
                    <w:div w:id="1838229157">
                      <w:marLeft w:val="0"/>
                      <w:marRight w:val="0"/>
                      <w:marTop w:val="0"/>
                      <w:marBottom w:val="0"/>
                      <w:divBdr>
                        <w:top w:val="none" w:sz="0" w:space="0" w:color="auto"/>
                        <w:left w:val="none" w:sz="0" w:space="0" w:color="auto"/>
                        <w:bottom w:val="none" w:sz="0" w:space="0" w:color="auto"/>
                        <w:right w:val="none" w:sz="0" w:space="0" w:color="auto"/>
                      </w:divBdr>
                    </w:div>
                  </w:divsChild>
                </w:div>
                <w:div w:id="716663510">
                  <w:marLeft w:val="0"/>
                  <w:marRight w:val="0"/>
                  <w:marTop w:val="0"/>
                  <w:marBottom w:val="0"/>
                  <w:divBdr>
                    <w:top w:val="none" w:sz="0" w:space="0" w:color="auto"/>
                    <w:left w:val="none" w:sz="0" w:space="0" w:color="auto"/>
                    <w:bottom w:val="none" w:sz="0" w:space="0" w:color="auto"/>
                    <w:right w:val="none" w:sz="0" w:space="0" w:color="auto"/>
                  </w:divBdr>
                  <w:divsChild>
                    <w:div w:id="95945606">
                      <w:marLeft w:val="0"/>
                      <w:marRight w:val="0"/>
                      <w:marTop w:val="120"/>
                      <w:marBottom w:val="0"/>
                      <w:divBdr>
                        <w:top w:val="none" w:sz="0" w:space="0" w:color="auto"/>
                        <w:left w:val="none" w:sz="0" w:space="0" w:color="auto"/>
                        <w:bottom w:val="none" w:sz="0" w:space="0" w:color="auto"/>
                        <w:right w:val="none" w:sz="0" w:space="0" w:color="auto"/>
                      </w:divBdr>
                    </w:div>
                    <w:div w:id="1018972263">
                      <w:marLeft w:val="0"/>
                      <w:marRight w:val="0"/>
                      <w:marTop w:val="0"/>
                      <w:marBottom w:val="0"/>
                      <w:divBdr>
                        <w:top w:val="none" w:sz="0" w:space="0" w:color="auto"/>
                        <w:left w:val="none" w:sz="0" w:space="0" w:color="auto"/>
                        <w:bottom w:val="none" w:sz="0" w:space="0" w:color="auto"/>
                        <w:right w:val="none" w:sz="0" w:space="0" w:color="auto"/>
                      </w:divBdr>
                    </w:div>
                  </w:divsChild>
                </w:div>
                <w:div w:id="1034695616">
                  <w:marLeft w:val="0"/>
                  <w:marRight w:val="0"/>
                  <w:marTop w:val="0"/>
                  <w:marBottom w:val="0"/>
                  <w:divBdr>
                    <w:top w:val="none" w:sz="0" w:space="0" w:color="auto"/>
                    <w:left w:val="none" w:sz="0" w:space="0" w:color="auto"/>
                    <w:bottom w:val="none" w:sz="0" w:space="0" w:color="auto"/>
                    <w:right w:val="none" w:sz="0" w:space="0" w:color="auto"/>
                  </w:divBdr>
                  <w:divsChild>
                    <w:div w:id="571550476">
                      <w:marLeft w:val="0"/>
                      <w:marRight w:val="0"/>
                      <w:marTop w:val="120"/>
                      <w:marBottom w:val="0"/>
                      <w:divBdr>
                        <w:top w:val="none" w:sz="0" w:space="0" w:color="auto"/>
                        <w:left w:val="none" w:sz="0" w:space="0" w:color="auto"/>
                        <w:bottom w:val="none" w:sz="0" w:space="0" w:color="auto"/>
                        <w:right w:val="none" w:sz="0" w:space="0" w:color="auto"/>
                      </w:divBdr>
                    </w:div>
                    <w:div w:id="2068910877">
                      <w:marLeft w:val="0"/>
                      <w:marRight w:val="0"/>
                      <w:marTop w:val="0"/>
                      <w:marBottom w:val="0"/>
                      <w:divBdr>
                        <w:top w:val="none" w:sz="0" w:space="0" w:color="auto"/>
                        <w:left w:val="none" w:sz="0" w:space="0" w:color="auto"/>
                        <w:bottom w:val="none" w:sz="0" w:space="0" w:color="auto"/>
                        <w:right w:val="none" w:sz="0" w:space="0" w:color="auto"/>
                      </w:divBdr>
                    </w:div>
                  </w:divsChild>
                </w:div>
                <w:div w:id="1247883923">
                  <w:marLeft w:val="0"/>
                  <w:marRight w:val="0"/>
                  <w:marTop w:val="0"/>
                  <w:marBottom w:val="0"/>
                  <w:divBdr>
                    <w:top w:val="none" w:sz="0" w:space="0" w:color="auto"/>
                    <w:left w:val="none" w:sz="0" w:space="0" w:color="auto"/>
                    <w:bottom w:val="none" w:sz="0" w:space="0" w:color="auto"/>
                    <w:right w:val="none" w:sz="0" w:space="0" w:color="auto"/>
                  </w:divBdr>
                  <w:divsChild>
                    <w:div w:id="826358783">
                      <w:marLeft w:val="0"/>
                      <w:marRight w:val="0"/>
                      <w:marTop w:val="120"/>
                      <w:marBottom w:val="0"/>
                      <w:divBdr>
                        <w:top w:val="none" w:sz="0" w:space="0" w:color="auto"/>
                        <w:left w:val="none" w:sz="0" w:space="0" w:color="auto"/>
                        <w:bottom w:val="none" w:sz="0" w:space="0" w:color="auto"/>
                        <w:right w:val="none" w:sz="0" w:space="0" w:color="auto"/>
                      </w:divBdr>
                    </w:div>
                    <w:div w:id="1035932318">
                      <w:marLeft w:val="0"/>
                      <w:marRight w:val="0"/>
                      <w:marTop w:val="0"/>
                      <w:marBottom w:val="0"/>
                      <w:divBdr>
                        <w:top w:val="none" w:sz="0" w:space="0" w:color="auto"/>
                        <w:left w:val="none" w:sz="0" w:space="0" w:color="auto"/>
                        <w:bottom w:val="none" w:sz="0" w:space="0" w:color="auto"/>
                        <w:right w:val="none" w:sz="0" w:space="0" w:color="auto"/>
                      </w:divBdr>
                    </w:div>
                  </w:divsChild>
                </w:div>
                <w:div w:id="1464426784">
                  <w:marLeft w:val="0"/>
                  <w:marRight w:val="0"/>
                  <w:marTop w:val="0"/>
                  <w:marBottom w:val="0"/>
                  <w:divBdr>
                    <w:top w:val="none" w:sz="0" w:space="0" w:color="auto"/>
                    <w:left w:val="none" w:sz="0" w:space="0" w:color="auto"/>
                    <w:bottom w:val="none" w:sz="0" w:space="0" w:color="auto"/>
                    <w:right w:val="none" w:sz="0" w:space="0" w:color="auto"/>
                  </w:divBdr>
                  <w:divsChild>
                    <w:div w:id="1245258079">
                      <w:marLeft w:val="0"/>
                      <w:marRight w:val="0"/>
                      <w:marTop w:val="120"/>
                      <w:marBottom w:val="0"/>
                      <w:divBdr>
                        <w:top w:val="none" w:sz="0" w:space="0" w:color="auto"/>
                        <w:left w:val="none" w:sz="0" w:space="0" w:color="auto"/>
                        <w:bottom w:val="none" w:sz="0" w:space="0" w:color="auto"/>
                        <w:right w:val="none" w:sz="0" w:space="0" w:color="auto"/>
                      </w:divBdr>
                    </w:div>
                    <w:div w:id="1271744626">
                      <w:marLeft w:val="0"/>
                      <w:marRight w:val="0"/>
                      <w:marTop w:val="0"/>
                      <w:marBottom w:val="0"/>
                      <w:divBdr>
                        <w:top w:val="none" w:sz="0" w:space="0" w:color="auto"/>
                        <w:left w:val="none" w:sz="0" w:space="0" w:color="auto"/>
                        <w:bottom w:val="none" w:sz="0" w:space="0" w:color="auto"/>
                        <w:right w:val="none" w:sz="0" w:space="0" w:color="auto"/>
                      </w:divBdr>
                    </w:div>
                  </w:divsChild>
                </w:div>
                <w:div w:id="2123642544">
                  <w:marLeft w:val="0"/>
                  <w:marRight w:val="0"/>
                  <w:marTop w:val="0"/>
                  <w:marBottom w:val="0"/>
                  <w:divBdr>
                    <w:top w:val="none" w:sz="0" w:space="0" w:color="auto"/>
                    <w:left w:val="none" w:sz="0" w:space="0" w:color="auto"/>
                    <w:bottom w:val="none" w:sz="0" w:space="0" w:color="auto"/>
                    <w:right w:val="none" w:sz="0" w:space="0" w:color="auto"/>
                  </w:divBdr>
                  <w:divsChild>
                    <w:div w:id="465048867">
                      <w:marLeft w:val="0"/>
                      <w:marRight w:val="0"/>
                      <w:marTop w:val="0"/>
                      <w:marBottom w:val="0"/>
                      <w:divBdr>
                        <w:top w:val="none" w:sz="0" w:space="0" w:color="auto"/>
                        <w:left w:val="none" w:sz="0" w:space="0" w:color="auto"/>
                        <w:bottom w:val="none" w:sz="0" w:space="0" w:color="auto"/>
                        <w:right w:val="none" w:sz="0" w:space="0" w:color="auto"/>
                      </w:divBdr>
                    </w:div>
                    <w:div w:id="146854644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9754928">
      <w:bodyDiv w:val="1"/>
      <w:marLeft w:val="0"/>
      <w:marRight w:val="0"/>
      <w:marTop w:val="0"/>
      <w:marBottom w:val="0"/>
      <w:divBdr>
        <w:top w:val="none" w:sz="0" w:space="0" w:color="auto"/>
        <w:left w:val="none" w:sz="0" w:space="0" w:color="auto"/>
        <w:bottom w:val="none" w:sz="0" w:space="0" w:color="auto"/>
        <w:right w:val="none" w:sz="0" w:space="0" w:color="auto"/>
      </w:divBdr>
      <w:divsChild>
        <w:div w:id="1344866485">
          <w:marLeft w:val="0"/>
          <w:marRight w:val="0"/>
          <w:marTop w:val="0"/>
          <w:marBottom w:val="0"/>
          <w:divBdr>
            <w:top w:val="none" w:sz="0" w:space="0" w:color="auto"/>
            <w:left w:val="none" w:sz="0" w:space="0" w:color="auto"/>
            <w:bottom w:val="none" w:sz="0" w:space="0" w:color="auto"/>
            <w:right w:val="none" w:sz="0" w:space="0" w:color="auto"/>
          </w:divBdr>
          <w:divsChild>
            <w:div w:id="695664929">
              <w:marLeft w:val="0"/>
              <w:marRight w:val="0"/>
              <w:marTop w:val="0"/>
              <w:marBottom w:val="0"/>
              <w:divBdr>
                <w:top w:val="none" w:sz="0" w:space="0" w:color="auto"/>
                <w:left w:val="none" w:sz="0" w:space="0" w:color="auto"/>
                <w:bottom w:val="none" w:sz="0" w:space="0" w:color="auto"/>
                <w:right w:val="none" w:sz="0" w:space="0" w:color="auto"/>
              </w:divBdr>
              <w:divsChild>
                <w:div w:id="967469798">
                  <w:marLeft w:val="0"/>
                  <w:marRight w:val="0"/>
                  <w:marTop w:val="0"/>
                  <w:marBottom w:val="0"/>
                  <w:divBdr>
                    <w:top w:val="none" w:sz="0" w:space="0" w:color="auto"/>
                    <w:left w:val="none" w:sz="0" w:space="0" w:color="auto"/>
                    <w:bottom w:val="none" w:sz="0" w:space="0" w:color="auto"/>
                    <w:right w:val="none" w:sz="0" w:space="0" w:color="auto"/>
                  </w:divBdr>
                </w:div>
                <w:div w:id="1258292696">
                  <w:marLeft w:val="0"/>
                  <w:marRight w:val="0"/>
                  <w:marTop w:val="120"/>
                  <w:marBottom w:val="0"/>
                  <w:divBdr>
                    <w:top w:val="none" w:sz="0" w:space="0" w:color="auto"/>
                    <w:left w:val="none" w:sz="0" w:space="0" w:color="auto"/>
                    <w:bottom w:val="none" w:sz="0" w:space="0" w:color="auto"/>
                    <w:right w:val="none" w:sz="0" w:space="0" w:color="auto"/>
                  </w:divBdr>
                </w:div>
              </w:divsChild>
            </w:div>
            <w:div w:id="1133520964">
              <w:marLeft w:val="0"/>
              <w:marRight w:val="0"/>
              <w:marTop w:val="0"/>
              <w:marBottom w:val="0"/>
              <w:divBdr>
                <w:top w:val="none" w:sz="0" w:space="0" w:color="auto"/>
                <w:left w:val="none" w:sz="0" w:space="0" w:color="auto"/>
                <w:bottom w:val="none" w:sz="0" w:space="0" w:color="auto"/>
                <w:right w:val="none" w:sz="0" w:space="0" w:color="auto"/>
              </w:divBdr>
              <w:divsChild>
                <w:div w:id="395132193">
                  <w:marLeft w:val="0"/>
                  <w:marRight w:val="0"/>
                  <w:marTop w:val="0"/>
                  <w:marBottom w:val="0"/>
                  <w:divBdr>
                    <w:top w:val="none" w:sz="0" w:space="0" w:color="auto"/>
                    <w:left w:val="none" w:sz="0" w:space="0" w:color="auto"/>
                    <w:bottom w:val="none" w:sz="0" w:space="0" w:color="auto"/>
                    <w:right w:val="none" w:sz="0" w:space="0" w:color="auto"/>
                  </w:divBdr>
                  <w:divsChild>
                    <w:div w:id="602106031">
                      <w:marLeft w:val="0"/>
                      <w:marRight w:val="0"/>
                      <w:marTop w:val="0"/>
                      <w:marBottom w:val="0"/>
                      <w:divBdr>
                        <w:top w:val="none" w:sz="0" w:space="0" w:color="auto"/>
                        <w:left w:val="none" w:sz="0" w:space="0" w:color="auto"/>
                        <w:bottom w:val="none" w:sz="0" w:space="0" w:color="auto"/>
                        <w:right w:val="none" w:sz="0" w:space="0" w:color="auto"/>
                      </w:divBdr>
                      <w:divsChild>
                        <w:div w:id="999305464">
                          <w:marLeft w:val="0"/>
                          <w:marRight w:val="0"/>
                          <w:marTop w:val="0"/>
                          <w:marBottom w:val="0"/>
                          <w:divBdr>
                            <w:top w:val="none" w:sz="0" w:space="0" w:color="auto"/>
                            <w:left w:val="none" w:sz="0" w:space="0" w:color="auto"/>
                            <w:bottom w:val="none" w:sz="0" w:space="0" w:color="auto"/>
                            <w:right w:val="none" w:sz="0" w:space="0" w:color="auto"/>
                          </w:divBdr>
                        </w:div>
                        <w:div w:id="1761833079">
                          <w:marLeft w:val="0"/>
                          <w:marRight w:val="0"/>
                          <w:marTop w:val="120"/>
                          <w:marBottom w:val="0"/>
                          <w:divBdr>
                            <w:top w:val="none" w:sz="0" w:space="0" w:color="auto"/>
                            <w:left w:val="none" w:sz="0" w:space="0" w:color="auto"/>
                            <w:bottom w:val="none" w:sz="0" w:space="0" w:color="auto"/>
                            <w:right w:val="none" w:sz="0" w:space="0" w:color="auto"/>
                          </w:divBdr>
                        </w:div>
                      </w:divsChild>
                    </w:div>
                    <w:div w:id="1137838724">
                      <w:marLeft w:val="0"/>
                      <w:marRight w:val="0"/>
                      <w:marTop w:val="0"/>
                      <w:marBottom w:val="0"/>
                      <w:divBdr>
                        <w:top w:val="none" w:sz="0" w:space="0" w:color="auto"/>
                        <w:left w:val="none" w:sz="0" w:space="0" w:color="auto"/>
                        <w:bottom w:val="none" w:sz="0" w:space="0" w:color="auto"/>
                        <w:right w:val="none" w:sz="0" w:space="0" w:color="auto"/>
                      </w:divBdr>
                      <w:divsChild>
                        <w:div w:id="287276961">
                          <w:marLeft w:val="0"/>
                          <w:marRight w:val="0"/>
                          <w:marTop w:val="120"/>
                          <w:marBottom w:val="0"/>
                          <w:divBdr>
                            <w:top w:val="none" w:sz="0" w:space="0" w:color="auto"/>
                            <w:left w:val="none" w:sz="0" w:space="0" w:color="auto"/>
                            <w:bottom w:val="none" w:sz="0" w:space="0" w:color="auto"/>
                            <w:right w:val="none" w:sz="0" w:space="0" w:color="auto"/>
                          </w:divBdr>
                        </w:div>
                        <w:div w:id="1589315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0431303">
                  <w:marLeft w:val="0"/>
                  <w:marRight w:val="0"/>
                  <w:marTop w:val="120"/>
                  <w:marBottom w:val="0"/>
                  <w:divBdr>
                    <w:top w:val="none" w:sz="0" w:space="0" w:color="auto"/>
                    <w:left w:val="none" w:sz="0" w:space="0" w:color="auto"/>
                    <w:bottom w:val="none" w:sz="0" w:space="0" w:color="auto"/>
                    <w:right w:val="none" w:sz="0" w:space="0" w:color="auto"/>
                  </w:divBdr>
                </w:div>
              </w:divsChild>
            </w:div>
            <w:div w:id="1814172492">
              <w:marLeft w:val="0"/>
              <w:marRight w:val="0"/>
              <w:marTop w:val="0"/>
              <w:marBottom w:val="0"/>
              <w:divBdr>
                <w:top w:val="none" w:sz="0" w:space="0" w:color="auto"/>
                <w:left w:val="none" w:sz="0" w:space="0" w:color="auto"/>
                <w:bottom w:val="none" w:sz="0" w:space="0" w:color="auto"/>
                <w:right w:val="none" w:sz="0" w:space="0" w:color="auto"/>
              </w:divBdr>
              <w:divsChild>
                <w:div w:id="1287200976">
                  <w:marLeft w:val="0"/>
                  <w:marRight w:val="0"/>
                  <w:marTop w:val="120"/>
                  <w:marBottom w:val="0"/>
                  <w:divBdr>
                    <w:top w:val="none" w:sz="0" w:space="0" w:color="auto"/>
                    <w:left w:val="none" w:sz="0" w:space="0" w:color="auto"/>
                    <w:bottom w:val="none" w:sz="0" w:space="0" w:color="auto"/>
                    <w:right w:val="none" w:sz="0" w:space="0" w:color="auto"/>
                  </w:divBdr>
                </w:div>
                <w:div w:id="1782605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612123">
      <w:bodyDiv w:val="1"/>
      <w:marLeft w:val="0"/>
      <w:marRight w:val="0"/>
      <w:marTop w:val="0"/>
      <w:marBottom w:val="0"/>
      <w:divBdr>
        <w:top w:val="none" w:sz="0" w:space="0" w:color="auto"/>
        <w:left w:val="none" w:sz="0" w:space="0" w:color="auto"/>
        <w:bottom w:val="none" w:sz="0" w:space="0" w:color="auto"/>
        <w:right w:val="none" w:sz="0" w:space="0" w:color="auto"/>
      </w:divBdr>
      <w:divsChild>
        <w:div w:id="1842742166">
          <w:marLeft w:val="0"/>
          <w:marRight w:val="0"/>
          <w:marTop w:val="0"/>
          <w:marBottom w:val="0"/>
          <w:divBdr>
            <w:top w:val="none" w:sz="0" w:space="0" w:color="auto"/>
            <w:left w:val="none" w:sz="0" w:space="0" w:color="auto"/>
            <w:bottom w:val="none" w:sz="0" w:space="0" w:color="auto"/>
            <w:right w:val="none" w:sz="0" w:space="0" w:color="auto"/>
          </w:divBdr>
        </w:div>
      </w:divsChild>
    </w:div>
    <w:div w:id="210730124">
      <w:bodyDiv w:val="1"/>
      <w:marLeft w:val="0"/>
      <w:marRight w:val="0"/>
      <w:marTop w:val="0"/>
      <w:marBottom w:val="0"/>
      <w:divBdr>
        <w:top w:val="none" w:sz="0" w:space="0" w:color="auto"/>
        <w:left w:val="none" w:sz="0" w:space="0" w:color="auto"/>
        <w:bottom w:val="none" w:sz="0" w:space="0" w:color="auto"/>
        <w:right w:val="none" w:sz="0" w:space="0" w:color="auto"/>
      </w:divBdr>
    </w:div>
    <w:div w:id="214901379">
      <w:bodyDiv w:val="1"/>
      <w:marLeft w:val="0"/>
      <w:marRight w:val="0"/>
      <w:marTop w:val="0"/>
      <w:marBottom w:val="0"/>
      <w:divBdr>
        <w:top w:val="none" w:sz="0" w:space="0" w:color="auto"/>
        <w:left w:val="none" w:sz="0" w:space="0" w:color="auto"/>
        <w:bottom w:val="none" w:sz="0" w:space="0" w:color="auto"/>
        <w:right w:val="none" w:sz="0" w:space="0" w:color="auto"/>
      </w:divBdr>
      <w:divsChild>
        <w:div w:id="4676878">
          <w:marLeft w:val="0"/>
          <w:marRight w:val="0"/>
          <w:marTop w:val="0"/>
          <w:marBottom w:val="0"/>
          <w:divBdr>
            <w:top w:val="none" w:sz="0" w:space="0" w:color="auto"/>
            <w:left w:val="none" w:sz="0" w:space="0" w:color="auto"/>
            <w:bottom w:val="none" w:sz="0" w:space="0" w:color="auto"/>
            <w:right w:val="none" w:sz="0" w:space="0" w:color="auto"/>
          </w:divBdr>
          <w:divsChild>
            <w:div w:id="23992348">
              <w:marLeft w:val="0"/>
              <w:marRight w:val="0"/>
              <w:marTop w:val="0"/>
              <w:marBottom w:val="0"/>
              <w:divBdr>
                <w:top w:val="none" w:sz="0" w:space="0" w:color="auto"/>
                <w:left w:val="none" w:sz="0" w:space="0" w:color="auto"/>
                <w:bottom w:val="none" w:sz="0" w:space="0" w:color="auto"/>
                <w:right w:val="none" w:sz="0" w:space="0" w:color="auto"/>
              </w:divBdr>
            </w:div>
          </w:divsChild>
        </w:div>
        <w:div w:id="388043984">
          <w:marLeft w:val="0"/>
          <w:marRight w:val="0"/>
          <w:marTop w:val="0"/>
          <w:marBottom w:val="0"/>
          <w:divBdr>
            <w:top w:val="none" w:sz="0" w:space="0" w:color="auto"/>
            <w:left w:val="none" w:sz="0" w:space="0" w:color="auto"/>
            <w:bottom w:val="none" w:sz="0" w:space="0" w:color="auto"/>
            <w:right w:val="none" w:sz="0" w:space="0" w:color="auto"/>
          </w:divBdr>
          <w:divsChild>
            <w:div w:id="1060439611">
              <w:marLeft w:val="0"/>
              <w:marRight w:val="0"/>
              <w:marTop w:val="0"/>
              <w:marBottom w:val="0"/>
              <w:divBdr>
                <w:top w:val="none" w:sz="0" w:space="0" w:color="auto"/>
                <w:left w:val="none" w:sz="0" w:space="0" w:color="auto"/>
                <w:bottom w:val="none" w:sz="0" w:space="0" w:color="auto"/>
                <w:right w:val="none" w:sz="0" w:space="0" w:color="auto"/>
              </w:divBdr>
            </w:div>
            <w:div w:id="1652325410">
              <w:marLeft w:val="0"/>
              <w:marRight w:val="0"/>
              <w:marTop w:val="120"/>
              <w:marBottom w:val="0"/>
              <w:divBdr>
                <w:top w:val="none" w:sz="0" w:space="0" w:color="auto"/>
                <w:left w:val="none" w:sz="0" w:space="0" w:color="auto"/>
                <w:bottom w:val="none" w:sz="0" w:space="0" w:color="auto"/>
                <w:right w:val="none" w:sz="0" w:space="0" w:color="auto"/>
              </w:divBdr>
            </w:div>
          </w:divsChild>
        </w:div>
        <w:div w:id="887692236">
          <w:marLeft w:val="0"/>
          <w:marRight w:val="0"/>
          <w:marTop w:val="0"/>
          <w:marBottom w:val="0"/>
          <w:divBdr>
            <w:top w:val="none" w:sz="0" w:space="0" w:color="auto"/>
            <w:left w:val="none" w:sz="0" w:space="0" w:color="auto"/>
            <w:bottom w:val="none" w:sz="0" w:space="0" w:color="auto"/>
            <w:right w:val="none" w:sz="0" w:space="0" w:color="auto"/>
          </w:divBdr>
          <w:divsChild>
            <w:div w:id="528416823">
              <w:marLeft w:val="0"/>
              <w:marRight w:val="0"/>
              <w:marTop w:val="0"/>
              <w:marBottom w:val="0"/>
              <w:divBdr>
                <w:top w:val="none" w:sz="0" w:space="0" w:color="auto"/>
                <w:left w:val="none" w:sz="0" w:space="0" w:color="auto"/>
                <w:bottom w:val="none" w:sz="0" w:space="0" w:color="auto"/>
                <w:right w:val="none" w:sz="0" w:space="0" w:color="auto"/>
              </w:divBdr>
              <w:divsChild>
                <w:div w:id="290139994">
                  <w:marLeft w:val="0"/>
                  <w:marRight w:val="0"/>
                  <w:marTop w:val="0"/>
                  <w:marBottom w:val="0"/>
                  <w:divBdr>
                    <w:top w:val="none" w:sz="0" w:space="0" w:color="auto"/>
                    <w:left w:val="none" w:sz="0" w:space="0" w:color="auto"/>
                    <w:bottom w:val="none" w:sz="0" w:space="0" w:color="auto"/>
                    <w:right w:val="none" w:sz="0" w:space="0" w:color="auto"/>
                  </w:divBdr>
                  <w:divsChild>
                    <w:div w:id="584267997">
                      <w:marLeft w:val="0"/>
                      <w:marRight w:val="0"/>
                      <w:marTop w:val="0"/>
                      <w:marBottom w:val="0"/>
                      <w:divBdr>
                        <w:top w:val="none" w:sz="0" w:space="0" w:color="auto"/>
                        <w:left w:val="none" w:sz="0" w:space="0" w:color="auto"/>
                        <w:bottom w:val="none" w:sz="0" w:space="0" w:color="auto"/>
                        <w:right w:val="none" w:sz="0" w:space="0" w:color="auto"/>
                      </w:divBdr>
                    </w:div>
                    <w:div w:id="1835028006">
                      <w:marLeft w:val="0"/>
                      <w:marRight w:val="0"/>
                      <w:marTop w:val="120"/>
                      <w:marBottom w:val="0"/>
                      <w:divBdr>
                        <w:top w:val="none" w:sz="0" w:space="0" w:color="auto"/>
                        <w:left w:val="none" w:sz="0" w:space="0" w:color="auto"/>
                        <w:bottom w:val="none" w:sz="0" w:space="0" w:color="auto"/>
                        <w:right w:val="none" w:sz="0" w:space="0" w:color="auto"/>
                      </w:divBdr>
                    </w:div>
                  </w:divsChild>
                </w:div>
                <w:div w:id="686950837">
                  <w:marLeft w:val="0"/>
                  <w:marRight w:val="0"/>
                  <w:marTop w:val="0"/>
                  <w:marBottom w:val="0"/>
                  <w:divBdr>
                    <w:top w:val="none" w:sz="0" w:space="0" w:color="auto"/>
                    <w:left w:val="none" w:sz="0" w:space="0" w:color="auto"/>
                    <w:bottom w:val="none" w:sz="0" w:space="0" w:color="auto"/>
                    <w:right w:val="none" w:sz="0" w:space="0" w:color="auto"/>
                  </w:divBdr>
                  <w:divsChild>
                    <w:div w:id="166605369">
                      <w:marLeft w:val="0"/>
                      <w:marRight w:val="0"/>
                      <w:marTop w:val="120"/>
                      <w:marBottom w:val="0"/>
                      <w:divBdr>
                        <w:top w:val="none" w:sz="0" w:space="0" w:color="auto"/>
                        <w:left w:val="none" w:sz="0" w:space="0" w:color="auto"/>
                        <w:bottom w:val="none" w:sz="0" w:space="0" w:color="auto"/>
                        <w:right w:val="none" w:sz="0" w:space="0" w:color="auto"/>
                      </w:divBdr>
                    </w:div>
                    <w:div w:id="1499228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4929848">
          <w:marLeft w:val="0"/>
          <w:marRight w:val="0"/>
          <w:marTop w:val="0"/>
          <w:marBottom w:val="0"/>
          <w:divBdr>
            <w:top w:val="none" w:sz="0" w:space="0" w:color="auto"/>
            <w:left w:val="none" w:sz="0" w:space="0" w:color="auto"/>
            <w:bottom w:val="none" w:sz="0" w:space="0" w:color="auto"/>
            <w:right w:val="none" w:sz="0" w:space="0" w:color="auto"/>
          </w:divBdr>
          <w:divsChild>
            <w:div w:id="1866752437">
              <w:marLeft w:val="0"/>
              <w:marRight w:val="0"/>
              <w:marTop w:val="120"/>
              <w:marBottom w:val="0"/>
              <w:divBdr>
                <w:top w:val="none" w:sz="0" w:space="0" w:color="auto"/>
                <w:left w:val="none" w:sz="0" w:space="0" w:color="auto"/>
                <w:bottom w:val="none" w:sz="0" w:space="0" w:color="auto"/>
                <w:right w:val="none" w:sz="0" w:space="0" w:color="auto"/>
              </w:divBdr>
            </w:div>
            <w:div w:id="1983465185">
              <w:marLeft w:val="0"/>
              <w:marRight w:val="0"/>
              <w:marTop w:val="0"/>
              <w:marBottom w:val="0"/>
              <w:divBdr>
                <w:top w:val="none" w:sz="0" w:space="0" w:color="auto"/>
                <w:left w:val="none" w:sz="0" w:space="0" w:color="auto"/>
                <w:bottom w:val="none" w:sz="0" w:space="0" w:color="auto"/>
                <w:right w:val="none" w:sz="0" w:space="0" w:color="auto"/>
              </w:divBdr>
            </w:div>
          </w:divsChild>
        </w:div>
        <w:div w:id="1826042923">
          <w:marLeft w:val="0"/>
          <w:marRight w:val="0"/>
          <w:marTop w:val="0"/>
          <w:marBottom w:val="0"/>
          <w:divBdr>
            <w:top w:val="none" w:sz="0" w:space="0" w:color="auto"/>
            <w:left w:val="none" w:sz="0" w:space="0" w:color="auto"/>
            <w:bottom w:val="none" w:sz="0" w:space="0" w:color="auto"/>
            <w:right w:val="none" w:sz="0" w:space="0" w:color="auto"/>
          </w:divBdr>
          <w:divsChild>
            <w:div w:id="1426918811">
              <w:marLeft w:val="0"/>
              <w:marRight w:val="0"/>
              <w:marTop w:val="0"/>
              <w:marBottom w:val="0"/>
              <w:divBdr>
                <w:top w:val="none" w:sz="0" w:space="0" w:color="auto"/>
                <w:left w:val="none" w:sz="0" w:space="0" w:color="auto"/>
                <w:bottom w:val="none" w:sz="0" w:space="0" w:color="auto"/>
                <w:right w:val="none" w:sz="0" w:space="0" w:color="auto"/>
              </w:divBdr>
            </w:div>
          </w:divsChild>
        </w:div>
        <w:div w:id="2117478231">
          <w:marLeft w:val="0"/>
          <w:marRight w:val="0"/>
          <w:marTop w:val="0"/>
          <w:marBottom w:val="0"/>
          <w:divBdr>
            <w:top w:val="none" w:sz="0" w:space="0" w:color="auto"/>
            <w:left w:val="none" w:sz="0" w:space="0" w:color="auto"/>
            <w:bottom w:val="none" w:sz="0" w:space="0" w:color="auto"/>
            <w:right w:val="none" w:sz="0" w:space="0" w:color="auto"/>
          </w:divBdr>
          <w:divsChild>
            <w:div w:id="2197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6359212">
      <w:bodyDiv w:val="1"/>
      <w:marLeft w:val="0"/>
      <w:marRight w:val="0"/>
      <w:marTop w:val="0"/>
      <w:marBottom w:val="0"/>
      <w:divBdr>
        <w:top w:val="none" w:sz="0" w:space="0" w:color="auto"/>
        <w:left w:val="none" w:sz="0" w:space="0" w:color="auto"/>
        <w:bottom w:val="none" w:sz="0" w:space="0" w:color="auto"/>
        <w:right w:val="none" w:sz="0" w:space="0" w:color="auto"/>
      </w:divBdr>
      <w:divsChild>
        <w:div w:id="74591309">
          <w:marLeft w:val="0"/>
          <w:marRight w:val="0"/>
          <w:marTop w:val="0"/>
          <w:marBottom w:val="0"/>
          <w:divBdr>
            <w:top w:val="none" w:sz="0" w:space="0" w:color="auto"/>
            <w:left w:val="none" w:sz="0" w:space="0" w:color="auto"/>
            <w:bottom w:val="none" w:sz="0" w:space="0" w:color="auto"/>
            <w:right w:val="none" w:sz="0" w:space="0" w:color="auto"/>
          </w:divBdr>
          <w:divsChild>
            <w:div w:id="1745031102">
              <w:marLeft w:val="0"/>
              <w:marRight w:val="0"/>
              <w:marTop w:val="0"/>
              <w:marBottom w:val="0"/>
              <w:divBdr>
                <w:top w:val="none" w:sz="0" w:space="0" w:color="auto"/>
                <w:left w:val="none" w:sz="0" w:space="0" w:color="auto"/>
                <w:bottom w:val="none" w:sz="0" w:space="0" w:color="auto"/>
                <w:right w:val="none" w:sz="0" w:space="0" w:color="auto"/>
              </w:divBdr>
            </w:div>
          </w:divsChild>
        </w:div>
        <w:div w:id="1262058388">
          <w:marLeft w:val="0"/>
          <w:marRight w:val="0"/>
          <w:marTop w:val="0"/>
          <w:marBottom w:val="0"/>
          <w:divBdr>
            <w:top w:val="none" w:sz="0" w:space="0" w:color="auto"/>
            <w:left w:val="none" w:sz="0" w:space="0" w:color="auto"/>
            <w:bottom w:val="none" w:sz="0" w:space="0" w:color="auto"/>
            <w:right w:val="none" w:sz="0" w:space="0" w:color="auto"/>
          </w:divBdr>
          <w:divsChild>
            <w:div w:id="219487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970269">
      <w:bodyDiv w:val="1"/>
      <w:marLeft w:val="0"/>
      <w:marRight w:val="0"/>
      <w:marTop w:val="0"/>
      <w:marBottom w:val="0"/>
      <w:divBdr>
        <w:top w:val="none" w:sz="0" w:space="0" w:color="auto"/>
        <w:left w:val="none" w:sz="0" w:space="0" w:color="auto"/>
        <w:bottom w:val="none" w:sz="0" w:space="0" w:color="auto"/>
        <w:right w:val="none" w:sz="0" w:space="0" w:color="auto"/>
      </w:divBdr>
      <w:divsChild>
        <w:div w:id="1308559291">
          <w:marLeft w:val="0"/>
          <w:marRight w:val="0"/>
          <w:marTop w:val="0"/>
          <w:marBottom w:val="0"/>
          <w:divBdr>
            <w:top w:val="none" w:sz="0" w:space="0" w:color="auto"/>
            <w:left w:val="none" w:sz="0" w:space="0" w:color="auto"/>
            <w:bottom w:val="none" w:sz="0" w:space="0" w:color="auto"/>
            <w:right w:val="none" w:sz="0" w:space="0" w:color="auto"/>
          </w:divBdr>
          <w:divsChild>
            <w:div w:id="148405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5867226">
      <w:bodyDiv w:val="1"/>
      <w:marLeft w:val="0"/>
      <w:marRight w:val="0"/>
      <w:marTop w:val="0"/>
      <w:marBottom w:val="0"/>
      <w:divBdr>
        <w:top w:val="none" w:sz="0" w:space="0" w:color="auto"/>
        <w:left w:val="none" w:sz="0" w:space="0" w:color="auto"/>
        <w:bottom w:val="none" w:sz="0" w:space="0" w:color="auto"/>
        <w:right w:val="none" w:sz="0" w:space="0" w:color="auto"/>
      </w:divBdr>
      <w:divsChild>
        <w:div w:id="1246644720">
          <w:marLeft w:val="0"/>
          <w:marRight w:val="0"/>
          <w:marTop w:val="0"/>
          <w:marBottom w:val="0"/>
          <w:divBdr>
            <w:top w:val="none" w:sz="0" w:space="0" w:color="auto"/>
            <w:left w:val="none" w:sz="0" w:space="0" w:color="auto"/>
            <w:bottom w:val="none" w:sz="0" w:space="0" w:color="auto"/>
            <w:right w:val="none" w:sz="0" w:space="0" w:color="auto"/>
          </w:divBdr>
          <w:divsChild>
            <w:div w:id="356589694">
              <w:marLeft w:val="0"/>
              <w:marRight w:val="0"/>
              <w:marTop w:val="0"/>
              <w:marBottom w:val="0"/>
              <w:divBdr>
                <w:top w:val="none" w:sz="0" w:space="0" w:color="auto"/>
                <w:left w:val="none" w:sz="0" w:space="0" w:color="auto"/>
                <w:bottom w:val="none" w:sz="0" w:space="0" w:color="auto"/>
                <w:right w:val="none" w:sz="0" w:space="0" w:color="auto"/>
              </w:divBdr>
              <w:divsChild>
                <w:div w:id="207255487">
                  <w:marLeft w:val="0"/>
                  <w:marRight w:val="0"/>
                  <w:marTop w:val="0"/>
                  <w:marBottom w:val="0"/>
                  <w:divBdr>
                    <w:top w:val="none" w:sz="0" w:space="0" w:color="auto"/>
                    <w:left w:val="none" w:sz="0" w:space="0" w:color="auto"/>
                    <w:bottom w:val="none" w:sz="0" w:space="0" w:color="auto"/>
                    <w:right w:val="none" w:sz="0" w:space="0" w:color="auto"/>
                  </w:divBdr>
                </w:div>
                <w:div w:id="1382948082">
                  <w:marLeft w:val="0"/>
                  <w:marRight w:val="0"/>
                  <w:marTop w:val="120"/>
                  <w:marBottom w:val="0"/>
                  <w:divBdr>
                    <w:top w:val="none" w:sz="0" w:space="0" w:color="auto"/>
                    <w:left w:val="none" w:sz="0" w:space="0" w:color="auto"/>
                    <w:bottom w:val="none" w:sz="0" w:space="0" w:color="auto"/>
                    <w:right w:val="none" w:sz="0" w:space="0" w:color="auto"/>
                  </w:divBdr>
                </w:div>
              </w:divsChild>
            </w:div>
            <w:div w:id="1248926557">
              <w:marLeft w:val="0"/>
              <w:marRight w:val="0"/>
              <w:marTop w:val="0"/>
              <w:marBottom w:val="0"/>
              <w:divBdr>
                <w:top w:val="none" w:sz="0" w:space="0" w:color="auto"/>
                <w:left w:val="none" w:sz="0" w:space="0" w:color="auto"/>
                <w:bottom w:val="none" w:sz="0" w:space="0" w:color="auto"/>
                <w:right w:val="none" w:sz="0" w:space="0" w:color="auto"/>
              </w:divBdr>
              <w:divsChild>
                <w:div w:id="167647550">
                  <w:marLeft w:val="0"/>
                  <w:marRight w:val="0"/>
                  <w:marTop w:val="120"/>
                  <w:marBottom w:val="0"/>
                  <w:divBdr>
                    <w:top w:val="none" w:sz="0" w:space="0" w:color="auto"/>
                    <w:left w:val="none" w:sz="0" w:space="0" w:color="auto"/>
                    <w:bottom w:val="none" w:sz="0" w:space="0" w:color="auto"/>
                    <w:right w:val="none" w:sz="0" w:space="0" w:color="auto"/>
                  </w:divBdr>
                </w:div>
                <w:div w:id="1683361338">
                  <w:marLeft w:val="0"/>
                  <w:marRight w:val="0"/>
                  <w:marTop w:val="0"/>
                  <w:marBottom w:val="0"/>
                  <w:divBdr>
                    <w:top w:val="none" w:sz="0" w:space="0" w:color="auto"/>
                    <w:left w:val="none" w:sz="0" w:space="0" w:color="auto"/>
                    <w:bottom w:val="none" w:sz="0" w:space="0" w:color="auto"/>
                    <w:right w:val="none" w:sz="0" w:space="0" w:color="auto"/>
                  </w:divBdr>
                </w:div>
              </w:divsChild>
            </w:div>
            <w:div w:id="1457336143">
              <w:marLeft w:val="0"/>
              <w:marRight w:val="0"/>
              <w:marTop w:val="0"/>
              <w:marBottom w:val="0"/>
              <w:divBdr>
                <w:top w:val="none" w:sz="0" w:space="0" w:color="auto"/>
                <w:left w:val="none" w:sz="0" w:space="0" w:color="auto"/>
                <w:bottom w:val="none" w:sz="0" w:space="0" w:color="auto"/>
                <w:right w:val="none" w:sz="0" w:space="0" w:color="auto"/>
              </w:divBdr>
              <w:divsChild>
                <w:div w:id="1196045001">
                  <w:marLeft w:val="0"/>
                  <w:marRight w:val="0"/>
                  <w:marTop w:val="120"/>
                  <w:marBottom w:val="0"/>
                  <w:divBdr>
                    <w:top w:val="none" w:sz="0" w:space="0" w:color="auto"/>
                    <w:left w:val="none" w:sz="0" w:space="0" w:color="auto"/>
                    <w:bottom w:val="none" w:sz="0" w:space="0" w:color="auto"/>
                    <w:right w:val="none" w:sz="0" w:space="0" w:color="auto"/>
                  </w:divBdr>
                </w:div>
                <w:div w:id="1605578484">
                  <w:marLeft w:val="0"/>
                  <w:marRight w:val="0"/>
                  <w:marTop w:val="0"/>
                  <w:marBottom w:val="0"/>
                  <w:divBdr>
                    <w:top w:val="none" w:sz="0" w:space="0" w:color="auto"/>
                    <w:left w:val="none" w:sz="0" w:space="0" w:color="auto"/>
                    <w:bottom w:val="none" w:sz="0" w:space="0" w:color="auto"/>
                    <w:right w:val="none" w:sz="0" w:space="0" w:color="auto"/>
                  </w:divBdr>
                </w:div>
              </w:divsChild>
            </w:div>
            <w:div w:id="1464812514">
              <w:marLeft w:val="0"/>
              <w:marRight w:val="0"/>
              <w:marTop w:val="0"/>
              <w:marBottom w:val="0"/>
              <w:divBdr>
                <w:top w:val="none" w:sz="0" w:space="0" w:color="auto"/>
                <w:left w:val="none" w:sz="0" w:space="0" w:color="auto"/>
                <w:bottom w:val="none" w:sz="0" w:space="0" w:color="auto"/>
                <w:right w:val="none" w:sz="0" w:space="0" w:color="auto"/>
              </w:divBdr>
              <w:divsChild>
                <w:div w:id="669022906">
                  <w:marLeft w:val="0"/>
                  <w:marRight w:val="0"/>
                  <w:marTop w:val="0"/>
                  <w:marBottom w:val="0"/>
                  <w:divBdr>
                    <w:top w:val="none" w:sz="0" w:space="0" w:color="auto"/>
                    <w:left w:val="none" w:sz="0" w:space="0" w:color="auto"/>
                    <w:bottom w:val="none" w:sz="0" w:space="0" w:color="auto"/>
                    <w:right w:val="none" w:sz="0" w:space="0" w:color="auto"/>
                  </w:divBdr>
                </w:div>
                <w:div w:id="210078359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36675838">
      <w:bodyDiv w:val="1"/>
      <w:marLeft w:val="0"/>
      <w:marRight w:val="0"/>
      <w:marTop w:val="0"/>
      <w:marBottom w:val="0"/>
      <w:divBdr>
        <w:top w:val="none" w:sz="0" w:space="0" w:color="auto"/>
        <w:left w:val="none" w:sz="0" w:space="0" w:color="auto"/>
        <w:bottom w:val="none" w:sz="0" w:space="0" w:color="auto"/>
        <w:right w:val="none" w:sz="0" w:space="0" w:color="auto"/>
      </w:divBdr>
      <w:divsChild>
        <w:div w:id="797145861">
          <w:marLeft w:val="0"/>
          <w:marRight w:val="0"/>
          <w:marTop w:val="0"/>
          <w:marBottom w:val="0"/>
          <w:divBdr>
            <w:top w:val="none" w:sz="0" w:space="0" w:color="auto"/>
            <w:left w:val="none" w:sz="0" w:space="0" w:color="auto"/>
            <w:bottom w:val="none" w:sz="0" w:space="0" w:color="auto"/>
            <w:right w:val="none" w:sz="0" w:space="0" w:color="auto"/>
          </w:divBdr>
        </w:div>
      </w:divsChild>
    </w:div>
    <w:div w:id="239413049">
      <w:bodyDiv w:val="1"/>
      <w:marLeft w:val="0"/>
      <w:marRight w:val="0"/>
      <w:marTop w:val="0"/>
      <w:marBottom w:val="0"/>
      <w:divBdr>
        <w:top w:val="none" w:sz="0" w:space="0" w:color="auto"/>
        <w:left w:val="none" w:sz="0" w:space="0" w:color="auto"/>
        <w:bottom w:val="none" w:sz="0" w:space="0" w:color="auto"/>
        <w:right w:val="none" w:sz="0" w:space="0" w:color="auto"/>
      </w:divBdr>
      <w:divsChild>
        <w:div w:id="818959603">
          <w:marLeft w:val="0"/>
          <w:marRight w:val="0"/>
          <w:marTop w:val="0"/>
          <w:marBottom w:val="0"/>
          <w:divBdr>
            <w:top w:val="none" w:sz="0" w:space="0" w:color="auto"/>
            <w:left w:val="none" w:sz="0" w:space="0" w:color="auto"/>
            <w:bottom w:val="none" w:sz="0" w:space="0" w:color="auto"/>
            <w:right w:val="none" w:sz="0" w:space="0" w:color="auto"/>
          </w:divBdr>
          <w:divsChild>
            <w:div w:id="849754064">
              <w:marLeft w:val="0"/>
              <w:marRight w:val="0"/>
              <w:marTop w:val="0"/>
              <w:marBottom w:val="0"/>
              <w:divBdr>
                <w:top w:val="none" w:sz="0" w:space="0" w:color="auto"/>
                <w:left w:val="none" w:sz="0" w:space="0" w:color="auto"/>
                <w:bottom w:val="none" w:sz="0" w:space="0" w:color="auto"/>
                <w:right w:val="none" w:sz="0" w:space="0" w:color="auto"/>
              </w:divBdr>
            </w:div>
          </w:divsChild>
        </w:div>
        <w:div w:id="842013616">
          <w:marLeft w:val="0"/>
          <w:marRight w:val="0"/>
          <w:marTop w:val="0"/>
          <w:marBottom w:val="0"/>
          <w:divBdr>
            <w:top w:val="none" w:sz="0" w:space="0" w:color="auto"/>
            <w:left w:val="none" w:sz="0" w:space="0" w:color="auto"/>
            <w:bottom w:val="none" w:sz="0" w:space="0" w:color="auto"/>
            <w:right w:val="none" w:sz="0" w:space="0" w:color="auto"/>
          </w:divBdr>
          <w:divsChild>
            <w:div w:id="891234618">
              <w:marLeft w:val="0"/>
              <w:marRight w:val="0"/>
              <w:marTop w:val="0"/>
              <w:marBottom w:val="0"/>
              <w:divBdr>
                <w:top w:val="none" w:sz="0" w:space="0" w:color="auto"/>
                <w:left w:val="none" w:sz="0" w:space="0" w:color="auto"/>
                <w:bottom w:val="none" w:sz="0" w:space="0" w:color="auto"/>
                <w:right w:val="none" w:sz="0" w:space="0" w:color="auto"/>
              </w:divBdr>
            </w:div>
          </w:divsChild>
        </w:div>
        <w:div w:id="852452100">
          <w:marLeft w:val="0"/>
          <w:marRight w:val="0"/>
          <w:marTop w:val="0"/>
          <w:marBottom w:val="0"/>
          <w:divBdr>
            <w:top w:val="none" w:sz="0" w:space="0" w:color="auto"/>
            <w:left w:val="none" w:sz="0" w:space="0" w:color="auto"/>
            <w:bottom w:val="none" w:sz="0" w:space="0" w:color="auto"/>
            <w:right w:val="none" w:sz="0" w:space="0" w:color="auto"/>
          </w:divBdr>
          <w:divsChild>
            <w:div w:id="501119119">
              <w:marLeft w:val="0"/>
              <w:marRight w:val="0"/>
              <w:marTop w:val="0"/>
              <w:marBottom w:val="0"/>
              <w:divBdr>
                <w:top w:val="none" w:sz="0" w:space="0" w:color="auto"/>
                <w:left w:val="none" w:sz="0" w:space="0" w:color="auto"/>
                <w:bottom w:val="none" w:sz="0" w:space="0" w:color="auto"/>
                <w:right w:val="none" w:sz="0" w:space="0" w:color="auto"/>
              </w:divBdr>
              <w:divsChild>
                <w:div w:id="510611322">
                  <w:marLeft w:val="0"/>
                  <w:marRight w:val="0"/>
                  <w:marTop w:val="0"/>
                  <w:marBottom w:val="0"/>
                  <w:divBdr>
                    <w:top w:val="none" w:sz="0" w:space="0" w:color="auto"/>
                    <w:left w:val="none" w:sz="0" w:space="0" w:color="auto"/>
                    <w:bottom w:val="none" w:sz="0" w:space="0" w:color="auto"/>
                    <w:right w:val="none" w:sz="0" w:space="0" w:color="auto"/>
                  </w:divBdr>
                  <w:divsChild>
                    <w:div w:id="39210520">
                      <w:marLeft w:val="0"/>
                      <w:marRight w:val="0"/>
                      <w:marTop w:val="120"/>
                      <w:marBottom w:val="0"/>
                      <w:divBdr>
                        <w:top w:val="none" w:sz="0" w:space="0" w:color="auto"/>
                        <w:left w:val="none" w:sz="0" w:space="0" w:color="auto"/>
                        <w:bottom w:val="none" w:sz="0" w:space="0" w:color="auto"/>
                        <w:right w:val="none" w:sz="0" w:space="0" w:color="auto"/>
                      </w:divBdr>
                    </w:div>
                    <w:div w:id="545214233">
                      <w:marLeft w:val="0"/>
                      <w:marRight w:val="0"/>
                      <w:marTop w:val="0"/>
                      <w:marBottom w:val="0"/>
                      <w:divBdr>
                        <w:top w:val="none" w:sz="0" w:space="0" w:color="auto"/>
                        <w:left w:val="none" w:sz="0" w:space="0" w:color="auto"/>
                        <w:bottom w:val="none" w:sz="0" w:space="0" w:color="auto"/>
                        <w:right w:val="none" w:sz="0" w:space="0" w:color="auto"/>
                      </w:divBdr>
                    </w:div>
                  </w:divsChild>
                </w:div>
                <w:div w:id="1212041117">
                  <w:marLeft w:val="0"/>
                  <w:marRight w:val="0"/>
                  <w:marTop w:val="0"/>
                  <w:marBottom w:val="0"/>
                  <w:divBdr>
                    <w:top w:val="none" w:sz="0" w:space="0" w:color="auto"/>
                    <w:left w:val="none" w:sz="0" w:space="0" w:color="auto"/>
                    <w:bottom w:val="none" w:sz="0" w:space="0" w:color="auto"/>
                    <w:right w:val="none" w:sz="0" w:space="0" w:color="auto"/>
                  </w:divBdr>
                  <w:divsChild>
                    <w:div w:id="30691992">
                      <w:marLeft w:val="0"/>
                      <w:marRight w:val="0"/>
                      <w:marTop w:val="120"/>
                      <w:marBottom w:val="0"/>
                      <w:divBdr>
                        <w:top w:val="none" w:sz="0" w:space="0" w:color="auto"/>
                        <w:left w:val="none" w:sz="0" w:space="0" w:color="auto"/>
                        <w:bottom w:val="none" w:sz="0" w:space="0" w:color="auto"/>
                        <w:right w:val="none" w:sz="0" w:space="0" w:color="auto"/>
                      </w:divBdr>
                    </w:div>
                    <w:div w:id="55451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656303">
          <w:marLeft w:val="0"/>
          <w:marRight w:val="0"/>
          <w:marTop w:val="0"/>
          <w:marBottom w:val="0"/>
          <w:divBdr>
            <w:top w:val="none" w:sz="0" w:space="0" w:color="auto"/>
            <w:left w:val="none" w:sz="0" w:space="0" w:color="auto"/>
            <w:bottom w:val="none" w:sz="0" w:space="0" w:color="auto"/>
            <w:right w:val="none" w:sz="0" w:space="0" w:color="auto"/>
          </w:divBdr>
        </w:div>
        <w:div w:id="1988974695">
          <w:marLeft w:val="0"/>
          <w:marRight w:val="0"/>
          <w:marTop w:val="0"/>
          <w:marBottom w:val="0"/>
          <w:divBdr>
            <w:top w:val="none" w:sz="0" w:space="0" w:color="auto"/>
            <w:left w:val="none" w:sz="0" w:space="0" w:color="auto"/>
            <w:bottom w:val="none" w:sz="0" w:space="0" w:color="auto"/>
            <w:right w:val="none" w:sz="0" w:space="0" w:color="auto"/>
          </w:divBdr>
          <w:divsChild>
            <w:div w:id="914707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2952883">
      <w:bodyDiv w:val="1"/>
      <w:marLeft w:val="0"/>
      <w:marRight w:val="0"/>
      <w:marTop w:val="0"/>
      <w:marBottom w:val="0"/>
      <w:divBdr>
        <w:top w:val="none" w:sz="0" w:space="0" w:color="auto"/>
        <w:left w:val="none" w:sz="0" w:space="0" w:color="auto"/>
        <w:bottom w:val="none" w:sz="0" w:space="0" w:color="auto"/>
        <w:right w:val="none" w:sz="0" w:space="0" w:color="auto"/>
      </w:divBdr>
      <w:divsChild>
        <w:div w:id="1635597757">
          <w:marLeft w:val="0"/>
          <w:marRight w:val="0"/>
          <w:marTop w:val="0"/>
          <w:marBottom w:val="0"/>
          <w:divBdr>
            <w:top w:val="none" w:sz="0" w:space="0" w:color="auto"/>
            <w:left w:val="none" w:sz="0" w:space="0" w:color="auto"/>
            <w:bottom w:val="none" w:sz="0" w:space="0" w:color="auto"/>
            <w:right w:val="none" w:sz="0" w:space="0" w:color="auto"/>
          </w:divBdr>
          <w:divsChild>
            <w:div w:id="123544968">
              <w:marLeft w:val="0"/>
              <w:marRight w:val="0"/>
              <w:marTop w:val="0"/>
              <w:marBottom w:val="0"/>
              <w:divBdr>
                <w:top w:val="none" w:sz="0" w:space="0" w:color="auto"/>
                <w:left w:val="none" w:sz="0" w:space="0" w:color="auto"/>
                <w:bottom w:val="none" w:sz="0" w:space="0" w:color="auto"/>
                <w:right w:val="none" w:sz="0" w:space="0" w:color="auto"/>
              </w:divBdr>
              <w:divsChild>
                <w:div w:id="79955794">
                  <w:marLeft w:val="0"/>
                  <w:marRight w:val="0"/>
                  <w:marTop w:val="0"/>
                  <w:marBottom w:val="0"/>
                  <w:divBdr>
                    <w:top w:val="none" w:sz="0" w:space="0" w:color="auto"/>
                    <w:left w:val="none" w:sz="0" w:space="0" w:color="auto"/>
                    <w:bottom w:val="none" w:sz="0" w:space="0" w:color="auto"/>
                    <w:right w:val="none" w:sz="0" w:space="0" w:color="auto"/>
                  </w:divBdr>
                  <w:divsChild>
                    <w:div w:id="687172004">
                      <w:marLeft w:val="0"/>
                      <w:marRight w:val="0"/>
                      <w:marTop w:val="120"/>
                      <w:marBottom w:val="0"/>
                      <w:divBdr>
                        <w:top w:val="none" w:sz="0" w:space="0" w:color="auto"/>
                        <w:left w:val="none" w:sz="0" w:space="0" w:color="auto"/>
                        <w:bottom w:val="none" w:sz="0" w:space="0" w:color="auto"/>
                        <w:right w:val="none" w:sz="0" w:space="0" w:color="auto"/>
                      </w:divBdr>
                    </w:div>
                    <w:div w:id="1755734743">
                      <w:marLeft w:val="0"/>
                      <w:marRight w:val="0"/>
                      <w:marTop w:val="0"/>
                      <w:marBottom w:val="0"/>
                      <w:divBdr>
                        <w:top w:val="none" w:sz="0" w:space="0" w:color="auto"/>
                        <w:left w:val="none" w:sz="0" w:space="0" w:color="auto"/>
                        <w:bottom w:val="none" w:sz="0" w:space="0" w:color="auto"/>
                        <w:right w:val="none" w:sz="0" w:space="0" w:color="auto"/>
                      </w:divBdr>
                    </w:div>
                  </w:divsChild>
                </w:div>
                <w:div w:id="316347344">
                  <w:marLeft w:val="0"/>
                  <w:marRight w:val="0"/>
                  <w:marTop w:val="0"/>
                  <w:marBottom w:val="0"/>
                  <w:divBdr>
                    <w:top w:val="none" w:sz="0" w:space="0" w:color="auto"/>
                    <w:left w:val="none" w:sz="0" w:space="0" w:color="auto"/>
                    <w:bottom w:val="none" w:sz="0" w:space="0" w:color="auto"/>
                    <w:right w:val="none" w:sz="0" w:space="0" w:color="auto"/>
                  </w:divBdr>
                  <w:divsChild>
                    <w:div w:id="293021941">
                      <w:marLeft w:val="0"/>
                      <w:marRight w:val="0"/>
                      <w:marTop w:val="120"/>
                      <w:marBottom w:val="0"/>
                      <w:divBdr>
                        <w:top w:val="none" w:sz="0" w:space="0" w:color="auto"/>
                        <w:left w:val="none" w:sz="0" w:space="0" w:color="auto"/>
                        <w:bottom w:val="none" w:sz="0" w:space="0" w:color="auto"/>
                        <w:right w:val="none" w:sz="0" w:space="0" w:color="auto"/>
                      </w:divBdr>
                    </w:div>
                    <w:div w:id="1347168416">
                      <w:marLeft w:val="0"/>
                      <w:marRight w:val="0"/>
                      <w:marTop w:val="0"/>
                      <w:marBottom w:val="0"/>
                      <w:divBdr>
                        <w:top w:val="none" w:sz="0" w:space="0" w:color="auto"/>
                        <w:left w:val="none" w:sz="0" w:space="0" w:color="auto"/>
                        <w:bottom w:val="none" w:sz="0" w:space="0" w:color="auto"/>
                        <w:right w:val="none" w:sz="0" w:space="0" w:color="auto"/>
                      </w:divBdr>
                    </w:div>
                  </w:divsChild>
                </w:div>
                <w:div w:id="359666189">
                  <w:marLeft w:val="0"/>
                  <w:marRight w:val="0"/>
                  <w:marTop w:val="0"/>
                  <w:marBottom w:val="0"/>
                  <w:divBdr>
                    <w:top w:val="none" w:sz="0" w:space="0" w:color="auto"/>
                    <w:left w:val="none" w:sz="0" w:space="0" w:color="auto"/>
                    <w:bottom w:val="none" w:sz="0" w:space="0" w:color="auto"/>
                    <w:right w:val="none" w:sz="0" w:space="0" w:color="auto"/>
                  </w:divBdr>
                  <w:divsChild>
                    <w:div w:id="737049457">
                      <w:marLeft w:val="0"/>
                      <w:marRight w:val="0"/>
                      <w:marTop w:val="120"/>
                      <w:marBottom w:val="0"/>
                      <w:divBdr>
                        <w:top w:val="none" w:sz="0" w:space="0" w:color="auto"/>
                        <w:left w:val="none" w:sz="0" w:space="0" w:color="auto"/>
                        <w:bottom w:val="none" w:sz="0" w:space="0" w:color="auto"/>
                        <w:right w:val="none" w:sz="0" w:space="0" w:color="auto"/>
                      </w:divBdr>
                    </w:div>
                    <w:div w:id="1361586833">
                      <w:marLeft w:val="0"/>
                      <w:marRight w:val="0"/>
                      <w:marTop w:val="0"/>
                      <w:marBottom w:val="0"/>
                      <w:divBdr>
                        <w:top w:val="none" w:sz="0" w:space="0" w:color="auto"/>
                        <w:left w:val="none" w:sz="0" w:space="0" w:color="auto"/>
                        <w:bottom w:val="none" w:sz="0" w:space="0" w:color="auto"/>
                        <w:right w:val="none" w:sz="0" w:space="0" w:color="auto"/>
                      </w:divBdr>
                    </w:div>
                  </w:divsChild>
                </w:div>
                <w:div w:id="759062275">
                  <w:marLeft w:val="0"/>
                  <w:marRight w:val="0"/>
                  <w:marTop w:val="0"/>
                  <w:marBottom w:val="0"/>
                  <w:divBdr>
                    <w:top w:val="none" w:sz="0" w:space="0" w:color="auto"/>
                    <w:left w:val="none" w:sz="0" w:space="0" w:color="auto"/>
                    <w:bottom w:val="none" w:sz="0" w:space="0" w:color="auto"/>
                    <w:right w:val="none" w:sz="0" w:space="0" w:color="auto"/>
                  </w:divBdr>
                  <w:divsChild>
                    <w:div w:id="1890141282">
                      <w:marLeft w:val="0"/>
                      <w:marRight w:val="0"/>
                      <w:marTop w:val="120"/>
                      <w:marBottom w:val="0"/>
                      <w:divBdr>
                        <w:top w:val="none" w:sz="0" w:space="0" w:color="auto"/>
                        <w:left w:val="none" w:sz="0" w:space="0" w:color="auto"/>
                        <w:bottom w:val="none" w:sz="0" w:space="0" w:color="auto"/>
                        <w:right w:val="none" w:sz="0" w:space="0" w:color="auto"/>
                      </w:divBdr>
                    </w:div>
                    <w:div w:id="2075080849">
                      <w:marLeft w:val="0"/>
                      <w:marRight w:val="0"/>
                      <w:marTop w:val="0"/>
                      <w:marBottom w:val="0"/>
                      <w:divBdr>
                        <w:top w:val="none" w:sz="0" w:space="0" w:color="auto"/>
                        <w:left w:val="none" w:sz="0" w:space="0" w:color="auto"/>
                        <w:bottom w:val="none" w:sz="0" w:space="0" w:color="auto"/>
                        <w:right w:val="none" w:sz="0" w:space="0" w:color="auto"/>
                      </w:divBdr>
                    </w:div>
                  </w:divsChild>
                </w:div>
                <w:div w:id="1201749351">
                  <w:marLeft w:val="0"/>
                  <w:marRight w:val="0"/>
                  <w:marTop w:val="0"/>
                  <w:marBottom w:val="0"/>
                  <w:divBdr>
                    <w:top w:val="none" w:sz="0" w:space="0" w:color="auto"/>
                    <w:left w:val="none" w:sz="0" w:space="0" w:color="auto"/>
                    <w:bottom w:val="none" w:sz="0" w:space="0" w:color="auto"/>
                    <w:right w:val="none" w:sz="0" w:space="0" w:color="auto"/>
                  </w:divBdr>
                  <w:divsChild>
                    <w:div w:id="723141171">
                      <w:marLeft w:val="0"/>
                      <w:marRight w:val="0"/>
                      <w:marTop w:val="120"/>
                      <w:marBottom w:val="0"/>
                      <w:divBdr>
                        <w:top w:val="none" w:sz="0" w:space="0" w:color="auto"/>
                        <w:left w:val="none" w:sz="0" w:space="0" w:color="auto"/>
                        <w:bottom w:val="none" w:sz="0" w:space="0" w:color="auto"/>
                        <w:right w:val="none" w:sz="0" w:space="0" w:color="auto"/>
                      </w:divBdr>
                    </w:div>
                    <w:div w:id="1182626082">
                      <w:marLeft w:val="0"/>
                      <w:marRight w:val="0"/>
                      <w:marTop w:val="0"/>
                      <w:marBottom w:val="0"/>
                      <w:divBdr>
                        <w:top w:val="none" w:sz="0" w:space="0" w:color="auto"/>
                        <w:left w:val="none" w:sz="0" w:space="0" w:color="auto"/>
                        <w:bottom w:val="none" w:sz="0" w:space="0" w:color="auto"/>
                        <w:right w:val="none" w:sz="0" w:space="0" w:color="auto"/>
                      </w:divBdr>
                    </w:div>
                  </w:divsChild>
                </w:div>
                <w:div w:id="1735665887">
                  <w:marLeft w:val="0"/>
                  <w:marRight w:val="0"/>
                  <w:marTop w:val="0"/>
                  <w:marBottom w:val="0"/>
                  <w:divBdr>
                    <w:top w:val="none" w:sz="0" w:space="0" w:color="auto"/>
                    <w:left w:val="none" w:sz="0" w:space="0" w:color="auto"/>
                    <w:bottom w:val="none" w:sz="0" w:space="0" w:color="auto"/>
                    <w:right w:val="none" w:sz="0" w:space="0" w:color="auto"/>
                  </w:divBdr>
                  <w:divsChild>
                    <w:div w:id="940839172">
                      <w:marLeft w:val="0"/>
                      <w:marRight w:val="0"/>
                      <w:marTop w:val="120"/>
                      <w:marBottom w:val="0"/>
                      <w:divBdr>
                        <w:top w:val="none" w:sz="0" w:space="0" w:color="auto"/>
                        <w:left w:val="none" w:sz="0" w:space="0" w:color="auto"/>
                        <w:bottom w:val="none" w:sz="0" w:space="0" w:color="auto"/>
                        <w:right w:val="none" w:sz="0" w:space="0" w:color="auto"/>
                      </w:divBdr>
                    </w:div>
                    <w:div w:id="1685786097">
                      <w:marLeft w:val="0"/>
                      <w:marRight w:val="0"/>
                      <w:marTop w:val="0"/>
                      <w:marBottom w:val="0"/>
                      <w:divBdr>
                        <w:top w:val="none" w:sz="0" w:space="0" w:color="auto"/>
                        <w:left w:val="none" w:sz="0" w:space="0" w:color="auto"/>
                        <w:bottom w:val="none" w:sz="0" w:space="0" w:color="auto"/>
                        <w:right w:val="none" w:sz="0" w:space="0" w:color="auto"/>
                      </w:divBdr>
                    </w:div>
                  </w:divsChild>
                </w:div>
                <w:div w:id="1763602082">
                  <w:marLeft w:val="0"/>
                  <w:marRight w:val="0"/>
                  <w:marTop w:val="0"/>
                  <w:marBottom w:val="0"/>
                  <w:divBdr>
                    <w:top w:val="none" w:sz="0" w:space="0" w:color="auto"/>
                    <w:left w:val="none" w:sz="0" w:space="0" w:color="auto"/>
                    <w:bottom w:val="none" w:sz="0" w:space="0" w:color="auto"/>
                    <w:right w:val="none" w:sz="0" w:space="0" w:color="auto"/>
                  </w:divBdr>
                  <w:divsChild>
                    <w:div w:id="1348797109">
                      <w:marLeft w:val="0"/>
                      <w:marRight w:val="0"/>
                      <w:marTop w:val="0"/>
                      <w:marBottom w:val="0"/>
                      <w:divBdr>
                        <w:top w:val="none" w:sz="0" w:space="0" w:color="auto"/>
                        <w:left w:val="none" w:sz="0" w:space="0" w:color="auto"/>
                        <w:bottom w:val="none" w:sz="0" w:space="0" w:color="auto"/>
                        <w:right w:val="none" w:sz="0" w:space="0" w:color="auto"/>
                      </w:divBdr>
                    </w:div>
                    <w:div w:id="14383333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244728629">
      <w:bodyDiv w:val="1"/>
      <w:marLeft w:val="0"/>
      <w:marRight w:val="0"/>
      <w:marTop w:val="0"/>
      <w:marBottom w:val="0"/>
      <w:divBdr>
        <w:top w:val="none" w:sz="0" w:space="0" w:color="auto"/>
        <w:left w:val="none" w:sz="0" w:space="0" w:color="auto"/>
        <w:bottom w:val="none" w:sz="0" w:space="0" w:color="auto"/>
        <w:right w:val="none" w:sz="0" w:space="0" w:color="auto"/>
      </w:divBdr>
      <w:divsChild>
        <w:div w:id="445075553">
          <w:marLeft w:val="0"/>
          <w:marRight w:val="0"/>
          <w:marTop w:val="0"/>
          <w:marBottom w:val="0"/>
          <w:divBdr>
            <w:top w:val="none" w:sz="0" w:space="0" w:color="auto"/>
            <w:left w:val="none" w:sz="0" w:space="0" w:color="auto"/>
            <w:bottom w:val="none" w:sz="0" w:space="0" w:color="auto"/>
            <w:right w:val="none" w:sz="0" w:space="0" w:color="auto"/>
          </w:divBdr>
          <w:divsChild>
            <w:div w:id="426385251">
              <w:marLeft w:val="0"/>
              <w:marRight w:val="0"/>
              <w:marTop w:val="0"/>
              <w:marBottom w:val="0"/>
              <w:divBdr>
                <w:top w:val="none" w:sz="0" w:space="0" w:color="auto"/>
                <w:left w:val="none" w:sz="0" w:space="0" w:color="auto"/>
                <w:bottom w:val="none" w:sz="0" w:space="0" w:color="auto"/>
                <w:right w:val="none" w:sz="0" w:space="0" w:color="auto"/>
              </w:divBdr>
              <w:divsChild>
                <w:div w:id="1813675054">
                  <w:marLeft w:val="0"/>
                  <w:marRight w:val="0"/>
                  <w:marTop w:val="0"/>
                  <w:marBottom w:val="0"/>
                  <w:divBdr>
                    <w:top w:val="none" w:sz="0" w:space="0" w:color="auto"/>
                    <w:left w:val="none" w:sz="0" w:space="0" w:color="auto"/>
                    <w:bottom w:val="none" w:sz="0" w:space="0" w:color="auto"/>
                    <w:right w:val="none" w:sz="0" w:space="0" w:color="auto"/>
                  </w:divBdr>
                  <w:divsChild>
                    <w:div w:id="708842984">
                      <w:marLeft w:val="0"/>
                      <w:marRight w:val="0"/>
                      <w:marTop w:val="0"/>
                      <w:marBottom w:val="0"/>
                      <w:divBdr>
                        <w:top w:val="none" w:sz="0" w:space="0" w:color="auto"/>
                        <w:left w:val="none" w:sz="0" w:space="0" w:color="auto"/>
                        <w:bottom w:val="none" w:sz="0" w:space="0" w:color="auto"/>
                        <w:right w:val="none" w:sz="0" w:space="0" w:color="auto"/>
                      </w:divBdr>
                    </w:div>
                    <w:div w:id="791099127">
                      <w:marLeft w:val="0"/>
                      <w:marRight w:val="0"/>
                      <w:marTop w:val="120"/>
                      <w:marBottom w:val="0"/>
                      <w:divBdr>
                        <w:top w:val="none" w:sz="0" w:space="0" w:color="auto"/>
                        <w:left w:val="none" w:sz="0" w:space="0" w:color="auto"/>
                        <w:bottom w:val="none" w:sz="0" w:space="0" w:color="auto"/>
                        <w:right w:val="none" w:sz="0" w:space="0" w:color="auto"/>
                      </w:divBdr>
                    </w:div>
                  </w:divsChild>
                </w:div>
                <w:div w:id="1972636747">
                  <w:marLeft w:val="0"/>
                  <w:marRight w:val="0"/>
                  <w:marTop w:val="0"/>
                  <w:marBottom w:val="0"/>
                  <w:divBdr>
                    <w:top w:val="none" w:sz="0" w:space="0" w:color="auto"/>
                    <w:left w:val="none" w:sz="0" w:space="0" w:color="auto"/>
                    <w:bottom w:val="none" w:sz="0" w:space="0" w:color="auto"/>
                    <w:right w:val="none" w:sz="0" w:space="0" w:color="auto"/>
                  </w:divBdr>
                  <w:divsChild>
                    <w:div w:id="633221600">
                      <w:marLeft w:val="0"/>
                      <w:marRight w:val="0"/>
                      <w:marTop w:val="120"/>
                      <w:marBottom w:val="0"/>
                      <w:divBdr>
                        <w:top w:val="none" w:sz="0" w:space="0" w:color="auto"/>
                        <w:left w:val="none" w:sz="0" w:space="0" w:color="auto"/>
                        <w:bottom w:val="none" w:sz="0" w:space="0" w:color="auto"/>
                        <w:right w:val="none" w:sz="0" w:space="0" w:color="auto"/>
                      </w:divBdr>
                    </w:div>
                    <w:div w:id="1717118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971414">
          <w:marLeft w:val="0"/>
          <w:marRight w:val="0"/>
          <w:marTop w:val="0"/>
          <w:marBottom w:val="0"/>
          <w:divBdr>
            <w:top w:val="none" w:sz="0" w:space="0" w:color="auto"/>
            <w:left w:val="none" w:sz="0" w:space="0" w:color="auto"/>
            <w:bottom w:val="none" w:sz="0" w:space="0" w:color="auto"/>
            <w:right w:val="none" w:sz="0" w:space="0" w:color="auto"/>
          </w:divBdr>
          <w:divsChild>
            <w:div w:id="371812862">
              <w:marLeft w:val="0"/>
              <w:marRight w:val="0"/>
              <w:marTop w:val="0"/>
              <w:marBottom w:val="0"/>
              <w:divBdr>
                <w:top w:val="none" w:sz="0" w:space="0" w:color="auto"/>
                <w:left w:val="none" w:sz="0" w:space="0" w:color="auto"/>
                <w:bottom w:val="none" w:sz="0" w:space="0" w:color="auto"/>
                <w:right w:val="none" w:sz="0" w:space="0" w:color="auto"/>
              </w:divBdr>
            </w:div>
          </w:divsChild>
        </w:div>
        <w:div w:id="1694113067">
          <w:marLeft w:val="0"/>
          <w:marRight w:val="0"/>
          <w:marTop w:val="0"/>
          <w:marBottom w:val="0"/>
          <w:divBdr>
            <w:top w:val="none" w:sz="0" w:space="0" w:color="auto"/>
            <w:left w:val="none" w:sz="0" w:space="0" w:color="auto"/>
            <w:bottom w:val="none" w:sz="0" w:space="0" w:color="auto"/>
            <w:right w:val="none" w:sz="0" w:space="0" w:color="auto"/>
          </w:divBdr>
          <w:divsChild>
            <w:div w:id="947737445">
              <w:marLeft w:val="0"/>
              <w:marRight w:val="0"/>
              <w:marTop w:val="0"/>
              <w:marBottom w:val="0"/>
              <w:divBdr>
                <w:top w:val="none" w:sz="0" w:space="0" w:color="auto"/>
                <w:left w:val="none" w:sz="0" w:space="0" w:color="auto"/>
                <w:bottom w:val="none" w:sz="0" w:space="0" w:color="auto"/>
                <w:right w:val="none" w:sz="0" w:space="0" w:color="auto"/>
              </w:divBdr>
            </w:div>
          </w:divsChild>
        </w:div>
        <w:div w:id="1762021079">
          <w:marLeft w:val="0"/>
          <w:marRight w:val="0"/>
          <w:marTop w:val="0"/>
          <w:marBottom w:val="0"/>
          <w:divBdr>
            <w:top w:val="none" w:sz="0" w:space="0" w:color="auto"/>
            <w:left w:val="none" w:sz="0" w:space="0" w:color="auto"/>
            <w:bottom w:val="none" w:sz="0" w:space="0" w:color="auto"/>
            <w:right w:val="none" w:sz="0" w:space="0" w:color="auto"/>
          </w:divBdr>
          <w:divsChild>
            <w:div w:id="929704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4483447">
      <w:bodyDiv w:val="1"/>
      <w:marLeft w:val="0"/>
      <w:marRight w:val="0"/>
      <w:marTop w:val="0"/>
      <w:marBottom w:val="0"/>
      <w:divBdr>
        <w:top w:val="none" w:sz="0" w:space="0" w:color="auto"/>
        <w:left w:val="none" w:sz="0" w:space="0" w:color="auto"/>
        <w:bottom w:val="none" w:sz="0" w:space="0" w:color="auto"/>
        <w:right w:val="none" w:sz="0" w:space="0" w:color="auto"/>
      </w:divBdr>
      <w:divsChild>
        <w:div w:id="1072852693">
          <w:marLeft w:val="0"/>
          <w:marRight w:val="0"/>
          <w:marTop w:val="0"/>
          <w:marBottom w:val="0"/>
          <w:divBdr>
            <w:top w:val="none" w:sz="0" w:space="0" w:color="auto"/>
            <w:left w:val="none" w:sz="0" w:space="0" w:color="auto"/>
            <w:bottom w:val="none" w:sz="0" w:space="0" w:color="auto"/>
            <w:right w:val="none" w:sz="0" w:space="0" w:color="auto"/>
          </w:divBdr>
        </w:div>
      </w:divsChild>
    </w:div>
    <w:div w:id="261305875">
      <w:bodyDiv w:val="1"/>
      <w:marLeft w:val="0"/>
      <w:marRight w:val="0"/>
      <w:marTop w:val="0"/>
      <w:marBottom w:val="0"/>
      <w:divBdr>
        <w:top w:val="none" w:sz="0" w:space="0" w:color="auto"/>
        <w:left w:val="none" w:sz="0" w:space="0" w:color="auto"/>
        <w:bottom w:val="none" w:sz="0" w:space="0" w:color="auto"/>
        <w:right w:val="none" w:sz="0" w:space="0" w:color="auto"/>
      </w:divBdr>
      <w:divsChild>
        <w:div w:id="444079510">
          <w:marLeft w:val="0"/>
          <w:marRight w:val="0"/>
          <w:marTop w:val="0"/>
          <w:marBottom w:val="0"/>
          <w:divBdr>
            <w:top w:val="none" w:sz="0" w:space="0" w:color="auto"/>
            <w:left w:val="none" w:sz="0" w:space="0" w:color="auto"/>
            <w:bottom w:val="none" w:sz="0" w:space="0" w:color="auto"/>
            <w:right w:val="none" w:sz="0" w:space="0" w:color="auto"/>
          </w:divBdr>
        </w:div>
      </w:divsChild>
    </w:div>
    <w:div w:id="264196951">
      <w:bodyDiv w:val="1"/>
      <w:marLeft w:val="0"/>
      <w:marRight w:val="0"/>
      <w:marTop w:val="0"/>
      <w:marBottom w:val="0"/>
      <w:divBdr>
        <w:top w:val="none" w:sz="0" w:space="0" w:color="auto"/>
        <w:left w:val="none" w:sz="0" w:space="0" w:color="auto"/>
        <w:bottom w:val="none" w:sz="0" w:space="0" w:color="auto"/>
        <w:right w:val="none" w:sz="0" w:space="0" w:color="auto"/>
      </w:divBdr>
      <w:divsChild>
        <w:div w:id="194659493">
          <w:marLeft w:val="0"/>
          <w:marRight w:val="0"/>
          <w:marTop w:val="0"/>
          <w:marBottom w:val="0"/>
          <w:divBdr>
            <w:top w:val="none" w:sz="0" w:space="0" w:color="auto"/>
            <w:left w:val="none" w:sz="0" w:space="0" w:color="auto"/>
            <w:bottom w:val="none" w:sz="0" w:space="0" w:color="auto"/>
            <w:right w:val="none" w:sz="0" w:space="0" w:color="auto"/>
          </w:divBdr>
        </w:div>
      </w:divsChild>
    </w:div>
    <w:div w:id="272322090">
      <w:bodyDiv w:val="1"/>
      <w:marLeft w:val="0"/>
      <w:marRight w:val="0"/>
      <w:marTop w:val="0"/>
      <w:marBottom w:val="0"/>
      <w:divBdr>
        <w:top w:val="none" w:sz="0" w:space="0" w:color="auto"/>
        <w:left w:val="none" w:sz="0" w:space="0" w:color="auto"/>
        <w:bottom w:val="none" w:sz="0" w:space="0" w:color="auto"/>
        <w:right w:val="none" w:sz="0" w:space="0" w:color="auto"/>
      </w:divBdr>
      <w:divsChild>
        <w:div w:id="337008435">
          <w:marLeft w:val="0"/>
          <w:marRight w:val="0"/>
          <w:marTop w:val="0"/>
          <w:marBottom w:val="0"/>
          <w:divBdr>
            <w:top w:val="none" w:sz="0" w:space="0" w:color="auto"/>
            <w:left w:val="none" w:sz="0" w:space="0" w:color="auto"/>
            <w:bottom w:val="none" w:sz="0" w:space="0" w:color="auto"/>
            <w:right w:val="none" w:sz="0" w:space="0" w:color="auto"/>
          </w:divBdr>
        </w:div>
        <w:div w:id="662321980">
          <w:marLeft w:val="0"/>
          <w:marRight w:val="0"/>
          <w:marTop w:val="120"/>
          <w:marBottom w:val="0"/>
          <w:divBdr>
            <w:top w:val="none" w:sz="0" w:space="0" w:color="auto"/>
            <w:left w:val="none" w:sz="0" w:space="0" w:color="auto"/>
            <w:bottom w:val="none" w:sz="0" w:space="0" w:color="auto"/>
            <w:right w:val="none" w:sz="0" w:space="0" w:color="auto"/>
          </w:divBdr>
        </w:div>
        <w:div w:id="1440368105">
          <w:marLeft w:val="0"/>
          <w:marRight w:val="0"/>
          <w:marTop w:val="120"/>
          <w:marBottom w:val="0"/>
          <w:divBdr>
            <w:top w:val="none" w:sz="0" w:space="0" w:color="auto"/>
            <w:left w:val="none" w:sz="0" w:space="0" w:color="auto"/>
            <w:bottom w:val="none" w:sz="0" w:space="0" w:color="auto"/>
            <w:right w:val="none" w:sz="0" w:space="0" w:color="auto"/>
          </w:divBdr>
        </w:div>
      </w:divsChild>
    </w:div>
    <w:div w:id="287126254">
      <w:bodyDiv w:val="1"/>
      <w:marLeft w:val="0"/>
      <w:marRight w:val="0"/>
      <w:marTop w:val="0"/>
      <w:marBottom w:val="0"/>
      <w:divBdr>
        <w:top w:val="none" w:sz="0" w:space="0" w:color="auto"/>
        <w:left w:val="none" w:sz="0" w:space="0" w:color="auto"/>
        <w:bottom w:val="none" w:sz="0" w:space="0" w:color="auto"/>
        <w:right w:val="none" w:sz="0" w:space="0" w:color="auto"/>
      </w:divBdr>
      <w:divsChild>
        <w:div w:id="13458582">
          <w:marLeft w:val="0"/>
          <w:marRight w:val="0"/>
          <w:marTop w:val="0"/>
          <w:marBottom w:val="0"/>
          <w:divBdr>
            <w:top w:val="none" w:sz="0" w:space="0" w:color="auto"/>
            <w:left w:val="none" w:sz="0" w:space="0" w:color="auto"/>
            <w:bottom w:val="none" w:sz="0" w:space="0" w:color="auto"/>
            <w:right w:val="none" w:sz="0" w:space="0" w:color="auto"/>
          </w:divBdr>
          <w:divsChild>
            <w:div w:id="826551966">
              <w:marLeft w:val="0"/>
              <w:marRight w:val="0"/>
              <w:marTop w:val="0"/>
              <w:marBottom w:val="0"/>
              <w:divBdr>
                <w:top w:val="none" w:sz="0" w:space="0" w:color="auto"/>
                <w:left w:val="none" w:sz="0" w:space="0" w:color="auto"/>
                <w:bottom w:val="none" w:sz="0" w:space="0" w:color="auto"/>
                <w:right w:val="none" w:sz="0" w:space="0" w:color="auto"/>
              </w:divBdr>
            </w:div>
          </w:divsChild>
        </w:div>
        <w:div w:id="1867133723">
          <w:marLeft w:val="0"/>
          <w:marRight w:val="0"/>
          <w:marTop w:val="0"/>
          <w:marBottom w:val="0"/>
          <w:divBdr>
            <w:top w:val="none" w:sz="0" w:space="0" w:color="auto"/>
            <w:left w:val="none" w:sz="0" w:space="0" w:color="auto"/>
            <w:bottom w:val="none" w:sz="0" w:space="0" w:color="auto"/>
            <w:right w:val="none" w:sz="0" w:space="0" w:color="auto"/>
          </w:divBdr>
          <w:divsChild>
            <w:div w:id="183711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019312">
      <w:bodyDiv w:val="1"/>
      <w:marLeft w:val="0"/>
      <w:marRight w:val="0"/>
      <w:marTop w:val="0"/>
      <w:marBottom w:val="0"/>
      <w:divBdr>
        <w:top w:val="none" w:sz="0" w:space="0" w:color="auto"/>
        <w:left w:val="none" w:sz="0" w:space="0" w:color="auto"/>
        <w:bottom w:val="none" w:sz="0" w:space="0" w:color="auto"/>
        <w:right w:val="none" w:sz="0" w:space="0" w:color="auto"/>
      </w:divBdr>
      <w:divsChild>
        <w:div w:id="405347460">
          <w:marLeft w:val="0"/>
          <w:marRight w:val="0"/>
          <w:marTop w:val="0"/>
          <w:marBottom w:val="0"/>
          <w:divBdr>
            <w:top w:val="none" w:sz="0" w:space="0" w:color="auto"/>
            <w:left w:val="none" w:sz="0" w:space="0" w:color="auto"/>
            <w:bottom w:val="none" w:sz="0" w:space="0" w:color="auto"/>
            <w:right w:val="none" w:sz="0" w:space="0" w:color="auto"/>
          </w:divBdr>
        </w:div>
      </w:divsChild>
    </w:div>
    <w:div w:id="290677627">
      <w:bodyDiv w:val="1"/>
      <w:marLeft w:val="0"/>
      <w:marRight w:val="0"/>
      <w:marTop w:val="0"/>
      <w:marBottom w:val="0"/>
      <w:divBdr>
        <w:top w:val="none" w:sz="0" w:space="0" w:color="auto"/>
        <w:left w:val="none" w:sz="0" w:space="0" w:color="auto"/>
        <w:bottom w:val="none" w:sz="0" w:space="0" w:color="auto"/>
        <w:right w:val="none" w:sz="0" w:space="0" w:color="auto"/>
      </w:divBdr>
      <w:divsChild>
        <w:div w:id="2097284534">
          <w:marLeft w:val="0"/>
          <w:marRight w:val="0"/>
          <w:marTop w:val="0"/>
          <w:marBottom w:val="0"/>
          <w:divBdr>
            <w:top w:val="none" w:sz="0" w:space="0" w:color="auto"/>
            <w:left w:val="none" w:sz="0" w:space="0" w:color="auto"/>
            <w:bottom w:val="none" w:sz="0" w:space="0" w:color="auto"/>
            <w:right w:val="none" w:sz="0" w:space="0" w:color="auto"/>
          </w:divBdr>
          <w:divsChild>
            <w:div w:id="773668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919829">
      <w:bodyDiv w:val="1"/>
      <w:marLeft w:val="0"/>
      <w:marRight w:val="0"/>
      <w:marTop w:val="0"/>
      <w:marBottom w:val="0"/>
      <w:divBdr>
        <w:top w:val="none" w:sz="0" w:space="0" w:color="auto"/>
        <w:left w:val="none" w:sz="0" w:space="0" w:color="auto"/>
        <w:bottom w:val="none" w:sz="0" w:space="0" w:color="auto"/>
        <w:right w:val="none" w:sz="0" w:space="0" w:color="auto"/>
      </w:divBdr>
      <w:divsChild>
        <w:div w:id="179319241">
          <w:marLeft w:val="0"/>
          <w:marRight w:val="0"/>
          <w:marTop w:val="0"/>
          <w:marBottom w:val="0"/>
          <w:divBdr>
            <w:top w:val="none" w:sz="0" w:space="0" w:color="auto"/>
            <w:left w:val="none" w:sz="0" w:space="0" w:color="auto"/>
            <w:bottom w:val="none" w:sz="0" w:space="0" w:color="auto"/>
            <w:right w:val="none" w:sz="0" w:space="0" w:color="auto"/>
          </w:divBdr>
        </w:div>
      </w:divsChild>
    </w:div>
    <w:div w:id="305210850">
      <w:bodyDiv w:val="1"/>
      <w:marLeft w:val="0"/>
      <w:marRight w:val="0"/>
      <w:marTop w:val="0"/>
      <w:marBottom w:val="0"/>
      <w:divBdr>
        <w:top w:val="none" w:sz="0" w:space="0" w:color="auto"/>
        <w:left w:val="none" w:sz="0" w:space="0" w:color="auto"/>
        <w:bottom w:val="none" w:sz="0" w:space="0" w:color="auto"/>
        <w:right w:val="none" w:sz="0" w:space="0" w:color="auto"/>
      </w:divBdr>
      <w:divsChild>
        <w:div w:id="1957834175">
          <w:marLeft w:val="0"/>
          <w:marRight w:val="0"/>
          <w:marTop w:val="0"/>
          <w:marBottom w:val="0"/>
          <w:divBdr>
            <w:top w:val="none" w:sz="0" w:space="0" w:color="auto"/>
            <w:left w:val="none" w:sz="0" w:space="0" w:color="auto"/>
            <w:bottom w:val="none" w:sz="0" w:space="0" w:color="auto"/>
            <w:right w:val="none" w:sz="0" w:space="0" w:color="auto"/>
          </w:divBdr>
          <w:divsChild>
            <w:div w:id="275253148">
              <w:marLeft w:val="0"/>
              <w:marRight w:val="0"/>
              <w:marTop w:val="0"/>
              <w:marBottom w:val="0"/>
              <w:divBdr>
                <w:top w:val="none" w:sz="0" w:space="0" w:color="auto"/>
                <w:left w:val="none" w:sz="0" w:space="0" w:color="auto"/>
                <w:bottom w:val="none" w:sz="0" w:space="0" w:color="auto"/>
                <w:right w:val="none" w:sz="0" w:space="0" w:color="auto"/>
              </w:divBdr>
              <w:divsChild>
                <w:div w:id="290868813">
                  <w:marLeft w:val="0"/>
                  <w:marRight w:val="0"/>
                  <w:marTop w:val="120"/>
                  <w:marBottom w:val="0"/>
                  <w:divBdr>
                    <w:top w:val="none" w:sz="0" w:space="0" w:color="auto"/>
                    <w:left w:val="none" w:sz="0" w:space="0" w:color="auto"/>
                    <w:bottom w:val="none" w:sz="0" w:space="0" w:color="auto"/>
                    <w:right w:val="none" w:sz="0" w:space="0" w:color="auto"/>
                  </w:divBdr>
                </w:div>
                <w:div w:id="2008241382">
                  <w:marLeft w:val="0"/>
                  <w:marRight w:val="0"/>
                  <w:marTop w:val="0"/>
                  <w:marBottom w:val="0"/>
                  <w:divBdr>
                    <w:top w:val="none" w:sz="0" w:space="0" w:color="auto"/>
                    <w:left w:val="none" w:sz="0" w:space="0" w:color="auto"/>
                    <w:bottom w:val="none" w:sz="0" w:space="0" w:color="auto"/>
                    <w:right w:val="none" w:sz="0" w:space="0" w:color="auto"/>
                  </w:divBdr>
                </w:div>
              </w:divsChild>
            </w:div>
            <w:div w:id="448670766">
              <w:marLeft w:val="0"/>
              <w:marRight w:val="0"/>
              <w:marTop w:val="0"/>
              <w:marBottom w:val="0"/>
              <w:divBdr>
                <w:top w:val="none" w:sz="0" w:space="0" w:color="auto"/>
                <w:left w:val="none" w:sz="0" w:space="0" w:color="auto"/>
                <w:bottom w:val="none" w:sz="0" w:space="0" w:color="auto"/>
                <w:right w:val="none" w:sz="0" w:space="0" w:color="auto"/>
              </w:divBdr>
              <w:divsChild>
                <w:div w:id="1777016381">
                  <w:marLeft w:val="0"/>
                  <w:marRight w:val="0"/>
                  <w:marTop w:val="0"/>
                  <w:marBottom w:val="0"/>
                  <w:divBdr>
                    <w:top w:val="none" w:sz="0" w:space="0" w:color="auto"/>
                    <w:left w:val="none" w:sz="0" w:space="0" w:color="auto"/>
                    <w:bottom w:val="none" w:sz="0" w:space="0" w:color="auto"/>
                    <w:right w:val="none" w:sz="0" w:space="0" w:color="auto"/>
                  </w:divBdr>
                </w:div>
                <w:div w:id="2048337975">
                  <w:marLeft w:val="0"/>
                  <w:marRight w:val="0"/>
                  <w:marTop w:val="120"/>
                  <w:marBottom w:val="0"/>
                  <w:divBdr>
                    <w:top w:val="none" w:sz="0" w:space="0" w:color="auto"/>
                    <w:left w:val="none" w:sz="0" w:space="0" w:color="auto"/>
                    <w:bottom w:val="none" w:sz="0" w:space="0" w:color="auto"/>
                    <w:right w:val="none" w:sz="0" w:space="0" w:color="auto"/>
                  </w:divBdr>
                </w:div>
              </w:divsChild>
            </w:div>
            <w:div w:id="1171143130">
              <w:marLeft w:val="0"/>
              <w:marRight w:val="0"/>
              <w:marTop w:val="0"/>
              <w:marBottom w:val="0"/>
              <w:divBdr>
                <w:top w:val="none" w:sz="0" w:space="0" w:color="auto"/>
                <w:left w:val="none" w:sz="0" w:space="0" w:color="auto"/>
                <w:bottom w:val="none" w:sz="0" w:space="0" w:color="auto"/>
                <w:right w:val="none" w:sz="0" w:space="0" w:color="auto"/>
              </w:divBdr>
              <w:divsChild>
                <w:div w:id="952829183">
                  <w:marLeft w:val="0"/>
                  <w:marRight w:val="0"/>
                  <w:marTop w:val="0"/>
                  <w:marBottom w:val="0"/>
                  <w:divBdr>
                    <w:top w:val="none" w:sz="0" w:space="0" w:color="auto"/>
                    <w:left w:val="none" w:sz="0" w:space="0" w:color="auto"/>
                    <w:bottom w:val="none" w:sz="0" w:space="0" w:color="auto"/>
                    <w:right w:val="none" w:sz="0" w:space="0" w:color="auto"/>
                  </w:divBdr>
                </w:div>
                <w:div w:id="191431641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06281815">
      <w:bodyDiv w:val="1"/>
      <w:marLeft w:val="0"/>
      <w:marRight w:val="0"/>
      <w:marTop w:val="0"/>
      <w:marBottom w:val="0"/>
      <w:divBdr>
        <w:top w:val="none" w:sz="0" w:space="0" w:color="auto"/>
        <w:left w:val="none" w:sz="0" w:space="0" w:color="auto"/>
        <w:bottom w:val="none" w:sz="0" w:space="0" w:color="auto"/>
        <w:right w:val="none" w:sz="0" w:space="0" w:color="auto"/>
      </w:divBdr>
      <w:divsChild>
        <w:div w:id="507255737">
          <w:marLeft w:val="0"/>
          <w:marRight w:val="0"/>
          <w:marTop w:val="0"/>
          <w:marBottom w:val="0"/>
          <w:divBdr>
            <w:top w:val="none" w:sz="0" w:space="0" w:color="auto"/>
            <w:left w:val="none" w:sz="0" w:space="0" w:color="auto"/>
            <w:bottom w:val="none" w:sz="0" w:space="0" w:color="auto"/>
            <w:right w:val="none" w:sz="0" w:space="0" w:color="auto"/>
          </w:divBdr>
          <w:divsChild>
            <w:div w:id="737022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214306">
      <w:bodyDiv w:val="1"/>
      <w:marLeft w:val="0"/>
      <w:marRight w:val="0"/>
      <w:marTop w:val="0"/>
      <w:marBottom w:val="0"/>
      <w:divBdr>
        <w:top w:val="none" w:sz="0" w:space="0" w:color="auto"/>
        <w:left w:val="none" w:sz="0" w:space="0" w:color="auto"/>
        <w:bottom w:val="none" w:sz="0" w:space="0" w:color="auto"/>
        <w:right w:val="none" w:sz="0" w:space="0" w:color="auto"/>
      </w:divBdr>
      <w:divsChild>
        <w:div w:id="105468282">
          <w:marLeft w:val="0"/>
          <w:marRight w:val="0"/>
          <w:marTop w:val="0"/>
          <w:marBottom w:val="0"/>
          <w:divBdr>
            <w:top w:val="none" w:sz="0" w:space="0" w:color="auto"/>
            <w:left w:val="none" w:sz="0" w:space="0" w:color="auto"/>
            <w:bottom w:val="none" w:sz="0" w:space="0" w:color="auto"/>
            <w:right w:val="none" w:sz="0" w:space="0" w:color="auto"/>
          </w:divBdr>
          <w:divsChild>
            <w:div w:id="1419138504">
              <w:marLeft w:val="0"/>
              <w:marRight w:val="0"/>
              <w:marTop w:val="0"/>
              <w:marBottom w:val="0"/>
              <w:divBdr>
                <w:top w:val="none" w:sz="0" w:space="0" w:color="auto"/>
                <w:left w:val="none" w:sz="0" w:space="0" w:color="auto"/>
                <w:bottom w:val="none" w:sz="0" w:space="0" w:color="auto"/>
                <w:right w:val="none" w:sz="0" w:space="0" w:color="auto"/>
              </w:divBdr>
            </w:div>
          </w:divsChild>
        </w:div>
        <w:div w:id="774439933">
          <w:marLeft w:val="0"/>
          <w:marRight w:val="0"/>
          <w:marTop w:val="0"/>
          <w:marBottom w:val="0"/>
          <w:divBdr>
            <w:top w:val="none" w:sz="0" w:space="0" w:color="auto"/>
            <w:left w:val="none" w:sz="0" w:space="0" w:color="auto"/>
            <w:bottom w:val="none" w:sz="0" w:space="0" w:color="auto"/>
            <w:right w:val="none" w:sz="0" w:space="0" w:color="auto"/>
          </w:divBdr>
          <w:divsChild>
            <w:div w:id="977028442">
              <w:marLeft w:val="0"/>
              <w:marRight w:val="0"/>
              <w:marTop w:val="0"/>
              <w:marBottom w:val="0"/>
              <w:divBdr>
                <w:top w:val="none" w:sz="0" w:space="0" w:color="auto"/>
                <w:left w:val="none" w:sz="0" w:space="0" w:color="auto"/>
                <w:bottom w:val="none" w:sz="0" w:space="0" w:color="auto"/>
                <w:right w:val="none" w:sz="0" w:space="0" w:color="auto"/>
              </w:divBdr>
            </w:div>
          </w:divsChild>
        </w:div>
        <w:div w:id="1051659338">
          <w:marLeft w:val="0"/>
          <w:marRight w:val="0"/>
          <w:marTop w:val="0"/>
          <w:marBottom w:val="0"/>
          <w:divBdr>
            <w:top w:val="none" w:sz="0" w:space="0" w:color="auto"/>
            <w:left w:val="none" w:sz="0" w:space="0" w:color="auto"/>
            <w:bottom w:val="none" w:sz="0" w:space="0" w:color="auto"/>
            <w:right w:val="none" w:sz="0" w:space="0" w:color="auto"/>
          </w:divBdr>
          <w:divsChild>
            <w:div w:id="1003895827">
              <w:marLeft w:val="0"/>
              <w:marRight w:val="0"/>
              <w:marTop w:val="0"/>
              <w:marBottom w:val="0"/>
              <w:divBdr>
                <w:top w:val="none" w:sz="0" w:space="0" w:color="auto"/>
                <w:left w:val="none" w:sz="0" w:space="0" w:color="auto"/>
                <w:bottom w:val="none" w:sz="0" w:space="0" w:color="auto"/>
                <w:right w:val="none" w:sz="0" w:space="0" w:color="auto"/>
              </w:divBdr>
              <w:divsChild>
                <w:div w:id="135150100">
                  <w:marLeft w:val="0"/>
                  <w:marRight w:val="0"/>
                  <w:marTop w:val="0"/>
                  <w:marBottom w:val="0"/>
                  <w:divBdr>
                    <w:top w:val="none" w:sz="0" w:space="0" w:color="auto"/>
                    <w:left w:val="none" w:sz="0" w:space="0" w:color="auto"/>
                    <w:bottom w:val="none" w:sz="0" w:space="0" w:color="auto"/>
                    <w:right w:val="none" w:sz="0" w:space="0" w:color="auto"/>
                  </w:divBdr>
                  <w:divsChild>
                    <w:div w:id="1054622128">
                      <w:marLeft w:val="0"/>
                      <w:marRight w:val="0"/>
                      <w:marTop w:val="0"/>
                      <w:marBottom w:val="0"/>
                      <w:divBdr>
                        <w:top w:val="none" w:sz="0" w:space="0" w:color="auto"/>
                        <w:left w:val="none" w:sz="0" w:space="0" w:color="auto"/>
                        <w:bottom w:val="none" w:sz="0" w:space="0" w:color="auto"/>
                        <w:right w:val="none" w:sz="0" w:space="0" w:color="auto"/>
                      </w:divBdr>
                    </w:div>
                    <w:div w:id="1664966110">
                      <w:marLeft w:val="0"/>
                      <w:marRight w:val="0"/>
                      <w:marTop w:val="120"/>
                      <w:marBottom w:val="0"/>
                      <w:divBdr>
                        <w:top w:val="none" w:sz="0" w:space="0" w:color="auto"/>
                        <w:left w:val="none" w:sz="0" w:space="0" w:color="auto"/>
                        <w:bottom w:val="none" w:sz="0" w:space="0" w:color="auto"/>
                        <w:right w:val="none" w:sz="0" w:space="0" w:color="auto"/>
                      </w:divBdr>
                    </w:div>
                  </w:divsChild>
                </w:div>
                <w:div w:id="1733120441">
                  <w:marLeft w:val="0"/>
                  <w:marRight w:val="0"/>
                  <w:marTop w:val="0"/>
                  <w:marBottom w:val="0"/>
                  <w:divBdr>
                    <w:top w:val="none" w:sz="0" w:space="0" w:color="auto"/>
                    <w:left w:val="none" w:sz="0" w:space="0" w:color="auto"/>
                    <w:bottom w:val="none" w:sz="0" w:space="0" w:color="auto"/>
                    <w:right w:val="none" w:sz="0" w:space="0" w:color="auto"/>
                  </w:divBdr>
                  <w:divsChild>
                    <w:div w:id="186258633">
                      <w:marLeft w:val="0"/>
                      <w:marRight w:val="0"/>
                      <w:marTop w:val="0"/>
                      <w:marBottom w:val="0"/>
                      <w:divBdr>
                        <w:top w:val="none" w:sz="0" w:space="0" w:color="auto"/>
                        <w:left w:val="none" w:sz="0" w:space="0" w:color="auto"/>
                        <w:bottom w:val="none" w:sz="0" w:space="0" w:color="auto"/>
                        <w:right w:val="none" w:sz="0" w:space="0" w:color="auto"/>
                      </w:divBdr>
                    </w:div>
                    <w:div w:id="56695862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56756731">
          <w:marLeft w:val="0"/>
          <w:marRight w:val="0"/>
          <w:marTop w:val="0"/>
          <w:marBottom w:val="0"/>
          <w:divBdr>
            <w:top w:val="none" w:sz="0" w:space="0" w:color="auto"/>
            <w:left w:val="none" w:sz="0" w:space="0" w:color="auto"/>
            <w:bottom w:val="none" w:sz="0" w:space="0" w:color="auto"/>
            <w:right w:val="none" w:sz="0" w:space="0" w:color="auto"/>
          </w:divBdr>
          <w:divsChild>
            <w:div w:id="2102994188">
              <w:marLeft w:val="0"/>
              <w:marRight w:val="0"/>
              <w:marTop w:val="0"/>
              <w:marBottom w:val="0"/>
              <w:divBdr>
                <w:top w:val="none" w:sz="0" w:space="0" w:color="auto"/>
                <w:left w:val="none" w:sz="0" w:space="0" w:color="auto"/>
                <w:bottom w:val="none" w:sz="0" w:space="0" w:color="auto"/>
                <w:right w:val="none" w:sz="0" w:space="0" w:color="auto"/>
              </w:divBdr>
              <w:divsChild>
                <w:div w:id="134950879">
                  <w:marLeft w:val="0"/>
                  <w:marRight w:val="0"/>
                  <w:marTop w:val="0"/>
                  <w:marBottom w:val="0"/>
                  <w:divBdr>
                    <w:top w:val="none" w:sz="0" w:space="0" w:color="auto"/>
                    <w:left w:val="none" w:sz="0" w:space="0" w:color="auto"/>
                    <w:bottom w:val="none" w:sz="0" w:space="0" w:color="auto"/>
                    <w:right w:val="none" w:sz="0" w:space="0" w:color="auto"/>
                  </w:divBdr>
                  <w:divsChild>
                    <w:div w:id="1681154749">
                      <w:marLeft w:val="0"/>
                      <w:marRight w:val="0"/>
                      <w:marTop w:val="0"/>
                      <w:marBottom w:val="0"/>
                      <w:divBdr>
                        <w:top w:val="none" w:sz="0" w:space="0" w:color="auto"/>
                        <w:left w:val="none" w:sz="0" w:space="0" w:color="auto"/>
                        <w:bottom w:val="none" w:sz="0" w:space="0" w:color="auto"/>
                        <w:right w:val="none" w:sz="0" w:space="0" w:color="auto"/>
                      </w:divBdr>
                    </w:div>
                    <w:div w:id="1867600421">
                      <w:marLeft w:val="0"/>
                      <w:marRight w:val="0"/>
                      <w:marTop w:val="120"/>
                      <w:marBottom w:val="0"/>
                      <w:divBdr>
                        <w:top w:val="none" w:sz="0" w:space="0" w:color="auto"/>
                        <w:left w:val="none" w:sz="0" w:space="0" w:color="auto"/>
                        <w:bottom w:val="none" w:sz="0" w:space="0" w:color="auto"/>
                        <w:right w:val="none" w:sz="0" w:space="0" w:color="auto"/>
                      </w:divBdr>
                    </w:div>
                  </w:divsChild>
                </w:div>
                <w:div w:id="347026892">
                  <w:marLeft w:val="0"/>
                  <w:marRight w:val="0"/>
                  <w:marTop w:val="0"/>
                  <w:marBottom w:val="0"/>
                  <w:divBdr>
                    <w:top w:val="none" w:sz="0" w:space="0" w:color="auto"/>
                    <w:left w:val="none" w:sz="0" w:space="0" w:color="auto"/>
                    <w:bottom w:val="none" w:sz="0" w:space="0" w:color="auto"/>
                    <w:right w:val="none" w:sz="0" w:space="0" w:color="auto"/>
                  </w:divBdr>
                  <w:divsChild>
                    <w:div w:id="160661316">
                      <w:marLeft w:val="0"/>
                      <w:marRight w:val="0"/>
                      <w:marTop w:val="120"/>
                      <w:marBottom w:val="0"/>
                      <w:divBdr>
                        <w:top w:val="none" w:sz="0" w:space="0" w:color="auto"/>
                        <w:left w:val="none" w:sz="0" w:space="0" w:color="auto"/>
                        <w:bottom w:val="none" w:sz="0" w:space="0" w:color="auto"/>
                        <w:right w:val="none" w:sz="0" w:space="0" w:color="auto"/>
                      </w:divBdr>
                    </w:div>
                    <w:div w:id="26596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7861062">
          <w:marLeft w:val="0"/>
          <w:marRight w:val="0"/>
          <w:marTop w:val="0"/>
          <w:marBottom w:val="0"/>
          <w:divBdr>
            <w:top w:val="none" w:sz="0" w:space="0" w:color="auto"/>
            <w:left w:val="none" w:sz="0" w:space="0" w:color="auto"/>
            <w:bottom w:val="none" w:sz="0" w:space="0" w:color="auto"/>
            <w:right w:val="none" w:sz="0" w:space="0" w:color="auto"/>
          </w:divBdr>
          <w:divsChild>
            <w:div w:id="1839616288">
              <w:marLeft w:val="0"/>
              <w:marRight w:val="0"/>
              <w:marTop w:val="0"/>
              <w:marBottom w:val="0"/>
              <w:divBdr>
                <w:top w:val="none" w:sz="0" w:space="0" w:color="auto"/>
                <w:left w:val="none" w:sz="0" w:space="0" w:color="auto"/>
                <w:bottom w:val="none" w:sz="0" w:space="0" w:color="auto"/>
                <w:right w:val="none" w:sz="0" w:space="0" w:color="auto"/>
              </w:divBdr>
              <w:divsChild>
                <w:div w:id="863255008">
                  <w:marLeft w:val="0"/>
                  <w:marRight w:val="0"/>
                  <w:marTop w:val="0"/>
                  <w:marBottom w:val="0"/>
                  <w:divBdr>
                    <w:top w:val="none" w:sz="0" w:space="0" w:color="auto"/>
                    <w:left w:val="none" w:sz="0" w:space="0" w:color="auto"/>
                    <w:bottom w:val="none" w:sz="0" w:space="0" w:color="auto"/>
                    <w:right w:val="none" w:sz="0" w:space="0" w:color="auto"/>
                  </w:divBdr>
                  <w:divsChild>
                    <w:div w:id="761604344">
                      <w:marLeft w:val="0"/>
                      <w:marRight w:val="0"/>
                      <w:marTop w:val="0"/>
                      <w:marBottom w:val="0"/>
                      <w:divBdr>
                        <w:top w:val="none" w:sz="0" w:space="0" w:color="auto"/>
                        <w:left w:val="none" w:sz="0" w:space="0" w:color="auto"/>
                        <w:bottom w:val="none" w:sz="0" w:space="0" w:color="auto"/>
                        <w:right w:val="none" w:sz="0" w:space="0" w:color="auto"/>
                      </w:divBdr>
                      <w:divsChild>
                        <w:div w:id="429544151">
                          <w:marLeft w:val="0"/>
                          <w:marRight w:val="0"/>
                          <w:marTop w:val="0"/>
                          <w:marBottom w:val="0"/>
                          <w:divBdr>
                            <w:top w:val="none" w:sz="0" w:space="0" w:color="auto"/>
                            <w:left w:val="none" w:sz="0" w:space="0" w:color="auto"/>
                            <w:bottom w:val="none" w:sz="0" w:space="0" w:color="auto"/>
                            <w:right w:val="none" w:sz="0" w:space="0" w:color="auto"/>
                          </w:divBdr>
                          <w:divsChild>
                            <w:div w:id="233855063">
                              <w:marLeft w:val="0"/>
                              <w:marRight w:val="0"/>
                              <w:marTop w:val="0"/>
                              <w:marBottom w:val="0"/>
                              <w:divBdr>
                                <w:top w:val="none" w:sz="0" w:space="0" w:color="auto"/>
                                <w:left w:val="none" w:sz="0" w:space="0" w:color="auto"/>
                                <w:bottom w:val="none" w:sz="0" w:space="0" w:color="auto"/>
                                <w:right w:val="none" w:sz="0" w:space="0" w:color="auto"/>
                              </w:divBdr>
                            </w:div>
                            <w:div w:id="1236937831">
                              <w:marLeft w:val="0"/>
                              <w:marRight w:val="0"/>
                              <w:marTop w:val="120"/>
                              <w:marBottom w:val="0"/>
                              <w:divBdr>
                                <w:top w:val="none" w:sz="0" w:space="0" w:color="auto"/>
                                <w:left w:val="none" w:sz="0" w:space="0" w:color="auto"/>
                                <w:bottom w:val="none" w:sz="0" w:space="0" w:color="auto"/>
                                <w:right w:val="none" w:sz="0" w:space="0" w:color="auto"/>
                              </w:divBdr>
                            </w:div>
                          </w:divsChild>
                        </w:div>
                        <w:div w:id="1493914385">
                          <w:marLeft w:val="0"/>
                          <w:marRight w:val="0"/>
                          <w:marTop w:val="0"/>
                          <w:marBottom w:val="0"/>
                          <w:divBdr>
                            <w:top w:val="none" w:sz="0" w:space="0" w:color="auto"/>
                            <w:left w:val="none" w:sz="0" w:space="0" w:color="auto"/>
                            <w:bottom w:val="none" w:sz="0" w:space="0" w:color="auto"/>
                            <w:right w:val="none" w:sz="0" w:space="0" w:color="auto"/>
                          </w:divBdr>
                          <w:divsChild>
                            <w:div w:id="1158690853">
                              <w:marLeft w:val="0"/>
                              <w:marRight w:val="0"/>
                              <w:marTop w:val="120"/>
                              <w:marBottom w:val="0"/>
                              <w:divBdr>
                                <w:top w:val="none" w:sz="0" w:space="0" w:color="auto"/>
                                <w:left w:val="none" w:sz="0" w:space="0" w:color="auto"/>
                                <w:bottom w:val="none" w:sz="0" w:space="0" w:color="auto"/>
                                <w:right w:val="none" w:sz="0" w:space="0" w:color="auto"/>
                              </w:divBdr>
                            </w:div>
                            <w:div w:id="20618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0511004">
                      <w:marLeft w:val="0"/>
                      <w:marRight w:val="0"/>
                      <w:marTop w:val="120"/>
                      <w:marBottom w:val="0"/>
                      <w:divBdr>
                        <w:top w:val="none" w:sz="0" w:space="0" w:color="auto"/>
                        <w:left w:val="none" w:sz="0" w:space="0" w:color="auto"/>
                        <w:bottom w:val="none" w:sz="0" w:space="0" w:color="auto"/>
                        <w:right w:val="none" w:sz="0" w:space="0" w:color="auto"/>
                      </w:divBdr>
                    </w:div>
                  </w:divsChild>
                </w:div>
                <w:div w:id="1088962846">
                  <w:marLeft w:val="0"/>
                  <w:marRight w:val="0"/>
                  <w:marTop w:val="0"/>
                  <w:marBottom w:val="0"/>
                  <w:divBdr>
                    <w:top w:val="none" w:sz="0" w:space="0" w:color="auto"/>
                    <w:left w:val="none" w:sz="0" w:space="0" w:color="auto"/>
                    <w:bottom w:val="none" w:sz="0" w:space="0" w:color="auto"/>
                    <w:right w:val="none" w:sz="0" w:space="0" w:color="auto"/>
                  </w:divBdr>
                  <w:divsChild>
                    <w:div w:id="496455604">
                      <w:marLeft w:val="0"/>
                      <w:marRight w:val="0"/>
                      <w:marTop w:val="0"/>
                      <w:marBottom w:val="0"/>
                      <w:divBdr>
                        <w:top w:val="none" w:sz="0" w:space="0" w:color="auto"/>
                        <w:left w:val="none" w:sz="0" w:space="0" w:color="auto"/>
                        <w:bottom w:val="none" w:sz="0" w:space="0" w:color="auto"/>
                        <w:right w:val="none" w:sz="0" w:space="0" w:color="auto"/>
                      </w:divBdr>
                    </w:div>
                    <w:div w:id="13859130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324819789">
      <w:bodyDiv w:val="1"/>
      <w:marLeft w:val="0"/>
      <w:marRight w:val="0"/>
      <w:marTop w:val="0"/>
      <w:marBottom w:val="0"/>
      <w:divBdr>
        <w:top w:val="none" w:sz="0" w:space="0" w:color="auto"/>
        <w:left w:val="none" w:sz="0" w:space="0" w:color="auto"/>
        <w:bottom w:val="none" w:sz="0" w:space="0" w:color="auto"/>
        <w:right w:val="none" w:sz="0" w:space="0" w:color="auto"/>
      </w:divBdr>
      <w:divsChild>
        <w:div w:id="1614748814">
          <w:marLeft w:val="0"/>
          <w:marRight w:val="0"/>
          <w:marTop w:val="0"/>
          <w:marBottom w:val="0"/>
          <w:divBdr>
            <w:top w:val="none" w:sz="0" w:space="0" w:color="auto"/>
            <w:left w:val="none" w:sz="0" w:space="0" w:color="auto"/>
            <w:bottom w:val="none" w:sz="0" w:space="0" w:color="auto"/>
            <w:right w:val="none" w:sz="0" w:space="0" w:color="auto"/>
          </w:divBdr>
          <w:divsChild>
            <w:div w:id="221604901">
              <w:marLeft w:val="0"/>
              <w:marRight w:val="0"/>
              <w:marTop w:val="0"/>
              <w:marBottom w:val="0"/>
              <w:divBdr>
                <w:top w:val="none" w:sz="0" w:space="0" w:color="auto"/>
                <w:left w:val="none" w:sz="0" w:space="0" w:color="auto"/>
                <w:bottom w:val="none" w:sz="0" w:space="0" w:color="auto"/>
                <w:right w:val="none" w:sz="0" w:space="0" w:color="auto"/>
              </w:divBdr>
              <w:divsChild>
                <w:div w:id="34164319">
                  <w:marLeft w:val="0"/>
                  <w:marRight w:val="0"/>
                  <w:marTop w:val="0"/>
                  <w:marBottom w:val="0"/>
                  <w:divBdr>
                    <w:top w:val="none" w:sz="0" w:space="0" w:color="auto"/>
                    <w:left w:val="none" w:sz="0" w:space="0" w:color="auto"/>
                    <w:bottom w:val="none" w:sz="0" w:space="0" w:color="auto"/>
                    <w:right w:val="none" w:sz="0" w:space="0" w:color="auto"/>
                  </w:divBdr>
                  <w:divsChild>
                    <w:div w:id="482546889">
                      <w:marLeft w:val="0"/>
                      <w:marRight w:val="0"/>
                      <w:marTop w:val="0"/>
                      <w:marBottom w:val="0"/>
                      <w:divBdr>
                        <w:top w:val="none" w:sz="0" w:space="0" w:color="auto"/>
                        <w:left w:val="none" w:sz="0" w:space="0" w:color="auto"/>
                        <w:bottom w:val="none" w:sz="0" w:space="0" w:color="auto"/>
                        <w:right w:val="none" w:sz="0" w:space="0" w:color="auto"/>
                      </w:divBdr>
                    </w:div>
                    <w:div w:id="1536653805">
                      <w:marLeft w:val="0"/>
                      <w:marRight w:val="0"/>
                      <w:marTop w:val="120"/>
                      <w:marBottom w:val="0"/>
                      <w:divBdr>
                        <w:top w:val="none" w:sz="0" w:space="0" w:color="auto"/>
                        <w:left w:val="none" w:sz="0" w:space="0" w:color="auto"/>
                        <w:bottom w:val="none" w:sz="0" w:space="0" w:color="auto"/>
                        <w:right w:val="none" w:sz="0" w:space="0" w:color="auto"/>
                      </w:divBdr>
                    </w:div>
                  </w:divsChild>
                </w:div>
                <w:div w:id="438336617">
                  <w:marLeft w:val="0"/>
                  <w:marRight w:val="0"/>
                  <w:marTop w:val="0"/>
                  <w:marBottom w:val="0"/>
                  <w:divBdr>
                    <w:top w:val="none" w:sz="0" w:space="0" w:color="auto"/>
                    <w:left w:val="none" w:sz="0" w:space="0" w:color="auto"/>
                    <w:bottom w:val="none" w:sz="0" w:space="0" w:color="auto"/>
                    <w:right w:val="none" w:sz="0" w:space="0" w:color="auto"/>
                  </w:divBdr>
                  <w:divsChild>
                    <w:div w:id="324940774">
                      <w:marLeft w:val="0"/>
                      <w:marRight w:val="0"/>
                      <w:marTop w:val="0"/>
                      <w:marBottom w:val="0"/>
                      <w:divBdr>
                        <w:top w:val="none" w:sz="0" w:space="0" w:color="auto"/>
                        <w:left w:val="none" w:sz="0" w:space="0" w:color="auto"/>
                        <w:bottom w:val="none" w:sz="0" w:space="0" w:color="auto"/>
                        <w:right w:val="none" w:sz="0" w:space="0" w:color="auto"/>
                      </w:divBdr>
                    </w:div>
                    <w:div w:id="802038423">
                      <w:marLeft w:val="0"/>
                      <w:marRight w:val="0"/>
                      <w:marTop w:val="120"/>
                      <w:marBottom w:val="0"/>
                      <w:divBdr>
                        <w:top w:val="none" w:sz="0" w:space="0" w:color="auto"/>
                        <w:left w:val="none" w:sz="0" w:space="0" w:color="auto"/>
                        <w:bottom w:val="none" w:sz="0" w:space="0" w:color="auto"/>
                        <w:right w:val="none" w:sz="0" w:space="0" w:color="auto"/>
                      </w:divBdr>
                    </w:div>
                  </w:divsChild>
                </w:div>
                <w:div w:id="1154764513">
                  <w:marLeft w:val="0"/>
                  <w:marRight w:val="0"/>
                  <w:marTop w:val="0"/>
                  <w:marBottom w:val="0"/>
                  <w:divBdr>
                    <w:top w:val="none" w:sz="0" w:space="0" w:color="auto"/>
                    <w:left w:val="none" w:sz="0" w:space="0" w:color="auto"/>
                    <w:bottom w:val="none" w:sz="0" w:space="0" w:color="auto"/>
                    <w:right w:val="none" w:sz="0" w:space="0" w:color="auto"/>
                  </w:divBdr>
                  <w:divsChild>
                    <w:div w:id="1172910642">
                      <w:marLeft w:val="0"/>
                      <w:marRight w:val="0"/>
                      <w:marTop w:val="0"/>
                      <w:marBottom w:val="0"/>
                      <w:divBdr>
                        <w:top w:val="none" w:sz="0" w:space="0" w:color="auto"/>
                        <w:left w:val="none" w:sz="0" w:space="0" w:color="auto"/>
                        <w:bottom w:val="none" w:sz="0" w:space="0" w:color="auto"/>
                        <w:right w:val="none" w:sz="0" w:space="0" w:color="auto"/>
                      </w:divBdr>
                    </w:div>
                    <w:div w:id="2036038443">
                      <w:marLeft w:val="0"/>
                      <w:marRight w:val="0"/>
                      <w:marTop w:val="120"/>
                      <w:marBottom w:val="0"/>
                      <w:divBdr>
                        <w:top w:val="none" w:sz="0" w:space="0" w:color="auto"/>
                        <w:left w:val="none" w:sz="0" w:space="0" w:color="auto"/>
                        <w:bottom w:val="none" w:sz="0" w:space="0" w:color="auto"/>
                        <w:right w:val="none" w:sz="0" w:space="0" w:color="auto"/>
                      </w:divBdr>
                    </w:div>
                  </w:divsChild>
                </w:div>
                <w:div w:id="1227566216">
                  <w:marLeft w:val="0"/>
                  <w:marRight w:val="0"/>
                  <w:marTop w:val="0"/>
                  <w:marBottom w:val="0"/>
                  <w:divBdr>
                    <w:top w:val="none" w:sz="0" w:space="0" w:color="auto"/>
                    <w:left w:val="none" w:sz="0" w:space="0" w:color="auto"/>
                    <w:bottom w:val="none" w:sz="0" w:space="0" w:color="auto"/>
                    <w:right w:val="none" w:sz="0" w:space="0" w:color="auto"/>
                  </w:divBdr>
                  <w:divsChild>
                    <w:div w:id="126630824">
                      <w:marLeft w:val="0"/>
                      <w:marRight w:val="0"/>
                      <w:marTop w:val="120"/>
                      <w:marBottom w:val="0"/>
                      <w:divBdr>
                        <w:top w:val="none" w:sz="0" w:space="0" w:color="auto"/>
                        <w:left w:val="none" w:sz="0" w:space="0" w:color="auto"/>
                        <w:bottom w:val="none" w:sz="0" w:space="0" w:color="auto"/>
                        <w:right w:val="none" w:sz="0" w:space="0" w:color="auto"/>
                      </w:divBdr>
                    </w:div>
                    <w:div w:id="632835840">
                      <w:marLeft w:val="0"/>
                      <w:marRight w:val="0"/>
                      <w:marTop w:val="0"/>
                      <w:marBottom w:val="0"/>
                      <w:divBdr>
                        <w:top w:val="none" w:sz="0" w:space="0" w:color="auto"/>
                        <w:left w:val="none" w:sz="0" w:space="0" w:color="auto"/>
                        <w:bottom w:val="none" w:sz="0" w:space="0" w:color="auto"/>
                        <w:right w:val="none" w:sz="0" w:space="0" w:color="auto"/>
                      </w:divBdr>
                    </w:div>
                  </w:divsChild>
                </w:div>
                <w:div w:id="1728722568">
                  <w:marLeft w:val="0"/>
                  <w:marRight w:val="0"/>
                  <w:marTop w:val="0"/>
                  <w:marBottom w:val="0"/>
                  <w:divBdr>
                    <w:top w:val="none" w:sz="0" w:space="0" w:color="auto"/>
                    <w:left w:val="none" w:sz="0" w:space="0" w:color="auto"/>
                    <w:bottom w:val="none" w:sz="0" w:space="0" w:color="auto"/>
                    <w:right w:val="none" w:sz="0" w:space="0" w:color="auto"/>
                  </w:divBdr>
                  <w:divsChild>
                    <w:div w:id="545993303">
                      <w:marLeft w:val="0"/>
                      <w:marRight w:val="0"/>
                      <w:marTop w:val="120"/>
                      <w:marBottom w:val="0"/>
                      <w:divBdr>
                        <w:top w:val="none" w:sz="0" w:space="0" w:color="auto"/>
                        <w:left w:val="none" w:sz="0" w:space="0" w:color="auto"/>
                        <w:bottom w:val="none" w:sz="0" w:space="0" w:color="auto"/>
                        <w:right w:val="none" w:sz="0" w:space="0" w:color="auto"/>
                      </w:divBdr>
                    </w:div>
                    <w:div w:id="1322658475">
                      <w:marLeft w:val="0"/>
                      <w:marRight w:val="0"/>
                      <w:marTop w:val="0"/>
                      <w:marBottom w:val="0"/>
                      <w:divBdr>
                        <w:top w:val="none" w:sz="0" w:space="0" w:color="auto"/>
                        <w:left w:val="none" w:sz="0" w:space="0" w:color="auto"/>
                        <w:bottom w:val="none" w:sz="0" w:space="0" w:color="auto"/>
                        <w:right w:val="none" w:sz="0" w:space="0" w:color="auto"/>
                      </w:divBdr>
                    </w:div>
                  </w:divsChild>
                </w:div>
                <w:div w:id="2025588822">
                  <w:marLeft w:val="0"/>
                  <w:marRight w:val="0"/>
                  <w:marTop w:val="0"/>
                  <w:marBottom w:val="0"/>
                  <w:divBdr>
                    <w:top w:val="none" w:sz="0" w:space="0" w:color="auto"/>
                    <w:left w:val="none" w:sz="0" w:space="0" w:color="auto"/>
                    <w:bottom w:val="none" w:sz="0" w:space="0" w:color="auto"/>
                    <w:right w:val="none" w:sz="0" w:space="0" w:color="auto"/>
                  </w:divBdr>
                  <w:divsChild>
                    <w:div w:id="527111402">
                      <w:marLeft w:val="0"/>
                      <w:marRight w:val="0"/>
                      <w:marTop w:val="120"/>
                      <w:marBottom w:val="0"/>
                      <w:divBdr>
                        <w:top w:val="none" w:sz="0" w:space="0" w:color="auto"/>
                        <w:left w:val="none" w:sz="0" w:space="0" w:color="auto"/>
                        <w:bottom w:val="none" w:sz="0" w:space="0" w:color="auto"/>
                        <w:right w:val="none" w:sz="0" w:space="0" w:color="auto"/>
                      </w:divBdr>
                    </w:div>
                    <w:div w:id="1610620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4408156">
      <w:bodyDiv w:val="1"/>
      <w:marLeft w:val="0"/>
      <w:marRight w:val="0"/>
      <w:marTop w:val="0"/>
      <w:marBottom w:val="0"/>
      <w:divBdr>
        <w:top w:val="none" w:sz="0" w:space="0" w:color="auto"/>
        <w:left w:val="none" w:sz="0" w:space="0" w:color="auto"/>
        <w:bottom w:val="none" w:sz="0" w:space="0" w:color="auto"/>
        <w:right w:val="none" w:sz="0" w:space="0" w:color="auto"/>
      </w:divBdr>
      <w:divsChild>
        <w:div w:id="1192493775">
          <w:marLeft w:val="0"/>
          <w:marRight w:val="0"/>
          <w:marTop w:val="0"/>
          <w:marBottom w:val="0"/>
          <w:divBdr>
            <w:top w:val="none" w:sz="0" w:space="0" w:color="auto"/>
            <w:left w:val="none" w:sz="0" w:space="0" w:color="auto"/>
            <w:bottom w:val="none" w:sz="0" w:space="0" w:color="auto"/>
            <w:right w:val="none" w:sz="0" w:space="0" w:color="auto"/>
          </w:divBdr>
          <w:divsChild>
            <w:div w:id="2052873908">
              <w:marLeft w:val="0"/>
              <w:marRight w:val="0"/>
              <w:marTop w:val="0"/>
              <w:marBottom w:val="0"/>
              <w:divBdr>
                <w:top w:val="none" w:sz="0" w:space="0" w:color="auto"/>
                <w:left w:val="none" w:sz="0" w:space="0" w:color="auto"/>
                <w:bottom w:val="none" w:sz="0" w:space="0" w:color="auto"/>
                <w:right w:val="none" w:sz="0" w:space="0" w:color="auto"/>
              </w:divBdr>
            </w:div>
          </w:divsChild>
        </w:div>
        <w:div w:id="2008239583">
          <w:marLeft w:val="0"/>
          <w:marRight w:val="0"/>
          <w:marTop w:val="0"/>
          <w:marBottom w:val="0"/>
          <w:divBdr>
            <w:top w:val="none" w:sz="0" w:space="0" w:color="auto"/>
            <w:left w:val="none" w:sz="0" w:space="0" w:color="auto"/>
            <w:bottom w:val="none" w:sz="0" w:space="0" w:color="auto"/>
            <w:right w:val="none" w:sz="0" w:space="0" w:color="auto"/>
          </w:divBdr>
          <w:divsChild>
            <w:div w:id="147621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2194677">
      <w:bodyDiv w:val="1"/>
      <w:marLeft w:val="0"/>
      <w:marRight w:val="0"/>
      <w:marTop w:val="0"/>
      <w:marBottom w:val="0"/>
      <w:divBdr>
        <w:top w:val="none" w:sz="0" w:space="0" w:color="auto"/>
        <w:left w:val="none" w:sz="0" w:space="0" w:color="auto"/>
        <w:bottom w:val="none" w:sz="0" w:space="0" w:color="auto"/>
        <w:right w:val="none" w:sz="0" w:space="0" w:color="auto"/>
      </w:divBdr>
    </w:div>
    <w:div w:id="356082071">
      <w:bodyDiv w:val="1"/>
      <w:marLeft w:val="0"/>
      <w:marRight w:val="0"/>
      <w:marTop w:val="0"/>
      <w:marBottom w:val="0"/>
      <w:divBdr>
        <w:top w:val="none" w:sz="0" w:space="0" w:color="auto"/>
        <w:left w:val="none" w:sz="0" w:space="0" w:color="auto"/>
        <w:bottom w:val="none" w:sz="0" w:space="0" w:color="auto"/>
        <w:right w:val="none" w:sz="0" w:space="0" w:color="auto"/>
      </w:divBdr>
      <w:divsChild>
        <w:div w:id="213975514">
          <w:marLeft w:val="0"/>
          <w:marRight w:val="0"/>
          <w:marTop w:val="0"/>
          <w:marBottom w:val="0"/>
          <w:divBdr>
            <w:top w:val="none" w:sz="0" w:space="0" w:color="auto"/>
            <w:left w:val="none" w:sz="0" w:space="0" w:color="auto"/>
            <w:bottom w:val="none" w:sz="0" w:space="0" w:color="auto"/>
            <w:right w:val="none" w:sz="0" w:space="0" w:color="auto"/>
          </w:divBdr>
          <w:divsChild>
            <w:div w:id="338509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0324331">
      <w:bodyDiv w:val="1"/>
      <w:marLeft w:val="0"/>
      <w:marRight w:val="0"/>
      <w:marTop w:val="0"/>
      <w:marBottom w:val="0"/>
      <w:divBdr>
        <w:top w:val="none" w:sz="0" w:space="0" w:color="auto"/>
        <w:left w:val="none" w:sz="0" w:space="0" w:color="auto"/>
        <w:bottom w:val="none" w:sz="0" w:space="0" w:color="auto"/>
        <w:right w:val="none" w:sz="0" w:space="0" w:color="auto"/>
      </w:divBdr>
      <w:divsChild>
        <w:div w:id="1010836827">
          <w:marLeft w:val="0"/>
          <w:marRight w:val="0"/>
          <w:marTop w:val="0"/>
          <w:marBottom w:val="0"/>
          <w:divBdr>
            <w:top w:val="none" w:sz="0" w:space="0" w:color="auto"/>
            <w:left w:val="none" w:sz="0" w:space="0" w:color="auto"/>
            <w:bottom w:val="none" w:sz="0" w:space="0" w:color="auto"/>
            <w:right w:val="none" w:sz="0" w:space="0" w:color="auto"/>
          </w:divBdr>
          <w:divsChild>
            <w:div w:id="209951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648201">
      <w:bodyDiv w:val="1"/>
      <w:marLeft w:val="0"/>
      <w:marRight w:val="0"/>
      <w:marTop w:val="0"/>
      <w:marBottom w:val="0"/>
      <w:divBdr>
        <w:top w:val="none" w:sz="0" w:space="0" w:color="auto"/>
        <w:left w:val="none" w:sz="0" w:space="0" w:color="auto"/>
        <w:bottom w:val="none" w:sz="0" w:space="0" w:color="auto"/>
        <w:right w:val="none" w:sz="0" w:space="0" w:color="auto"/>
      </w:divBdr>
      <w:divsChild>
        <w:div w:id="954557297">
          <w:marLeft w:val="0"/>
          <w:marRight w:val="0"/>
          <w:marTop w:val="120"/>
          <w:marBottom w:val="0"/>
          <w:divBdr>
            <w:top w:val="none" w:sz="0" w:space="0" w:color="auto"/>
            <w:left w:val="none" w:sz="0" w:space="0" w:color="auto"/>
            <w:bottom w:val="none" w:sz="0" w:space="0" w:color="auto"/>
            <w:right w:val="none" w:sz="0" w:space="0" w:color="auto"/>
          </w:divBdr>
        </w:div>
        <w:div w:id="2138258163">
          <w:marLeft w:val="0"/>
          <w:marRight w:val="0"/>
          <w:marTop w:val="0"/>
          <w:marBottom w:val="0"/>
          <w:divBdr>
            <w:top w:val="none" w:sz="0" w:space="0" w:color="auto"/>
            <w:left w:val="none" w:sz="0" w:space="0" w:color="auto"/>
            <w:bottom w:val="none" w:sz="0" w:space="0" w:color="auto"/>
            <w:right w:val="none" w:sz="0" w:space="0" w:color="auto"/>
          </w:divBdr>
          <w:divsChild>
            <w:div w:id="36004223">
              <w:marLeft w:val="0"/>
              <w:marRight w:val="0"/>
              <w:marTop w:val="0"/>
              <w:marBottom w:val="0"/>
              <w:divBdr>
                <w:top w:val="none" w:sz="0" w:space="0" w:color="auto"/>
                <w:left w:val="none" w:sz="0" w:space="0" w:color="auto"/>
                <w:bottom w:val="none" w:sz="0" w:space="0" w:color="auto"/>
                <w:right w:val="none" w:sz="0" w:space="0" w:color="auto"/>
              </w:divBdr>
              <w:divsChild>
                <w:div w:id="762454948">
                  <w:marLeft w:val="0"/>
                  <w:marRight w:val="0"/>
                  <w:marTop w:val="120"/>
                  <w:marBottom w:val="0"/>
                  <w:divBdr>
                    <w:top w:val="none" w:sz="0" w:space="0" w:color="auto"/>
                    <w:left w:val="none" w:sz="0" w:space="0" w:color="auto"/>
                    <w:bottom w:val="none" w:sz="0" w:space="0" w:color="auto"/>
                    <w:right w:val="none" w:sz="0" w:space="0" w:color="auto"/>
                  </w:divBdr>
                </w:div>
                <w:div w:id="1796675202">
                  <w:marLeft w:val="0"/>
                  <w:marRight w:val="0"/>
                  <w:marTop w:val="0"/>
                  <w:marBottom w:val="0"/>
                  <w:divBdr>
                    <w:top w:val="none" w:sz="0" w:space="0" w:color="auto"/>
                    <w:left w:val="none" w:sz="0" w:space="0" w:color="auto"/>
                    <w:bottom w:val="none" w:sz="0" w:space="0" w:color="auto"/>
                    <w:right w:val="none" w:sz="0" w:space="0" w:color="auto"/>
                  </w:divBdr>
                </w:div>
              </w:divsChild>
            </w:div>
            <w:div w:id="362901184">
              <w:marLeft w:val="0"/>
              <w:marRight w:val="0"/>
              <w:marTop w:val="0"/>
              <w:marBottom w:val="0"/>
              <w:divBdr>
                <w:top w:val="none" w:sz="0" w:space="0" w:color="auto"/>
                <w:left w:val="none" w:sz="0" w:space="0" w:color="auto"/>
                <w:bottom w:val="none" w:sz="0" w:space="0" w:color="auto"/>
                <w:right w:val="none" w:sz="0" w:space="0" w:color="auto"/>
              </w:divBdr>
              <w:divsChild>
                <w:div w:id="386488715">
                  <w:marLeft w:val="0"/>
                  <w:marRight w:val="0"/>
                  <w:marTop w:val="120"/>
                  <w:marBottom w:val="0"/>
                  <w:divBdr>
                    <w:top w:val="none" w:sz="0" w:space="0" w:color="auto"/>
                    <w:left w:val="none" w:sz="0" w:space="0" w:color="auto"/>
                    <w:bottom w:val="none" w:sz="0" w:space="0" w:color="auto"/>
                    <w:right w:val="none" w:sz="0" w:space="0" w:color="auto"/>
                  </w:divBdr>
                </w:div>
                <w:div w:id="1511916558">
                  <w:marLeft w:val="0"/>
                  <w:marRight w:val="0"/>
                  <w:marTop w:val="0"/>
                  <w:marBottom w:val="0"/>
                  <w:divBdr>
                    <w:top w:val="none" w:sz="0" w:space="0" w:color="auto"/>
                    <w:left w:val="none" w:sz="0" w:space="0" w:color="auto"/>
                    <w:bottom w:val="none" w:sz="0" w:space="0" w:color="auto"/>
                    <w:right w:val="none" w:sz="0" w:space="0" w:color="auto"/>
                  </w:divBdr>
                </w:div>
              </w:divsChild>
            </w:div>
            <w:div w:id="1434279714">
              <w:marLeft w:val="0"/>
              <w:marRight w:val="0"/>
              <w:marTop w:val="0"/>
              <w:marBottom w:val="0"/>
              <w:divBdr>
                <w:top w:val="none" w:sz="0" w:space="0" w:color="auto"/>
                <w:left w:val="none" w:sz="0" w:space="0" w:color="auto"/>
                <w:bottom w:val="none" w:sz="0" w:space="0" w:color="auto"/>
                <w:right w:val="none" w:sz="0" w:space="0" w:color="auto"/>
              </w:divBdr>
              <w:divsChild>
                <w:div w:id="814107225">
                  <w:marLeft w:val="0"/>
                  <w:marRight w:val="0"/>
                  <w:marTop w:val="0"/>
                  <w:marBottom w:val="0"/>
                  <w:divBdr>
                    <w:top w:val="none" w:sz="0" w:space="0" w:color="auto"/>
                    <w:left w:val="none" w:sz="0" w:space="0" w:color="auto"/>
                    <w:bottom w:val="none" w:sz="0" w:space="0" w:color="auto"/>
                    <w:right w:val="none" w:sz="0" w:space="0" w:color="auto"/>
                  </w:divBdr>
                </w:div>
                <w:div w:id="1896619595">
                  <w:marLeft w:val="0"/>
                  <w:marRight w:val="0"/>
                  <w:marTop w:val="120"/>
                  <w:marBottom w:val="0"/>
                  <w:divBdr>
                    <w:top w:val="none" w:sz="0" w:space="0" w:color="auto"/>
                    <w:left w:val="none" w:sz="0" w:space="0" w:color="auto"/>
                    <w:bottom w:val="none" w:sz="0" w:space="0" w:color="auto"/>
                    <w:right w:val="none" w:sz="0" w:space="0" w:color="auto"/>
                  </w:divBdr>
                </w:div>
              </w:divsChild>
            </w:div>
            <w:div w:id="1479884453">
              <w:marLeft w:val="0"/>
              <w:marRight w:val="0"/>
              <w:marTop w:val="0"/>
              <w:marBottom w:val="0"/>
              <w:divBdr>
                <w:top w:val="none" w:sz="0" w:space="0" w:color="auto"/>
                <w:left w:val="none" w:sz="0" w:space="0" w:color="auto"/>
                <w:bottom w:val="none" w:sz="0" w:space="0" w:color="auto"/>
                <w:right w:val="none" w:sz="0" w:space="0" w:color="auto"/>
              </w:divBdr>
              <w:divsChild>
                <w:div w:id="508831155">
                  <w:marLeft w:val="0"/>
                  <w:marRight w:val="0"/>
                  <w:marTop w:val="0"/>
                  <w:marBottom w:val="0"/>
                  <w:divBdr>
                    <w:top w:val="none" w:sz="0" w:space="0" w:color="auto"/>
                    <w:left w:val="none" w:sz="0" w:space="0" w:color="auto"/>
                    <w:bottom w:val="none" w:sz="0" w:space="0" w:color="auto"/>
                    <w:right w:val="none" w:sz="0" w:space="0" w:color="auto"/>
                  </w:divBdr>
                </w:div>
                <w:div w:id="1702508448">
                  <w:marLeft w:val="0"/>
                  <w:marRight w:val="0"/>
                  <w:marTop w:val="120"/>
                  <w:marBottom w:val="0"/>
                  <w:divBdr>
                    <w:top w:val="none" w:sz="0" w:space="0" w:color="auto"/>
                    <w:left w:val="none" w:sz="0" w:space="0" w:color="auto"/>
                    <w:bottom w:val="none" w:sz="0" w:space="0" w:color="auto"/>
                    <w:right w:val="none" w:sz="0" w:space="0" w:color="auto"/>
                  </w:divBdr>
                </w:div>
              </w:divsChild>
            </w:div>
            <w:div w:id="1495220876">
              <w:marLeft w:val="0"/>
              <w:marRight w:val="0"/>
              <w:marTop w:val="0"/>
              <w:marBottom w:val="0"/>
              <w:divBdr>
                <w:top w:val="none" w:sz="0" w:space="0" w:color="auto"/>
                <w:left w:val="none" w:sz="0" w:space="0" w:color="auto"/>
                <w:bottom w:val="none" w:sz="0" w:space="0" w:color="auto"/>
                <w:right w:val="none" w:sz="0" w:space="0" w:color="auto"/>
              </w:divBdr>
              <w:divsChild>
                <w:div w:id="397896711">
                  <w:marLeft w:val="0"/>
                  <w:marRight w:val="0"/>
                  <w:marTop w:val="120"/>
                  <w:marBottom w:val="0"/>
                  <w:divBdr>
                    <w:top w:val="none" w:sz="0" w:space="0" w:color="auto"/>
                    <w:left w:val="none" w:sz="0" w:space="0" w:color="auto"/>
                    <w:bottom w:val="none" w:sz="0" w:space="0" w:color="auto"/>
                    <w:right w:val="none" w:sz="0" w:space="0" w:color="auto"/>
                  </w:divBdr>
                </w:div>
                <w:div w:id="1642615492">
                  <w:marLeft w:val="0"/>
                  <w:marRight w:val="0"/>
                  <w:marTop w:val="0"/>
                  <w:marBottom w:val="0"/>
                  <w:divBdr>
                    <w:top w:val="none" w:sz="0" w:space="0" w:color="auto"/>
                    <w:left w:val="none" w:sz="0" w:space="0" w:color="auto"/>
                    <w:bottom w:val="none" w:sz="0" w:space="0" w:color="auto"/>
                    <w:right w:val="none" w:sz="0" w:space="0" w:color="auto"/>
                  </w:divBdr>
                </w:div>
              </w:divsChild>
            </w:div>
            <w:div w:id="2135052150">
              <w:marLeft w:val="0"/>
              <w:marRight w:val="0"/>
              <w:marTop w:val="0"/>
              <w:marBottom w:val="0"/>
              <w:divBdr>
                <w:top w:val="none" w:sz="0" w:space="0" w:color="auto"/>
                <w:left w:val="none" w:sz="0" w:space="0" w:color="auto"/>
                <w:bottom w:val="none" w:sz="0" w:space="0" w:color="auto"/>
                <w:right w:val="none" w:sz="0" w:space="0" w:color="auto"/>
              </w:divBdr>
              <w:divsChild>
                <w:div w:id="236598169">
                  <w:marLeft w:val="0"/>
                  <w:marRight w:val="0"/>
                  <w:marTop w:val="0"/>
                  <w:marBottom w:val="0"/>
                  <w:divBdr>
                    <w:top w:val="none" w:sz="0" w:space="0" w:color="auto"/>
                    <w:left w:val="none" w:sz="0" w:space="0" w:color="auto"/>
                    <w:bottom w:val="none" w:sz="0" w:space="0" w:color="auto"/>
                    <w:right w:val="none" w:sz="0" w:space="0" w:color="auto"/>
                  </w:divBdr>
                </w:div>
                <w:div w:id="1455055222">
                  <w:marLeft w:val="0"/>
                  <w:marRight w:val="0"/>
                  <w:marTop w:val="120"/>
                  <w:marBottom w:val="0"/>
                  <w:divBdr>
                    <w:top w:val="none" w:sz="0" w:space="0" w:color="auto"/>
                    <w:left w:val="none" w:sz="0" w:space="0" w:color="auto"/>
                    <w:bottom w:val="none" w:sz="0" w:space="0" w:color="auto"/>
                    <w:right w:val="none" w:sz="0" w:space="0" w:color="auto"/>
                  </w:divBdr>
                </w:div>
              </w:divsChild>
            </w:div>
            <w:div w:id="2137675039">
              <w:marLeft w:val="0"/>
              <w:marRight w:val="0"/>
              <w:marTop w:val="0"/>
              <w:marBottom w:val="0"/>
              <w:divBdr>
                <w:top w:val="none" w:sz="0" w:space="0" w:color="auto"/>
                <w:left w:val="none" w:sz="0" w:space="0" w:color="auto"/>
                <w:bottom w:val="none" w:sz="0" w:space="0" w:color="auto"/>
                <w:right w:val="none" w:sz="0" w:space="0" w:color="auto"/>
              </w:divBdr>
              <w:divsChild>
                <w:div w:id="37552962">
                  <w:marLeft w:val="0"/>
                  <w:marRight w:val="0"/>
                  <w:marTop w:val="0"/>
                  <w:marBottom w:val="0"/>
                  <w:divBdr>
                    <w:top w:val="none" w:sz="0" w:space="0" w:color="auto"/>
                    <w:left w:val="none" w:sz="0" w:space="0" w:color="auto"/>
                    <w:bottom w:val="none" w:sz="0" w:space="0" w:color="auto"/>
                    <w:right w:val="none" w:sz="0" w:space="0" w:color="auto"/>
                  </w:divBdr>
                </w:div>
                <w:div w:id="21774170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388236973">
      <w:bodyDiv w:val="1"/>
      <w:marLeft w:val="0"/>
      <w:marRight w:val="0"/>
      <w:marTop w:val="0"/>
      <w:marBottom w:val="0"/>
      <w:divBdr>
        <w:top w:val="none" w:sz="0" w:space="0" w:color="auto"/>
        <w:left w:val="none" w:sz="0" w:space="0" w:color="auto"/>
        <w:bottom w:val="none" w:sz="0" w:space="0" w:color="auto"/>
        <w:right w:val="none" w:sz="0" w:space="0" w:color="auto"/>
      </w:divBdr>
      <w:divsChild>
        <w:div w:id="210579263">
          <w:marLeft w:val="0"/>
          <w:marRight w:val="0"/>
          <w:marTop w:val="0"/>
          <w:marBottom w:val="0"/>
          <w:divBdr>
            <w:top w:val="none" w:sz="0" w:space="0" w:color="auto"/>
            <w:left w:val="none" w:sz="0" w:space="0" w:color="auto"/>
            <w:bottom w:val="none" w:sz="0" w:space="0" w:color="auto"/>
            <w:right w:val="none" w:sz="0" w:space="0" w:color="auto"/>
          </w:divBdr>
        </w:div>
        <w:div w:id="1052189465">
          <w:marLeft w:val="0"/>
          <w:marRight w:val="0"/>
          <w:marTop w:val="120"/>
          <w:marBottom w:val="0"/>
          <w:divBdr>
            <w:top w:val="none" w:sz="0" w:space="0" w:color="auto"/>
            <w:left w:val="none" w:sz="0" w:space="0" w:color="auto"/>
            <w:bottom w:val="none" w:sz="0" w:space="0" w:color="auto"/>
            <w:right w:val="none" w:sz="0" w:space="0" w:color="auto"/>
          </w:divBdr>
        </w:div>
      </w:divsChild>
    </w:div>
    <w:div w:id="399060765">
      <w:bodyDiv w:val="1"/>
      <w:marLeft w:val="0"/>
      <w:marRight w:val="0"/>
      <w:marTop w:val="0"/>
      <w:marBottom w:val="0"/>
      <w:divBdr>
        <w:top w:val="none" w:sz="0" w:space="0" w:color="auto"/>
        <w:left w:val="none" w:sz="0" w:space="0" w:color="auto"/>
        <w:bottom w:val="none" w:sz="0" w:space="0" w:color="auto"/>
        <w:right w:val="none" w:sz="0" w:space="0" w:color="auto"/>
      </w:divBdr>
      <w:divsChild>
        <w:div w:id="640309173">
          <w:marLeft w:val="0"/>
          <w:marRight w:val="0"/>
          <w:marTop w:val="120"/>
          <w:marBottom w:val="0"/>
          <w:divBdr>
            <w:top w:val="none" w:sz="0" w:space="0" w:color="auto"/>
            <w:left w:val="none" w:sz="0" w:space="0" w:color="auto"/>
            <w:bottom w:val="none" w:sz="0" w:space="0" w:color="auto"/>
            <w:right w:val="none" w:sz="0" w:space="0" w:color="auto"/>
          </w:divBdr>
        </w:div>
        <w:div w:id="1238396773">
          <w:marLeft w:val="0"/>
          <w:marRight w:val="0"/>
          <w:marTop w:val="0"/>
          <w:marBottom w:val="0"/>
          <w:divBdr>
            <w:top w:val="none" w:sz="0" w:space="0" w:color="auto"/>
            <w:left w:val="none" w:sz="0" w:space="0" w:color="auto"/>
            <w:bottom w:val="none" w:sz="0" w:space="0" w:color="auto"/>
            <w:right w:val="none" w:sz="0" w:space="0" w:color="auto"/>
          </w:divBdr>
        </w:div>
      </w:divsChild>
    </w:div>
    <w:div w:id="402416248">
      <w:bodyDiv w:val="1"/>
      <w:marLeft w:val="0"/>
      <w:marRight w:val="0"/>
      <w:marTop w:val="0"/>
      <w:marBottom w:val="0"/>
      <w:divBdr>
        <w:top w:val="none" w:sz="0" w:space="0" w:color="auto"/>
        <w:left w:val="none" w:sz="0" w:space="0" w:color="auto"/>
        <w:bottom w:val="none" w:sz="0" w:space="0" w:color="auto"/>
        <w:right w:val="none" w:sz="0" w:space="0" w:color="auto"/>
      </w:divBdr>
      <w:divsChild>
        <w:div w:id="242221497">
          <w:marLeft w:val="0"/>
          <w:marRight w:val="0"/>
          <w:marTop w:val="0"/>
          <w:marBottom w:val="0"/>
          <w:divBdr>
            <w:top w:val="none" w:sz="0" w:space="0" w:color="auto"/>
            <w:left w:val="none" w:sz="0" w:space="0" w:color="auto"/>
            <w:bottom w:val="none" w:sz="0" w:space="0" w:color="auto"/>
            <w:right w:val="none" w:sz="0" w:space="0" w:color="auto"/>
          </w:divBdr>
        </w:div>
      </w:divsChild>
    </w:div>
    <w:div w:id="406801415">
      <w:bodyDiv w:val="1"/>
      <w:marLeft w:val="0"/>
      <w:marRight w:val="0"/>
      <w:marTop w:val="0"/>
      <w:marBottom w:val="0"/>
      <w:divBdr>
        <w:top w:val="none" w:sz="0" w:space="0" w:color="auto"/>
        <w:left w:val="none" w:sz="0" w:space="0" w:color="auto"/>
        <w:bottom w:val="none" w:sz="0" w:space="0" w:color="auto"/>
        <w:right w:val="none" w:sz="0" w:space="0" w:color="auto"/>
      </w:divBdr>
      <w:divsChild>
        <w:div w:id="531921769">
          <w:marLeft w:val="0"/>
          <w:marRight w:val="0"/>
          <w:marTop w:val="0"/>
          <w:marBottom w:val="0"/>
          <w:divBdr>
            <w:top w:val="none" w:sz="0" w:space="0" w:color="auto"/>
            <w:left w:val="none" w:sz="0" w:space="0" w:color="auto"/>
            <w:bottom w:val="none" w:sz="0" w:space="0" w:color="auto"/>
            <w:right w:val="none" w:sz="0" w:space="0" w:color="auto"/>
          </w:divBdr>
          <w:divsChild>
            <w:div w:id="665743399">
              <w:marLeft w:val="0"/>
              <w:marRight w:val="0"/>
              <w:marTop w:val="0"/>
              <w:marBottom w:val="0"/>
              <w:divBdr>
                <w:top w:val="none" w:sz="0" w:space="0" w:color="auto"/>
                <w:left w:val="none" w:sz="0" w:space="0" w:color="auto"/>
                <w:bottom w:val="none" w:sz="0" w:space="0" w:color="auto"/>
                <w:right w:val="none" w:sz="0" w:space="0" w:color="auto"/>
              </w:divBdr>
              <w:divsChild>
                <w:div w:id="552623280">
                  <w:marLeft w:val="0"/>
                  <w:marRight w:val="0"/>
                  <w:marTop w:val="120"/>
                  <w:marBottom w:val="0"/>
                  <w:divBdr>
                    <w:top w:val="none" w:sz="0" w:space="0" w:color="auto"/>
                    <w:left w:val="none" w:sz="0" w:space="0" w:color="auto"/>
                    <w:bottom w:val="none" w:sz="0" w:space="0" w:color="auto"/>
                    <w:right w:val="none" w:sz="0" w:space="0" w:color="auto"/>
                  </w:divBdr>
                </w:div>
                <w:div w:id="2052269116">
                  <w:marLeft w:val="0"/>
                  <w:marRight w:val="0"/>
                  <w:marTop w:val="0"/>
                  <w:marBottom w:val="0"/>
                  <w:divBdr>
                    <w:top w:val="none" w:sz="0" w:space="0" w:color="auto"/>
                    <w:left w:val="none" w:sz="0" w:space="0" w:color="auto"/>
                    <w:bottom w:val="none" w:sz="0" w:space="0" w:color="auto"/>
                    <w:right w:val="none" w:sz="0" w:space="0" w:color="auto"/>
                  </w:divBdr>
                </w:div>
              </w:divsChild>
            </w:div>
            <w:div w:id="2140300933">
              <w:marLeft w:val="0"/>
              <w:marRight w:val="0"/>
              <w:marTop w:val="0"/>
              <w:marBottom w:val="0"/>
              <w:divBdr>
                <w:top w:val="none" w:sz="0" w:space="0" w:color="auto"/>
                <w:left w:val="none" w:sz="0" w:space="0" w:color="auto"/>
                <w:bottom w:val="none" w:sz="0" w:space="0" w:color="auto"/>
                <w:right w:val="none" w:sz="0" w:space="0" w:color="auto"/>
              </w:divBdr>
              <w:divsChild>
                <w:div w:id="1121611650">
                  <w:marLeft w:val="0"/>
                  <w:marRight w:val="0"/>
                  <w:marTop w:val="120"/>
                  <w:marBottom w:val="0"/>
                  <w:divBdr>
                    <w:top w:val="none" w:sz="0" w:space="0" w:color="auto"/>
                    <w:left w:val="none" w:sz="0" w:space="0" w:color="auto"/>
                    <w:bottom w:val="none" w:sz="0" w:space="0" w:color="auto"/>
                    <w:right w:val="none" w:sz="0" w:space="0" w:color="auto"/>
                  </w:divBdr>
                </w:div>
                <w:div w:id="1686900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073604">
      <w:bodyDiv w:val="1"/>
      <w:marLeft w:val="0"/>
      <w:marRight w:val="0"/>
      <w:marTop w:val="0"/>
      <w:marBottom w:val="0"/>
      <w:divBdr>
        <w:top w:val="none" w:sz="0" w:space="0" w:color="auto"/>
        <w:left w:val="none" w:sz="0" w:space="0" w:color="auto"/>
        <w:bottom w:val="none" w:sz="0" w:space="0" w:color="auto"/>
        <w:right w:val="none" w:sz="0" w:space="0" w:color="auto"/>
      </w:divBdr>
      <w:divsChild>
        <w:div w:id="479617882">
          <w:marLeft w:val="0"/>
          <w:marRight w:val="0"/>
          <w:marTop w:val="0"/>
          <w:marBottom w:val="0"/>
          <w:divBdr>
            <w:top w:val="none" w:sz="0" w:space="0" w:color="auto"/>
            <w:left w:val="none" w:sz="0" w:space="0" w:color="auto"/>
            <w:bottom w:val="none" w:sz="0" w:space="0" w:color="auto"/>
            <w:right w:val="none" w:sz="0" w:space="0" w:color="auto"/>
          </w:divBdr>
        </w:div>
      </w:divsChild>
    </w:div>
    <w:div w:id="431240434">
      <w:bodyDiv w:val="1"/>
      <w:marLeft w:val="0"/>
      <w:marRight w:val="0"/>
      <w:marTop w:val="0"/>
      <w:marBottom w:val="0"/>
      <w:divBdr>
        <w:top w:val="none" w:sz="0" w:space="0" w:color="auto"/>
        <w:left w:val="none" w:sz="0" w:space="0" w:color="auto"/>
        <w:bottom w:val="none" w:sz="0" w:space="0" w:color="auto"/>
        <w:right w:val="none" w:sz="0" w:space="0" w:color="auto"/>
      </w:divBdr>
      <w:divsChild>
        <w:div w:id="675116354">
          <w:marLeft w:val="0"/>
          <w:marRight w:val="0"/>
          <w:marTop w:val="0"/>
          <w:marBottom w:val="0"/>
          <w:divBdr>
            <w:top w:val="none" w:sz="0" w:space="0" w:color="auto"/>
            <w:left w:val="none" w:sz="0" w:space="0" w:color="auto"/>
            <w:bottom w:val="none" w:sz="0" w:space="0" w:color="auto"/>
            <w:right w:val="none" w:sz="0" w:space="0" w:color="auto"/>
          </w:divBdr>
          <w:divsChild>
            <w:div w:id="179779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029425">
      <w:bodyDiv w:val="1"/>
      <w:marLeft w:val="0"/>
      <w:marRight w:val="0"/>
      <w:marTop w:val="0"/>
      <w:marBottom w:val="0"/>
      <w:divBdr>
        <w:top w:val="none" w:sz="0" w:space="0" w:color="auto"/>
        <w:left w:val="none" w:sz="0" w:space="0" w:color="auto"/>
        <w:bottom w:val="none" w:sz="0" w:space="0" w:color="auto"/>
        <w:right w:val="none" w:sz="0" w:space="0" w:color="auto"/>
      </w:divBdr>
    </w:div>
    <w:div w:id="439494703">
      <w:bodyDiv w:val="1"/>
      <w:marLeft w:val="0"/>
      <w:marRight w:val="0"/>
      <w:marTop w:val="0"/>
      <w:marBottom w:val="0"/>
      <w:divBdr>
        <w:top w:val="none" w:sz="0" w:space="0" w:color="auto"/>
        <w:left w:val="none" w:sz="0" w:space="0" w:color="auto"/>
        <w:bottom w:val="none" w:sz="0" w:space="0" w:color="auto"/>
        <w:right w:val="none" w:sz="0" w:space="0" w:color="auto"/>
      </w:divBdr>
      <w:divsChild>
        <w:div w:id="122235774">
          <w:marLeft w:val="0"/>
          <w:marRight w:val="0"/>
          <w:marTop w:val="0"/>
          <w:marBottom w:val="0"/>
          <w:divBdr>
            <w:top w:val="none" w:sz="0" w:space="0" w:color="auto"/>
            <w:left w:val="none" w:sz="0" w:space="0" w:color="auto"/>
            <w:bottom w:val="none" w:sz="0" w:space="0" w:color="auto"/>
            <w:right w:val="none" w:sz="0" w:space="0" w:color="auto"/>
          </w:divBdr>
          <w:divsChild>
            <w:div w:id="1477142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6938">
      <w:bodyDiv w:val="1"/>
      <w:marLeft w:val="0"/>
      <w:marRight w:val="0"/>
      <w:marTop w:val="0"/>
      <w:marBottom w:val="0"/>
      <w:divBdr>
        <w:top w:val="none" w:sz="0" w:space="0" w:color="auto"/>
        <w:left w:val="none" w:sz="0" w:space="0" w:color="auto"/>
        <w:bottom w:val="none" w:sz="0" w:space="0" w:color="auto"/>
        <w:right w:val="none" w:sz="0" w:space="0" w:color="auto"/>
      </w:divBdr>
    </w:div>
    <w:div w:id="455568511">
      <w:bodyDiv w:val="1"/>
      <w:marLeft w:val="0"/>
      <w:marRight w:val="0"/>
      <w:marTop w:val="0"/>
      <w:marBottom w:val="0"/>
      <w:divBdr>
        <w:top w:val="none" w:sz="0" w:space="0" w:color="auto"/>
        <w:left w:val="none" w:sz="0" w:space="0" w:color="auto"/>
        <w:bottom w:val="none" w:sz="0" w:space="0" w:color="auto"/>
        <w:right w:val="none" w:sz="0" w:space="0" w:color="auto"/>
      </w:divBdr>
      <w:divsChild>
        <w:div w:id="746072975">
          <w:marLeft w:val="0"/>
          <w:marRight w:val="0"/>
          <w:marTop w:val="0"/>
          <w:marBottom w:val="0"/>
          <w:divBdr>
            <w:top w:val="none" w:sz="0" w:space="0" w:color="auto"/>
            <w:left w:val="none" w:sz="0" w:space="0" w:color="auto"/>
            <w:bottom w:val="none" w:sz="0" w:space="0" w:color="auto"/>
            <w:right w:val="none" w:sz="0" w:space="0" w:color="auto"/>
          </w:divBdr>
          <w:divsChild>
            <w:div w:id="117917752">
              <w:marLeft w:val="0"/>
              <w:marRight w:val="0"/>
              <w:marTop w:val="0"/>
              <w:marBottom w:val="0"/>
              <w:divBdr>
                <w:top w:val="none" w:sz="0" w:space="0" w:color="auto"/>
                <w:left w:val="none" w:sz="0" w:space="0" w:color="auto"/>
                <w:bottom w:val="none" w:sz="0" w:space="0" w:color="auto"/>
                <w:right w:val="none" w:sz="0" w:space="0" w:color="auto"/>
              </w:divBdr>
              <w:divsChild>
                <w:div w:id="333457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946247">
      <w:bodyDiv w:val="1"/>
      <w:marLeft w:val="0"/>
      <w:marRight w:val="0"/>
      <w:marTop w:val="0"/>
      <w:marBottom w:val="0"/>
      <w:divBdr>
        <w:top w:val="none" w:sz="0" w:space="0" w:color="auto"/>
        <w:left w:val="none" w:sz="0" w:space="0" w:color="auto"/>
        <w:bottom w:val="none" w:sz="0" w:space="0" w:color="auto"/>
        <w:right w:val="none" w:sz="0" w:space="0" w:color="auto"/>
      </w:divBdr>
      <w:divsChild>
        <w:div w:id="123081584">
          <w:marLeft w:val="0"/>
          <w:marRight w:val="0"/>
          <w:marTop w:val="0"/>
          <w:marBottom w:val="0"/>
          <w:divBdr>
            <w:top w:val="none" w:sz="0" w:space="0" w:color="auto"/>
            <w:left w:val="none" w:sz="0" w:space="0" w:color="auto"/>
            <w:bottom w:val="none" w:sz="0" w:space="0" w:color="auto"/>
            <w:right w:val="none" w:sz="0" w:space="0" w:color="auto"/>
          </w:divBdr>
          <w:divsChild>
            <w:div w:id="1057974750">
              <w:marLeft w:val="0"/>
              <w:marRight w:val="0"/>
              <w:marTop w:val="0"/>
              <w:marBottom w:val="0"/>
              <w:divBdr>
                <w:top w:val="none" w:sz="0" w:space="0" w:color="auto"/>
                <w:left w:val="none" w:sz="0" w:space="0" w:color="auto"/>
                <w:bottom w:val="none" w:sz="0" w:space="0" w:color="auto"/>
                <w:right w:val="none" w:sz="0" w:space="0" w:color="auto"/>
              </w:divBdr>
            </w:div>
            <w:div w:id="1812600922">
              <w:marLeft w:val="0"/>
              <w:marRight w:val="0"/>
              <w:marTop w:val="120"/>
              <w:marBottom w:val="0"/>
              <w:divBdr>
                <w:top w:val="none" w:sz="0" w:space="0" w:color="auto"/>
                <w:left w:val="none" w:sz="0" w:space="0" w:color="auto"/>
                <w:bottom w:val="none" w:sz="0" w:space="0" w:color="auto"/>
                <w:right w:val="none" w:sz="0" w:space="0" w:color="auto"/>
              </w:divBdr>
            </w:div>
          </w:divsChild>
        </w:div>
        <w:div w:id="668099012">
          <w:marLeft w:val="0"/>
          <w:marRight w:val="0"/>
          <w:marTop w:val="0"/>
          <w:marBottom w:val="0"/>
          <w:divBdr>
            <w:top w:val="none" w:sz="0" w:space="0" w:color="auto"/>
            <w:left w:val="none" w:sz="0" w:space="0" w:color="auto"/>
            <w:bottom w:val="none" w:sz="0" w:space="0" w:color="auto"/>
            <w:right w:val="none" w:sz="0" w:space="0" w:color="auto"/>
          </w:divBdr>
          <w:divsChild>
            <w:div w:id="533033146">
              <w:marLeft w:val="0"/>
              <w:marRight w:val="0"/>
              <w:marTop w:val="0"/>
              <w:marBottom w:val="0"/>
              <w:divBdr>
                <w:top w:val="none" w:sz="0" w:space="0" w:color="auto"/>
                <w:left w:val="none" w:sz="0" w:space="0" w:color="auto"/>
                <w:bottom w:val="none" w:sz="0" w:space="0" w:color="auto"/>
                <w:right w:val="none" w:sz="0" w:space="0" w:color="auto"/>
              </w:divBdr>
            </w:div>
            <w:div w:id="2000116092">
              <w:marLeft w:val="0"/>
              <w:marRight w:val="0"/>
              <w:marTop w:val="120"/>
              <w:marBottom w:val="0"/>
              <w:divBdr>
                <w:top w:val="none" w:sz="0" w:space="0" w:color="auto"/>
                <w:left w:val="none" w:sz="0" w:space="0" w:color="auto"/>
                <w:bottom w:val="none" w:sz="0" w:space="0" w:color="auto"/>
                <w:right w:val="none" w:sz="0" w:space="0" w:color="auto"/>
              </w:divBdr>
            </w:div>
          </w:divsChild>
        </w:div>
        <w:div w:id="817846873">
          <w:marLeft w:val="0"/>
          <w:marRight w:val="0"/>
          <w:marTop w:val="0"/>
          <w:marBottom w:val="0"/>
          <w:divBdr>
            <w:top w:val="none" w:sz="0" w:space="0" w:color="auto"/>
            <w:left w:val="none" w:sz="0" w:space="0" w:color="auto"/>
            <w:bottom w:val="none" w:sz="0" w:space="0" w:color="auto"/>
            <w:right w:val="none" w:sz="0" w:space="0" w:color="auto"/>
          </w:divBdr>
          <w:divsChild>
            <w:div w:id="684285479">
              <w:marLeft w:val="0"/>
              <w:marRight w:val="0"/>
              <w:marTop w:val="0"/>
              <w:marBottom w:val="0"/>
              <w:divBdr>
                <w:top w:val="none" w:sz="0" w:space="0" w:color="auto"/>
                <w:left w:val="none" w:sz="0" w:space="0" w:color="auto"/>
                <w:bottom w:val="none" w:sz="0" w:space="0" w:color="auto"/>
                <w:right w:val="none" w:sz="0" w:space="0" w:color="auto"/>
              </w:divBdr>
            </w:div>
            <w:div w:id="1322081347">
              <w:marLeft w:val="0"/>
              <w:marRight w:val="0"/>
              <w:marTop w:val="120"/>
              <w:marBottom w:val="0"/>
              <w:divBdr>
                <w:top w:val="none" w:sz="0" w:space="0" w:color="auto"/>
                <w:left w:val="none" w:sz="0" w:space="0" w:color="auto"/>
                <w:bottom w:val="none" w:sz="0" w:space="0" w:color="auto"/>
                <w:right w:val="none" w:sz="0" w:space="0" w:color="auto"/>
              </w:divBdr>
            </w:div>
          </w:divsChild>
        </w:div>
        <w:div w:id="1624338723">
          <w:marLeft w:val="0"/>
          <w:marRight w:val="0"/>
          <w:marTop w:val="0"/>
          <w:marBottom w:val="0"/>
          <w:divBdr>
            <w:top w:val="none" w:sz="0" w:space="0" w:color="auto"/>
            <w:left w:val="none" w:sz="0" w:space="0" w:color="auto"/>
            <w:bottom w:val="none" w:sz="0" w:space="0" w:color="auto"/>
            <w:right w:val="none" w:sz="0" w:space="0" w:color="auto"/>
          </w:divBdr>
          <w:divsChild>
            <w:div w:id="1125124343">
              <w:marLeft w:val="0"/>
              <w:marRight w:val="0"/>
              <w:marTop w:val="120"/>
              <w:marBottom w:val="0"/>
              <w:divBdr>
                <w:top w:val="none" w:sz="0" w:space="0" w:color="auto"/>
                <w:left w:val="none" w:sz="0" w:space="0" w:color="auto"/>
                <w:bottom w:val="none" w:sz="0" w:space="0" w:color="auto"/>
                <w:right w:val="none" w:sz="0" w:space="0" w:color="auto"/>
              </w:divBdr>
            </w:div>
            <w:div w:id="2000500148">
              <w:marLeft w:val="0"/>
              <w:marRight w:val="0"/>
              <w:marTop w:val="0"/>
              <w:marBottom w:val="0"/>
              <w:divBdr>
                <w:top w:val="none" w:sz="0" w:space="0" w:color="auto"/>
                <w:left w:val="none" w:sz="0" w:space="0" w:color="auto"/>
                <w:bottom w:val="none" w:sz="0" w:space="0" w:color="auto"/>
                <w:right w:val="none" w:sz="0" w:space="0" w:color="auto"/>
              </w:divBdr>
            </w:div>
          </w:divsChild>
        </w:div>
        <w:div w:id="1907110707">
          <w:marLeft w:val="0"/>
          <w:marRight w:val="0"/>
          <w:marTop w:val="0"/>
          <w:marBottom w:val="0"/>
          <w:divBdr>
            <w:top w:val="none" w:sz="0" w:space="0" w:color="auto"/>
            <w:left w:val="none" w:sz="0" w:space="0" w:color="auto"/>
            <w:bottom w:val="none" w:sz="0" w:space="0" w:color="auto"/>
            <w:right w:val="none" w:sz="0" w:space="0" w:color="auto"/>
          </w:divBdr>
          <w:divsChild>
            <w:div w:id="1163544631">
              <w:marLeft w:val="0"/>
              <w:marRight w:val="0"/>
              <w:marTop w:val="120"/>
              <w:marBottom w:val="0"/>
              <w:divBdr>
                <w:top w:val="none" w:sz="0" w:space="0" w:color="auto"/>
                <w:left w:val="none" w:sz="0" w:space="0" w:color="auto"/>
                <w:bottom w:val="none" w:sz="0" w:space="0" w:color="auto"/>
                <w:right w:val="none" w:sz="0" w:space="0" w:color="auto"/>
              </w:divBdr>
            </w:div>
            <w:div w:id="2064714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822671">
      <w:bodyDiv w:val="1"/>
      <w:marLeft w:val="0"/>
      <w:marRight w:val="0"/>
      <w:marTop w:val="0"/>
      <w:marBottom w:val="0"/>
      <w:divBdr>
        <w:top w:val="none" w:sz="0" w:space="0" w:color="auto"/>
        <w:left w:val="none" w:sz="0" w:space="0" w:color="auto"/>
        <w:bottom w:val="none" w:sz="0" w:space="0" w:color="auto"/>
        <w:right w:val="none" w:sz="0" w:space="0" w:color="auto"/>
      </w:divBdr>
      <w:divsChild>
        <w:div w:id="339047077">
          <w:marLeft w:val="0"/>
          <w:marRight w:val="0"/>
          <w:marTop w:val="0"/>
          <w:marBottom w:val="0"/>
          <w:divBdr>
            <w:top w:val="none" w:sz="0" w:space="0" w:color="auto"/>
            <w:left w:val="none" w:sz="0" w:space="0" w:color="auto"/>
            <w:bottom w:val="none" w:sz="0" w:space="0" w:color="auto"/>
            <w:right w:val="none" w:sz="0" w:space="0" w:color="auto"/>
          </w:divBdr>
          <w:divsChild>
            <w:div w:id="561792639">
              <w:marLeft w:val="0"/>
              <w:marRight w:val="0"/>
              <w:marTop w:val="0"/>
              <w:marBottom w:val="0"/>
              <w:divBdr>
                <w:top w:val="none" w:sz="0" w:space="0" w:color="auto"/>
                <w:left w:val="none" w:sz="0" w:space="0" w:color="auto"/>
                <w:bottom w:val="none" w:sz="0" w:space="0" w:color="auto"/>
                <w:right w:val="none" w:sz="0" w:space="0" w:color="auto"/>
              </w:divBdr>
            </w:div>
          </w:divsChild>
        </w:div>
        <w:div w:id="564996683">
          <w:marLeft w:val="0"/>
          <w:marRight w:val="0"/>
          <w:marTop w:val="0"/>
          <w:marBottom w:val="0"/>
          <w:divBdr>
            <w:top w:val="none" w:sz="0" w:space="0" w:color="auto"/>
            <w:left w:val="none" w:sz="0" w:space="0" w:color="auto"/>
            <w:bottom w:val="none" w:sz="0" w:space="0" w:color="auto"/>
            <w:right w:val="none" w:sz="0" w:space="0" w:color="auto"/>
          </w:divBdr>
          <w:divsChild>
            <w:div w:id="12733056">
              <w:marLeft w:val="0"/>
              <w:marRight w:val="0"/>
              <w:marTop w:val="0"/>
              <w:marBottom w:val="0"/>
              <w:divBdr>
                <w:top w:val="none" w:sz="0" w:space="0" w:color="auto"/>
                <w:left w:val="none" w:sz="0" w:space="0" w:color="auto"/>
                <w:bottom w:val="none" w:sz="0" w:space="0" w:color="auto"/>
                <w:right w:val="none" w:sz="0" w:space="0" w:color="auto"/>
              </w:divBdr>
              <w:divsChild>
                <w:div w:id="550505634">
                  <w:marLeft w:val="0"/>
                  <w:marRight w:val="0"/>
                  <w:marTop w:val="0"/>
                  <w:marBottom w:val="0"/>
                  <w:divBdr>
                    <w:top w:val="none" w:sz="0" w:space="0" w:color="auto"/>
                    <w:left w:val="none" w:sz="0" w:space="0" w:color="auto"/>
                    <w:bottom w:val="none" w:sz="0" w:space="0" w:color="auto"/>
                    <w:right w:val="none" w:sz="0" w:space="0" w:color="auto"/>
                  </w:divBdr>
                  <w:divsChild>
                    <w:div w:id="643046228">
                      <w:marLeft w:val="0"/>
                      <w:marRight w:val="0"/>
                      <w:marTop w:val="120"/>
                      <w:marBottom w:val="0"/>
                      <w:divBdr>
                        <w:top w:val="none" w:sz="0" w:space="0" w:color="auto"/>
                        <w:left w:val="none" w:sz="0" w:space="0" w:color="auto"/>
                        <w:bottom w:val="none" w:sz="0" w:space="0" w:color="auto"/>
                        <w:right w:val="none" w:sz="0" w:space="0" w:color="auto"/>
                      </w:divBdr>
                    </w:div>
                    <w:div w:id="2119984753">
                      <w:marLeft w:val="0"/>
                      <w:marRight w:val="0"/>
                      <w:marTop w:val="0"/>
                      <w:marBottom w:val="0"/>
                      <w:divBdr>
                        <w:top w:val="none" w:sz="0" w:space="0" w:color="auto"/>
                        <w:left w:val="none" w:sz="0" w:space="0" w:color="auto"/>
                        <w:bottom w:val="none" w:sz="0" w:space="0" w:color="auto"/>
                        <w:right w:val="none" w:sz="0" w:space="0" w:color="auto"/>
                      </w:divBdr>
                    </w:div>
                  </w:divsChild>
                </w:div>
                <w:div w:id="552275891">
                  <w:marLeft w:val="0"/>
                  <w:marRight w:val="0"/>
                  <w:marTop w:val="0"/>
                  <w:marBottom w:val="0"/>
                  <w:divBdr>
                    <w:top w:val="none" w:sz="0" w:space="0" w:color="auto"/>
                    <w:left w:val="none" w:sz="0" w:space="0" w:color="auto"/>
                    <w:bottom w:val="none" w:sz="0" w:space="0" w:color="auto"/>
                    <w:right w:val="none" w:sz="0" w:space="0" w:color="auto"/>
                  </w:divBdr>
                  <w:divsChild>
                    <w:div w:id="178785669">
                      <w:marLeft w:val="0"/>
                      <w:marRight w:val="0"/>
                      <w:marTop w:val="0"/>
                      <w:marBottom w:val="0"/>
                      <w:divBdr>
                        <w:top w:val="none" w:sz="0" w:space="0" w:color="auto"/>
                        <w:left w:val="none" w:sz="0" w:space="0" w:color="auto"/>
                        <w:bottom w:val="none" w:sz="0" w:space="0" w:color="auto"/>
                        <w:right w:val="none" w:sz="0" w:space="0" w:color="auto"/>
                      </w:divBdr>
                    </w:div>
                    <w:div w:id="834413714">
                      <w:marLeft w:val="0"/>
                      <w:marRight w:val="0"/>
                      <w:marTop w:val="120"/>
                      <w:marBottom w:val="0"/>
                      <w:divBdr>
                        <w:top w:val="none" w:sz="0" w:space="0" w:color="auto"/>
                        <w:left w:val="none" w:sz="0" w:space="0" w:color="auto"/>
                        <w:bottom w:val="none" w:sz="0" w:space="0" w:color="auto"/>
                        <w:right w:val="none" w:sz="0" w:space="0" w:color="auto"/>
                      </w:divBdr>
                    </w:div>
                  </w:divsChild>
                </w:div>
                <w:div w:id="740835406">
                  <w:marLeft w:val="0"/>
                  <w:marRight w:val="0"/>
                  <w:marTop w:val="0"/>
                  <w:marBottom w:val="0"/>
                  <w:divBdr>
                    <w:top w:val="none" w:sz="0" w:space="0" w:color="auto"/>
                    <w:left w:val="none" w:sz="0" w:space="0" w:color="auto"/>
                    <w:bottom w:val="none" w:sz="0" w:space="0" w:color="auto"/>
                    <w:right w:val="none" w:sz="0" w:space="0" w:color="auto"/>
                  </w:divBdr>
                  <w:divsChild>
                    <w:div w:id="871503815">
                      <w:marLeft w:val="0"/>
                      <w:marRight w:val="0"/>
                      <w:marTop w:val="0"/>
                      <w:marBottom w:val="0"/>
                      <w:divBdr>
                        <w:top w:val="none" w:sz="0" w:space="0" w:color="auto"/>
                        <w:left w:val="none" w:sz="0" w:space="0" w:color="auto"/>
                        <w:bottom w:val="none" w:sz="0" w:space="0" w:color="auto"/>
                        <w:right w:val="none" w:sz="0" w:space="0" w:color="auto"/>
                      </w:divBdr>
                    </w:div>
                    <w:div w:id="1624531746">
                      <w:marLeft w:val="0"/>
                      <w:marRight w:val="0"/>
                      <w:marTop w:val="120"/>
                      <w:marBottom w:val="0"/>
                      <w:divBdr>
                        <w:top w:val="none" w:sz="0" w:space="0" w:color="auto"/>
                        <w:left w:val="none" w:sz="0" w:space="0" w:color="auto"/>
                        <w:bottom w:val="none" w:sz="0" w:space="0" w:color="auto"/>
                        <w:right w:val="none" w:sz="0" w:space="0" w:color="auto"/>
                      </w:divBdr>
                    </w:div>
                  </w:divsChild>
                </w:div>
                <w:div w:id="1106386760">
                  <w:marLeft w:val="0"/>
                  <w:marRight w:val="0"/>
                  <w:marTop w:val="0"/>
                  <w:marBottom w:val="0"/>
                  <w:divBdr>
                    <w:top w:val="none" w:sz="0" w:space="0" w:color="auto"/>
                    <w:left w:val="none" w:sz="0" w:space="0" w:color="auto"/>
                    <w:bottom w:val="none" w:sz="0" w:space="0" w:color="auto"/>
                    <w:right w:val="none" w:sz="0" w:space="0" w:color="auto"/>
                  </w:divBdr>
                  <w:divsChild>
                    <w:div w:id="88889282">
                      <w:marLeft w:val="0"/>
                      <w:marRight w:val="0"/>
                      <w:marTop w:val="0"/>
                      <w:marBottom w:val="0"/>
                      <w:divBdr>
                        <w:top w:val="none" w:sz="0" w:space="0" w:color="auto"/>
                        <w:left w:val="none" w:sz="0" w:space="0" w:color="auto"/>
                        <w:bottom w:val="none" w:sz="0" w:space="0" w:color="auto"/>
                        <w:right w:val="none" w:sz="0" w:space="0" w:color="auto"/>
                      </w:divBdr>
                    </w:div>
                    <w:div w:id="16188760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473378598">
      <w:bodyDiv w:val="1"/>
      <w:marLeft w:val="0"/>
      <w:marRight w:val="0"/>
      <w:marTop w:val="0"/>
      <w:marBottom w:val="0"/>
      <w:divBdr>
        <w:top w:val="none" w:sz="0" w:space="0" w:color="auto"/>
        <w:left w:val="none" w:sz="0" w:space="0" w:color="auto"/>
        <w:bottom w:val="none" w:sz="0" w:space="0" w:color="auto"/>
        <w:right w:val="none" w:sz="0" w:space="0" w:color="auto"/>
      </w:divBdr>
    </w:div>
    <w:div w:id="480270993">
      <w:bodyDiv w:val="1"/>
      <w:marLeft w:val="0"/>
      <w:marRight w:val="0"/>
      <w:marTop w:val="0"/>
      <w:marBottom w:val="0"/>
      <w:divBdr>
        <w:top w:val="none" w:sz="0" w:space="0" w:color="auto"/>
        <w:left w:val="none" w:sz="0" w:space="0" w:color="auto"/>
        <w:bottom w:val="none" w:sz="0" w:space="0" w:color="auto"/>
        <w:right w:val="none" w:sz="0" w:space="0" w:color="auto"/>
      </w:divBdr>
      <w:divsChild>
        <w:div w:id="586495854">
          <w:marLeft w:val="0"/>
          <w:marRight w:val="0"/>
          <w:marTop w:val="0"/>
          <w:marBottom w:val="0"/>
          <w:divBdr>
            <w:top w:val="none" w:sz="0" w:space="0" w:color="auto"/>
            <w:left w:val="none" w:sz="0" w:space="0" w:color="auto"/>
            <w:bottom w:val="none" w:sz="0" w:space="0" w:color="auto"/>
            <w:right w:val="none" w:sz="0" w:space="0" w:color="auto"/>
          </w:divBdr>
          <w:divsChild>
            <w:div w:id="1952467173">
              <w:marLeft w:val="0"/>
              <w:marRight w:val="0"/>
              <w:marTop w:val="0"/>
              <w:marBottom w:val="0"/>
              <w:divBdr>
                <w:top w:val="none" w:sz="0" w:space="0" w:color="auto"/>
                <w:left w:val="none" w:sz="0" w:space="0" w:color="auto"/>
                <w:bottom w:val="none" w:sz="0" w:space="0" w:color="auto"/>
                <w:right w:val="none" w:sz="0" w:space="0" w:color="auto"/>
              </w:divBdr>
            </w:div>
          </w:divsChild>
        </w:div>
        <w:div w:id="1765876123">
          <w:marLeft w:val="0"/>
          <w:marRight w:val="0"/>
          <w:marTop w:val="0"/>
          <w:marBottom w:val="0"/>
          <w:divBdr>
            <w:top w:val="none" w:sz="0" w:space="0" w:color="auto"/>
            <w:left w:val="none" w:sz="0" w:space="0" w:color="auto"/>
            <w:bottom w:val="none" w:sz="0" w:space="0" w:color="auto"/>
            <w:right w:val="none" w:sz="0" w:space="0" w:color="auto"/>
          </w:divBdr>
          <w:divsChild>
            <w:div w:id="1684478981">
              <w:marLeft w:val="0"/>
              <w:marRight w:val="0"/>
              <w:marTop w:val="0"/>
              <w:marBottom w:val="0"/>
              <w:divBdr>
                <w:top w:val="none" w:sz="0" w:space="0" w:color="auto"/>
                <w:left w:val="none" w:sz="0" w:space="0" w:color="auto"/>
                <w:bottom w:val="none" w:sz="0" w:space="0" w:color="auto"/>
                <w:right w:val="none" w:sz="0" w:space="0" w:color="auto"/>
              </w:divBdr>
            </w:div>
          </w:divsChild>
        </w:div>
        <w:div w:id="1804232414">
          <w:marLeft w:val="0"/>
          <w:marRight w:val="0"/>
          <w:marTop w:val="0"/>
          <w:marBottom w:val="0"/>
          <w:divBdr>
            <w:top w:val="none" w:sz="0" w:space="0" w:color="auto"/>
            <w:left w:val="none" w:sz="0" w:space="0" w:color="auto"/>
            <w:bottom w:val="none" w:sz="0" w:space="0" w:color="auto"/>
            <w:right w:val="none" w:sz="0" w:space="0" w:color="auto"/>
          </w:divBdr>
          <w:divsChild>
            <w:div w:id="1311788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2625663">
      <w:bodyDiv w:val="1"/>
      <w:marLeft w:val="0"/>
      <w:marRight w:val="0"/>
      <w:marTop w:val="0"/>
      <w:marBottom w:val="0"/>
      <w:divBdr>
        <w:top w:val="none" w:sz="0" w:space="0" w:color="auto"/>
        <w:left w:val="none" w:sz="0" w:space="0" w:color="auto"/>
        <w:bottom w:val="none" w:sz="0" w:space="0" w:color="auto"/>
        <w:right w:val="none" w:sz="0" w:space="0" w:color="auto"/>
      </w:divBdr>
      <w:divsChild>
        <w:div w:id="2046564071">
          <w:marLeft w:val="0"/>
          <w:marRight w:val="0"/>
          <w:marTop w:val="0"/>
          <w:marBottom w:val="0"/>
          <w:divBdr>
            <w:top w:val="none" w:sz="0" w:space="0" w:color="auto"/>
            <w:left w:val="none" w:sz="0" w:space="0" w:color="auto"/>
            <w:bottom w:val="none" w:sz="0" w:space="0" w:color="auto"/>
            <w:right w:val="none" w:sz="0" w:space="0" w:color="auto"/>
          </w:divBdr>
          <w:divsChild>
            <w:div w:id="151722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1069732">
      <w:bodyDiv w:val="1"/>
      <w:marLeft w:val="0"/>
      <w:marRight w:val="0"/>
      <w:marTop w:val="0"/>
      <w:marBottom w:val="0"/>
      <w:divBdr>
        <w:top w:val="none" w:sz="0" w:space="0" w:color="auto"/>
        <w:left w:val="none" w:sz="0" w:space="0" w:color="auto"/>
        <w:bottom w:val="none" w:sz="0" w:space="0" w:color="auto"/>
        <w:right w:val="none" w:sz="0" w:space="0" w:color="auto"/>
      </w:divBdr>
      <w:divsChild>
        <w:div w:id="1438256583">
          <w:marLeft w:val="0"/>
          <w:marRight w:val="0"/>
          <w:marTop w:val="0"/>
          <w:marBottom w:val="0"/>
          <w:divBdr>
            <w:top w:val="none" w:sz="0" w:space="0" w:color="auto"/>
            <w:left w:val="none" w:sz="0" w:space="0" w:color="auto"/>
            <w:bottom w:val="none" w:sz="0" w:space="0" w:color="auto"/>
            <w:right w:val="none" w:sz="0" w:space="0" w:color="auto"/>
          </w:divBdr>
          <w:divsChild>
            <w:div w:id="242684277">
              <w:marLeft w:val="0"/>
              <w:marRight w:val="0"/>
              <w:marTop w:val="0"/>
              <w:marBottom w:val="0"/>
              <w:divBdr>
                <w:top w:val="none" w:sz="0" w:space="0" w:color="auto"/>
                <w:left w:val="none" w:sz="0" w:space="0" w:color="auto"/>
                <w:bottom w:val="none" w:sz="0" w:space="0" w:color="auto"/>
                <w:right w:val="none" w:sz="0" w:space="0" w:color="auto"/>
              </w:divBdr>
              <w:divsChild>
                <w:div w:id="671907650">
                  <w:marLeft w:val="0"/>
                  <w:marRight w:val="0"/>
                  <w:marTop w:val="0"/>
                  <w:marBottom w:val="0"/>
                  <w:divBdr>
                    <w:top w:val="none" w:sz="0" w:space="0" w:color="auto"/>
                    <w:left w:val="none" w:sz="0" w:space="0" w:color="auto"/>
                    <w:bottom w:val="none" w:sz="0" w:space="0" w:color="auto"/>
                    <w:right w:val="none" w:sz="0" w:space="0" w:color="auto"/>
                  </w:divBdr>
                  <w:divsChild>
                    <w:div w:id="1115364148">
                      <w:marLeft w:val="0"/>
                      <w:marRight w:val="0"/>
                      <w:marTop w:val="0"/>
                      <w:marBottom w:val="0"/>
                      <w:divBdr>
                        <w:top w:val="none" w:sz="0" w:space="0" w:color="auto"/>
                        <w:left w:val="none" w:sz="0" w:space="0" w:color="auto"/>
                        <w:bottom w:val="none" w:sz="0" w:space="0" w:color="auto"/>
                        <w:right w:val="none" w:sz="0" w:space="0" w:color="auto"/>
                      </w:divBdr>
                    </w:div>
                    <w:div w:id="1688167876">
                      <w:marLeft w:val="0"/>
                      <w:marRight w:val="0"/>
                      <w:marTop w:val="120"/>
                      <w:marBottom w:val="0"/>
                      <w:divBdr>
                        <w:top w:val="none" w:sz="0" w:space="0" w:color="auto"/>
                        <w:left w:val="none" w:sz="0" w:space="0" w:color="auto"/>
                        <w:bottom w:val="none" w:sz="0" w:space="0" w:color="auto"/>
                        <w:right w:val="none" w:sz="0" w:space="0" w:color="auto"/>
                      </w:divBdr>
                    </w:div>
                  </w:divsChild>
                </w:div>
                <w:div w:id="1817800579">
                  <w:marLeft w:val="0"/>
                  <w:marRight w:val="0"/>
                  <w:marTop w:val="0"/>
                  <w:marBottom w:val="0"/>
                  <w:divBdr>
                    <w:top w:val="none" w:sz="0" w:space="0" w:color="auto"/>
                    <w:left w:val="none" w:sz="0" w:space="0" w:color="auto"/>
                    <w:bottom w:val="none" w:sz="0" w:space="0" w:color="auto"/>
                    <w:right w:val="none" w:sz="0" w:space="0" w:color="auto"/>
                  </w:divBdr>
                  <w:divsChild>
                    <w:div w:id="385297344">
                      <w:marLeft w:val="0"/>
                      <w:marRight w:val="0"/>
                      <w:marTop w:val="0"/>
                      <w:marBottom w:val="0"/>
                      <w:divBdr>
                        <w:top w:val="none" w:sz="0" w:space="0" w:color="auto"/>
                        <w:left w:val="none" w:sz="0" w:space="0" w:color="auto"/>
                        <w:bottom w:val="none" w:sz="0" w:space="0" w:color="auto"/>
                        <w:right w:val="none" w:sz="0" w:space="0" w:color="auto"/>
                      </w:divBdr>
                    </w:div>
                    <w:div w:id="5936347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494102886">
      <w:bodyDiv w:val="1"/>
      <w:marLeft w:val="0"/>
      <w:marRight w:val="0"/>
      <w:marTop w:val="0"/>
      <w:marBottom w:val="0"/>
      <w:divBdr>
        <w:top w:val="none" w:sz="0" w:space="0" w:color="auto"/>
        <w:left w:val="none" w:sz="0" w:space="0" w:color="auto"/>
        <w:bottom w:val="none" w:sz="0" w:space="0" w:color="auto"/>
        <w:right w:val="none" w:sz="0" w:space="0" w:color="auto"/>
      </w:divBdr>
      <w:divsChild>
        <w:div w:id="2059474533">
          <w:marLeft w:val="0"/>
          <w:marRight w:val="0"/>
          <w:marTop w:val="0"/>
          <w:marBottom w:val="0"/>
          <w:divBdr>
            <w:top w:val="none" w:sz="0" w:space="0" w:color="auto"/>
            <w:left w:val="none" w:sz="0" w:space="0" w:color="auto"/>
            <w:bottom w:val="none" w:sz="0" w:space="0" w:color="auto"/>
            <w:right w:val="none" w:sz="0" w:space="0" w:color="auto"/>
          </w:divBdr>
        </w:div>
      </w:divsChild>
    </w:div>
    <w:div w:id="495649900">
      <w:bodyDiv w:val="1"/>
      <w:marLeft w:val="0"/>
      <w:marRight w:val="0"/>
      <w:marTop w:val="0"/>
      <w:marBottom w:val="0"/>
      <w:divBdr>
        <w:top w:val="none" w:sz="0" w:space="0" w:color="auto"/>
        <w:left w:val="none" w:sz="0" w:space="0" w:color="auto"/>
        <w:bottom w:val="none" w:sz="0" w:space="0" w:color="auto"/>
        <w:right w:val="none" w:sz="0" w:space="0" w:color="auto"/>
      </w:divBdr>
      <w:divsChild>
        <w:div w:id="1436707344">
          <w:marLeft w:val="0"/>
          <w:marRight w:val="0"/>
          <w:marTop w:val="0"/>
          <w:marBottom w:val="0"/>
          <w:divBdr>
            <w:top w:val="none" w:sz="0" w:space="0" w:color="auto"/>
            <w:left w:val="none" w:sz="0" w:space="0" w:color="auto"/>
            <w:bottom w:val="none" w:sz="0" w:space="0" w:color="auto"/>
            <w:right w:val="none" w:sz="0" w:space="0" w:color="auto"/>
          </w:divBdr>
          <w:divsChild>
            <w:div w:id="881788003">
              <w:marLeft w:val="0"/>
              <w:marRight w:val="0"/>
              <w:marTop w:val="0"/>
              <w:marBottom w:val="0"/>
              <w:divBdr>
                <w:top w:val="none" w:sz="0" w:space="0" w:color="auto"/>
                <w:left w:val="none" w:sz="0" w:space="0" w:color="auto"/>
                <w:bottom w:val="none" w:sz="0" w:space="0" w:color="auto"/>
                <w:right w:val="none" w:sz="0" w:space="0" w:color="auto"/>
              </w:divBdr>
              <w:divsChild>
                <w:div w:id="85731889">
                  <w:marLeft w:val="0"/>
                  <w:marRight w:val="0"/>
                  <w:marTop w:val="120"/>
                  <w:marBottom w:val="0"/>
                  <w:divBdr>
                    <w:top w:val="none" w:sz="0" w:space="0" w:color="auto"/>
                    <w:left w:val="none" w:sz="0" w:space="0" w:color="auto"/>
                    <w:bottom w:val="none" w:sz="0" w:space="0" w:color="auto"/>
                    <w:right w:val="none" w:sz="0" w:space="0" w:color="auto"/>
                  </w:divBdr>
                </w:div>
                <w:div w:id="607157942">
                  <w:marLeft w:val="0"/>
                  <w:marRight w:val="0"/>
                  <w:marTop w:val="0"/>
                  <w:marBottom w:val="0"/>
                  <w:divBdr>
                    <w:top w:val="none" w:sz="0" w:space="0" w:color="auto"/>
                    <w:left w:val="none" w:sz="0" w:space="0" w:color="auto"/>
                    <w:bottom w:val="none" w:sz="0" w:space="0" w:color="auto"/>
                    <w:right w:val="none" w:sz="0" w:space="0" w:color="auto"/>
                  </w:divBdr>
                </w:div>
              </w:divsChild>
            </w:div>
            <w:div w:id="1294289231">
              <w:marLeft w:val="0"/>
              <w:marRight w:val="0"/>
              <w:marTop w:val="0"/>
              <w:marBottom w:val="0"/>
              <w:divBdr>
                <w:top w:val="none" w:sz="0" w:space="0" w:color="auto"/>
                <w:left w:val="none" w:sz="0" w:space="0" w:color="auto"/>
                <w:bottom w:val="none" w:sz="0" w:space="0" w:color="auto"/>
                <w:right w:val="none" w:sz="0" w:space="0" w:color="auto"/>
              </w:divBdr>
              <w:divsChild>
                <w:div w:id="964963163">
                  <w:marLeft w:val="0"/>
                  <w:marRight w:val="0"/>
                  <w:marTop w:val="0"/>
                  <w:marBottom w:val="0"/>
                  <w:divBdr>
                    <w:top w:val="none" w:sz="0" w:space="0" w:color="auto"/>
                    <w:left w:val="none" w:sz="0" w:space="0" w:color="auto"/>
                    <w:bottom w:val="none" w:sz="0" w:space="0" w:color="auto"/>
                    <w:right w:val="none" w:sz="0" w:space="0" w:color="auto"/>
                  </w:divBdr>
                </w:div>
                <w:div w:id="149114126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799714590">
          <w:marLeft w:val="0"/>
          <w:marRight w:val="0"/>
          <w:marTop w:val="120"/>
          <w:marBottom w:val="0"/>
          <w:divBdr>
            <w:top w:val="none" w:sz="0" w:space="0" w:color="auto"/>
            <w:left w:val="none" w:sz="0" w:space="0" w:color="auto"/>
            <w:bottom w:val="none" w:sz="0" w:space="0" w:color="auto"/>
            <w:right w:val="none" w:sz="0" w:space="0" w:color="auto"/>
          </w:divBdr>
        </w:div>
      </w:divsChild>
    </w:div>
    <w:div w:id="496382313">
      <w:bodyDiv w:val="1"/>
      <w:marLeft w:val="0"/>
      <w:marRight w:val="0"/>
      <w:marTop w:val="0"/>
      <w:marBottom w:val="0"/>
      <w:divBdr>
        <w:top w:val="none" w:sz="0" w:space="0" w:color="auto"/>
        <w:left w:val="none" w:sz="0" w:space="0" w:color="auto"/>
        <w:bottom w:val="none" w:sz="0" w:space="0" w:color="auto"/>
        <w:right w:val="none" w:sz="0" w:space="0" w:color="auto"/>
      </w:divBdr>
      <w:divsChild>
        <w:div w:id="1576427237">
          <w:marLeft w:val="0"/>
          <w:marRight w:val="0"/>
          <w:marTop w:val="0"/>
          <w:marBottom w:val="0"/>
          <w:divBdr>
            <w:top w:val="none" w:sz="0" w:space="0" w:color="auto"/>
            <w:left w:val="none" w:sz="0" w:space="0" w:color="auto"/>
            <w:bottom w:val="none" w:sz="0" w:space="0" w:color="auto"/>
            <w:right w:val="none" w:sz="0" w:space="0" w:color="auto"/>
          </w:divBdr>
          <w:divsChild>
            <w:div w:id="853610870">
              <w:marLeft w:val="0"/>
              <w:marRight w:val="0"/>
              <w:marTop w:val="0"/>
              <w:marBottom w:val="0"/>
              <w:divBdr>
                <w:top w:val="none" w:sz="0" w:space="0" w:color="auto"/>
                <w:left w:val="none" w:sz="0" w:space="0" w:color="auto"/>
                <w:bottom w:val="none" w:sz="0" w:space="0" w:color="auto"/>
                <w:right w:val="none" w:sz="0" w:space="0" w:color="auto"/>
              </w:divBdr>
            </w:div>
          </w:divsChild>
        </w:div>
        <w:div w:id="1646086150">
          <w:marLeft w:val="0"/>
          <w:marRight w:val="0"/>
          <w:marTop w:val="0"/>
          <w:marBottom w:val="0"/>
          <w:divBdr>
            <w:top w:val="none" w:sz="0" w:space="0" w:color="auto"/>
            <w:left w:val="none" w:sz="0" w:space="0" w:color="auto"/>
            <w:bottom w:val="none" w:sz="0" w:space="0" w:color="auto"/>
            <w:right w:val="none" w:sz="0" w:space="0" w:color="auto"/>
          </w:divBdr>
          <w:divsChild>
            <w:div w:id="515970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945627">
      <w:bodyDiv w:val="1"/>
      <w:marLeft w:val="0"/>
      <w:marRight w:val="0"/>
      <w:marTop w:val="0"/>
      <w:marBottom w:val="0"/>
      <w:divBdr>
        <w:top w:val="none" w:sz="0" w:space="0" w:color="auto"/>
        <w:left w:val="none" w:sz="0" w:space="0" w:color="auto"/>
        <w:bottom w:val="none" w:sz="0" w:space="0" w:color="auto"/>
        <w:right w:val="none" w:sz="0" w:space="0" w:color="auto"/>
      </w:divBdr>
      <w:divsChild>
        <w:div w:id="1101946731">
          <w:marLeft w:val="0"/>
          <w:marRight w:val="0"/>
          <w:marTop w:val="0"/>
          <w:marBottom w:val="0"/>
          <w:divBdr>
            <w:top w:val="none" w:sz="0" w:space="0" w:color="auto"/>
            <w:left w:val="none" w:sz="0" w:space="0" w:color="auto"/>
            <w:bottom w:val="none" w:sz="0" w:space="0" w:color="auto"/>
            <w:right w:val="none" w:sz="0" w:space="0" w:color="auto"/>
          </w:divBdr>
          <w:divsChild>
            <w:div w:id="59011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5605107">
      <w:bodyDiv w:val="1"/>
      <w:marLeft w:val="0"/>
      <w:marRight w:val="0"/>
      <w:marTop w:val="0"/>
      <w:marBottom w:val="0"/>
      <w:divBdr>
        <w:top w:val="none" w:sz="0" w:space="0" w:color="auto"/>
        <w:left w:val="none" w:sz="0" w:space="0" w:color="auto"/>
        <w:bottom w:val="none" w:sz="0" w:space="0" w:color="auto"/>
        <w:right w:val="none" w:sz="0" w:space="0" w:color="auto"/>
      </w:divBdr>
      <w:divsChild>
        <w:div w:id="647514338">
          <w:marLeft w:val="0"/>
          <w:marRight w:val="0"/>
          <w:marTop w:val="0"/>
          <w:marBottom w:val="0"/>
          <w:divBdr>
            <w:top w:val="none" w:sz="0" w:space="0" w:color="auto"/>
            <w:left w:val="none" w:sz="0" w:space="0" w:color="auto"/>
            <w:bottom w:val="none" w:sz="0" w:space="0" w:color="auto"/>
            <w:right w:val="none" w:sz="0" w:space="0" w:color="auto"/>
          </w:divBdr>
          <w:divsChild>
            <w:div w:id="128870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3907367">
      <w:bodyDiv w:val="1"/>
      <w:marLeft w:val="0"/>
      <w:marRight w:val="0"/>
      <w:marTop w:val="0"/>
      <w:marBottom w:val="0"/>
      <w:divBdr>
        <w:top w:val="none" w:sz="0" w:space="0" w:color="auto"/>
        <w:left w:val="none" w:sz="0" w:space="0" w:color="auto"/>
        <w:bottom w:val="none" w:sz="0" w:space="0" w:color="auto"/>
        <w:right w:val="none" w:sz="0" w:space="0" w:color="auto"/>
      </w:divBdr>
      <w:divsChild>
        <w:div w:id="174350502">
          <w:marLeft w:val="0"/>
          <w:marRight w:val="0"/>
          <w:marTop w:val="120"/>
          <w:marBottom w:val="0"/>
          <w:divBdr>
            <w:top w:val="none" w:sz="0" w:space="0" w:color="auto"/>
            <w:left w:val="none" w:sz="0" w:space="0" w:color="auto"/>
            <w:bottom w:val="none" w:sz="0" w:space="0" w:color="auto"/>
            <w:right w:val="none" w:sz="0" w:space="0" w:color="auto"/>
          </w:divBdr>
        </w:div>
        <w:div w:id="1562253014">
          <w:marLeft w:val="0"/>
          <w:marRight w:val="0"/>
          <w:marTop w:val="0"/>
          <w:marBottom w:val="0"/>
          <w:divBdr>
            <w:top w:val="none" w:sz="0" w:space="0" w:color="auto"/>
            <w:left w:val="none" w:sz="0" w:space="0" w:color="auto"/>
            <w:bottom w:val="none" w:sz="0" w:space="0" w:color="auto"/>
            <w:right w:val="none" w:sz="0" w:space="0" w:color="auto"/>
          </w:divBdr>
        </w:div>
      </w:divsChild>
    </w:div>
    <w:div w:id="544484842">
      <w:bodyDiv w:val="1"/>
      <w:marLeft w:val="0"/>
      <w:marRight w:val="0"/>
      <w:marTop w:val="0"/>
      <w:marBottom w:val="0"/>
      <w:divBdr>
        <w:top w:val="none" w:sz="0" w:space="0" w:color="auto"/>
        <w:left w:val="none" w:sz="0" w:space="0" w:color="auto"/>
        <w:bottom w:val="none" w:sz="0" w:space="0" w:color="auto"/>
        <w:right w:val="none" w:sz="0" w:space="0" w:color="auto"/>
      </w:divBdr>
      <w:divsChild>
        <w:div w:id="80224401">
          <w:marLeft w:val="0"/>
          <w:marRight w:val="0"/>
          <w:marTop w:val="0"/>
          <w:marBottom w:val="0"/>
          <w:divBdr>
            <w:top w:val="none" w:sz="0" w:space="0" w:color="auto"/>
            <w:left w:val="none" w:sz="0" w:space="0" w:color="auto"/>
            <w:bottom w:val="none" w:sz="0" w:space="0" w:color="auto"/>
            <w:right w:val="none" w:sz="0" w:space="0" w:color="auto"/>
          </w:divBdr>
          <w:divsChild>
            <w:div w:id="2119792405">
              <w:marLeft w:val="0"/>
              <w:marRight w:val="0"/>
              <w:marTop w:val="0"/>
              <w:marBottom w:val="0"/>
              <w:divBdr>
                <w:top w:val="none" w:sz="0" w:space="0" w:color="auto"/>
                <w:left w:val="none" w:sz="0" w:space="0" w:color="auto"/>
                <w:bottom w:val="none" w:sz="0" w:space="0" w:color="auto"/>
                <w:right w:val="none" w:sz="0" w:space="0" w:color="auto"/>
              </w:divBdr>
            </w:div>
          </w:divsChild>
        </w:div>
        <w:div w:id="535896293">
          <w:marLeft w:val="0"/>
          <w:marRight w:val="0"/>
          <w:marTop w:val="0"/>
          <w:marBottom w:val="0"/>
          <w:divBdr>
            <w:top w:val="none" w:sz="0" w:space="0" w:color="auto"/>
            <w:left w:val="none" w:sz="0" w:space="0" w:color="auto"/>
            <w:bottom w:val="none" w:sz="0" w:space="0" w:color="auto"/>
            <w:right w:val="none" w:sz="0" w:space="0" w:color="auto"/>
          </w:divBdr>
          <w:divsChild>
            <w:div w:id="151024122">
              <w:marLeft w:val="0"/>
              <w:marRight w:val="0"/>
              <w:marTop w:val="0"/>
              <w:marBottom w:val="0"/>
              <w:divBdr>
                <w:top w:val="none" w:sz="0" w:space="0" w:color="auto"/>
                <w:left w:val="none" w:sz="0" w:space="0" w:color="auto"/>
                <w:bottom w:val="none" w:sz="0" w:space="0" w:color="auto"/>
                <w:right w:val="none" w:sz="0" w:space="0" w:color="auto"/>
              </w:divBdr>
              <w:divsChild>
                <w:div w:id="119303853">
                  <w:marLeft w:val="0"/>
                  <w:marRight w:val="0"/>
                  <w:marTop w:val="0"/>
                  <w:marBottom w:val="0"/>
                  <w:divBdr>
                    <w:top w:val="none" w:sz="0" w:space="0" w:color="auto"/>
                    <w:left w:val="none" w:sz="0" w:space="0" w:color="auto"/>
                    <w:bottom w:val="none" w:sz="0" w:space="0" w:color="auto"/>
                    <w:right w:val="none" w:sz="0" w:space="0" w:color="auto"/>
                  </w:divBdr>
                  <w:divsChild>
                    <w:div w:id="1372923607">
                      <w:marLeft w:val="0"/>
                      <w:marRight w:val="0"/>
                      <w:marTop w:val="0"/>
                      <w:marBottom w:val="0"/>
                      <w:divBdr>
                        <w:top w:val="none" w:sz="0" w:space="0" w:color="auto"/>
                        <w:left w:val="none" w:sz="0" w:space="0" w:color="auto"/>
                        <w:bottom w:val="none" w:sz="0" w:space="0" w:color="auto"/>
                        <w:right w:val="none" w:sz="0" w:space="0" w:color="auto"/>
                      </w:divBdr>
                    </w:div>
                    <w:div w:id="1681736077">
                      <w:marLeft w:val="0"/>
                      <w:marRight w:val="0"/>
                      <w:marTop w:val="120"/>
                      <w:marBottom w:val="0"/>
                      <w:divBdr>
                        <w:top w:val="none" w:sz="0" w:space="0" w:color="auto"/>
                        <w:left w:val="none" w:sz="0" w:space="0" w:color="auto"/>
                        <w:bottom w:val="none" w:sz="0" w:space="0" w:color="auto"/>
                        <w:right w:val="none" w:sz="0" w:space="0" w:color="auto"/>
                      </w:divBdr>
                    </w:div>
                  </w:divsChild>
                </w:div>
                <w:div w:id="550577396">
                  <w:marLeft w:val="0"/>
                  <w:marRight w:val="0"/>
                  <w:marTop w:val="0"/>
                  <w:marBottom w:val="0"/>
                  <w:divBdr>
                    <w:top w:val="none" w:sz="0" w:space="0" w:color="auto"/>
                    <w:left w:val="none" w:sz="0" w:space="0" w:color="auto"/>
                    <w:bottom w:val="none" w:sz="0" w:space="0" w:color="auto"/>
                    <w:right w:val="none" w:sz="0" w:space="0" w:color="auto"/>
                  </w:divBdr>
                  <w:divsChild>
                    <w:div w:id="873493783">
                      <w:marLeft w:val="0"/>
                      <w:marRight w:val="0"/>
                      <w:marTop w:val="0"/>
                      <w:marBottom w:val="0"/>
                      <w:divBdr>
                        <w:top w:val="none" w:sz="0" w:space="0" w:color="auto"/>
                        <w:left w:val="none" w:sz="0" w:space="0" w:color="auto"/>
                        <w:bottom w:val="none" w:sz="0" w:space="0" w:color="auto"/>
                        <w:right w:val="none" w:sz="0" w:space="0" w:color="auto"/>
                      </w:divBdr>
                    </w:div>
                    <w:div w:id="1961181864">
                      <w:marLeft w:val="0"/>
                      <w:marRight w:val="0"/>
                      <w:marTop w:val="120"/>
                      <w:marBottom w:val="0"/>
                      <w:divBdr>
                        <w:top w:val="none" w:sz="0" w:space="0" w:color="auto"/>
                        <w:left w:val="none" w:sz="0" w:space="0" w:color="auto"/>
                        <w:bottom w:val="none" w:sz="0" w:space="0" w:color="auto"/>
                        <w:right w:val="none" w:sz="0" w:space="0" w:color="auto"/>
                      </w:divBdr>
                    </w:div>
                  </w:divsChild>
                </w:div>
                <w:div w:id="795022440">
                  <w:marLeft w:val="0"/>
                  <w:marRight w:val="0"/>
                  <w:marTop w:val="0"/>
                  <w:marBottom w:val="0"/>
                  <w:divBdr>
                    <w:top w:val="none" w:sz="0" w:space="0" w:color="auto"/>
                    <w:left w:val="none" w:sz="0" w:space="0" w:color="auto"/>
                    <w:bottom w:val="none" w:sz="0" w:space="0" w:color="auto"/>
                    <w:right w:val="none" w:sz="0" w:space="0" w:color="auto"/>
                  </w:divBdr>
                  <w:divsChild>
                    <w:div w:id="675380736">
                      <w:marLeft w:val="0"/>
                      <w:marRight w:val="0"/>
                      <w:marTop w:val="120"/>
                      <w:marBottom w:val="0"/>
                      <w:divBdr>
                        <w:top w:val="none" w:sz="0" w:space="0" w:color="auto"/>
                        <w:left w:val="none" w:sz="0" w:space="0" w:color="auto"/>
                        <w:bottom w:val="none" w:sz="0" w:space="0" w:color="auto"/>
                        <w:right w:val="none" w:sz="0" w:space="0" w:color="auto"/>
                      </w:divBdr>
                    </w:div>
                    <w:div w:id="2123258601">
                      <w:marLeft w:val="0"/>
                      <w:marRight w:val="0"/>
                      <w:marTop w:val="0"/>
                      <w:marBottom w:val="0"/>
                      <w:divBdr>
                        <w:top w:val="none" w:sz="0" w:space="0" w:color="auto"/>
                        <w:left w:val="none" w:sz="0" w:space="0" w:color="auto"/>
                        <w:bottom w:val="none" w:sz="0" w:space="0" w:color="auto"/>
                        <w:right w:val="none" w:sz="0" w:space="0" w:color="auto"/>
                      </w:divBdr>
                    </w:div>
                  </w:divsChild>
                </w:div>
                <w:div w:id="845631548">
                  <w:marLeft w:val="0"/>
                  <w:marRight w:val="0"/>
                  <w:marTop w:val="0"/>
                  <w:marBottom w:val="0"/>
                  <w:divBdr>
                    <w:top w:val="none" w:sz="0" w:space="0" w:color="auto"/>
                    <w:left w:val="none" w:sz="0" w:space="0" w:color="auto"/>
                    <w:bottom w:val="none" w:sz="0" w:space="0" w:color="auto"/>
                    <w:right w:val="none" w:sz="0" w:space="0" w:color="auto"/>
                  </w:divBdr>
                  <w:divsChild>
                    <w:div w:id="592712630">
                      <w:marLeft w:val="0"/>
                      <w:marRight w:val="0"/>
                      <w:marTop w:val="0"/>
                      <w:marBottom w:val="0"/>
                      <w:divBdr>
                        <w:top w:val="none" w:sz="0" w:space="0" w:color="auto"/>
                        <w:left w:val="none" w:sz="0" w:space="0" w:color="auto"/>
                        <w:bottom w:val="none" w:sz="0" w:space="0" w:color="auto"/>
                        <w:right w:val="none" w:sz="0" w:space="0" w:color="auto"/>
                      </w:divBdr>
                    </w:div>
                    <w:div w:id="855197298">
                      <w:marLeft w:val="0"/>
                      <w:marRight w:val="0"/>
                      <w:marTop w:val="120"/>
                      <w:marBottom w:val="0"/>
                      <w:divBdr>
                        <w:top w:val="none" w:sz="0" w:space="0" w:color="auto"/>
                        <w:left w:val="none" w:sz="0" w:space="0" w:color="auto"/>
                        <w:bottom w:val="none" w:sz="0" w:space="0" w:color="auto"/>
                        <w:right w:val="none" w:sz="0" w:space="0" w:color="auto"/>
                      </w:divBdr>
                    </w:div>
                  </w:divsChild>
                </w:div>
                <w:div w:id="881871093">
                  <w:marLeft w:val="0"/>
                  <w:marRight w:val="0"/>
                  <w:marTop w:val="0"/>
                  <w:marBottom w:val="0"/>
                  <w:divBdr>
                    <w:top w:val="none" w:sz="0" w:space="0" w:color="auto"/>
                    <w:left w:val="none" w:sz="0" w:space="0" w:color="auto"/>
                    <w:bottom w:val="none" w:sz="0" w:space="0" w:color="auto"/>
                    <w:right w:val="none" w:sz="0" w:space="0" w:color="auto"/>
                  </w:divBdr>
                  <w:divsChild>
                    <w:div w:id="914320334">
                      <w:marLeft w:val="0"/>
                      <w:marRight w:val="0"/>
                      <w:marTop w:val="120"/>
                      <w:marBottom w:val="0"/>
                      <w:divBdr>
                        <w:top w:val="none" w:sz="0" w:space="0" w:color="auto"/>
                        <w:left w:val="none" w:sz="0" w:space="0" w:color="auto"/>
                        <w:bottom w:val="none" w:sz="0" w:space="0" w:color="auto"/>
                        <w:right w:val="none" w:sz="0" w:space="0" w:color="auto"/>
                      </w:divBdr>
                    </w:div>
                    <w:div w:id="2008635099">
                      <w:marLeft w:val="0"/>
                      <w:marRight w:val="0"/>
                      <w:marTop w:val="0"/>
                      <w:marBottom w:val="0"/>
                      <w:divBdr>
                        <w:top w:val="none" w:sz="0" w:space="0" w:color="auto"/>
                        <w:left w:val="none" w:sz="0" w:space="0" w:color="auto"/>
                        <w:bottom w:val="none" w:sz="0" w:space="0" w:color="auto"/>
                        <w:right w:val="none" w:sz="0" w:space="0" w:color="auto"/>
                      </w:divBdr>
                    </w:div>
                  </w:divsChild>
                </w:div>
                <w:div w:id="1040861911">
                  <w:marLeft w:val="0"/>
                  <w:marRight w:val="0"/>
                  <w:marTop w:val="0"/>
                  <w:marBottom w:val="0"/>
                  <w:divBdr>
                    <w:top w:val="none" w:sz="0" w:space="0" w:color="auto"/>
                    <w:left w:val="none" w:sz="0" w:space="0" w:color="auto"/>
                    <w:bottom w:val="none" w:sz="0" w:space="0" w:color="auto"/>
                    <w:right w:val="none" w:sz="0" w:space="0" w:color="auto"/>
                  </w:divBdr>
                  <w:divsChild>
                    <w:div w:id="432554724">
                      <w:marLeft w:val="0"/>
                      <w:marRight w:val="0"/>
                      <w:marTop w:val="0"/>
                      <w:marBottom w:val="0"/>
                      <w:divBdr>
                        <w:top w:val="none" w:sz="0" w:space="0" w:color="auto"/>
                        <w:left w:val="none" w:sz="0" w:space="0" w:color="auto"/>
                        <w:bottom w:val="none" w:sz="0" w:space="0" w:color="auto"/>
                        <w:right w:val="none" w:sz="0" w:space="0" w:color="auto"/>
                      </w:divBdr>
                    </w:div>
                    <w:div w:id="1177383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48762343">
          <w:marLeft w:val="0"/>
          <w:marRight w:val="0"/>
          <w:marTop w:val="0"/>
          <w:marBottom w:val="0"/>
          <w:divBdr>
            <w:top w:val="none" w:sz="0" w:space="0" w:color="auto"/>
            <w:left w:val="none" w:sz="0" w:space="0" w:color="auto"/>
            <w:bottom w:val="none" w:sz="0" w:space="0" w:color="auto"/>
            <w:right w:val="none" w:sz="0" w:space="0" w:color="auto"/>
          </w:divBdr>
          <w:divsChild>
            <w:div w:id="1547789196">
              <w:marLeft w:val="0"/>
              <w:marRight w:val="0"/>
              <w:marTop w:val="0"/>
              <w:marBottom w:val="0"/>
              <w:divBdr>
                <w:top w:val="none" w:sz="0" w:space="0" w:color="auto"/>
                <w:left w:val="none" w:sz="0" w:space="0" w:color="auto"/>
                <w:bottom w:val="none" w:sz="0" w:space="0" w:color="auto"/>
                <w:right w:val="none" w:sz="0" w:space="0" w:color="auto"/>
              </w:divBdr>
            </w:div>
          </w:divsChild>
        </w:div>
        <w:div w:id="852644340">
          <w:marLeft w:val="0"/>
          <w:marRight w:val="0"/>
          <w:marTop w:val="0"/>
          <w:marBottom w:val="0"/>
          <w:divBdr>
            <w:top w:val="none" w:sz="0" w:space="0" w:color="auto"/>
            <w:left w:val="none" w:sz="0" w:space="0" w:color="auto"/>
            <w:bottom w:val="none" w:sz="0" w:space="0" w:color="auto"/>
            <w:right w:val="none" w:sz="0" w:space="0" w:color="auto"/>
          </w:divBdr>
          <w:divsChild>
            <w:div w:id="1349284967">
              <w:marLeft w:val="0"/>
              <w:marRight w:val="0"/>
              <w:marTop w:val="0"/>
              <w:marBottom w:val="0"/>
              <w:divBdr>
                <w:top w:val="none" w:sz="0" w:space="0" w:color="auto"/>
                <w:left w:val="none" w:sz="0" w:space="0" w:color="auto"/>
                <w:bottom w:val="none" w:sz="0" w:space="0" w:color="auto"/>
                <w:right w:val="none" w:sz="0" w:space="0" w:color="auto"/>
              </w:divBdr>
              <w:divsChild>
                <w:div w:id="163130061">
                  <w:marLeft w:val="0"/>
                  <w:marRight w:val="0"/>
                  <w:marTop w:val="0"/>
                  <w:marBottom w:val="0"/>
                  <w:divBdr>
                    <w:top w:val="none" w:sz="0" w:space="0" w:color="auto"/>
                    <w:left w:val="none" w:sz="0" w:space="0" w:color="auto"/>
                    <w:bottom w:val="none" w:sz="0" w:space="0" w:color="auto"/>
                    <w:right w:val="none" w:sz="0" w:space="0" w:color="auto"/>
                  </w:divBdr>
                  <w:divsChild>
                    <w:div w:id="968392436">
                      <w:marLeft w:val="0"/>
                      <w:marRight w:val="0"/>
                      <w:marTop w:val="0"/>
                      <w:marBottom w:val="0"/>
                      <w:divBdr>
                        <w:top w:val="none" w:sz="0" w:space="0" w:color="auto"/>
                        <w:left w:val="none" w:sz="0" w:space="0" w:color="auto"/>
                        <w:bottom w:val="none" w:sz="0" w:space="0" w:color="auto"/>
                        <w:right w:val="none" w:sz="0" w:space="0" w:color="auto"/>
                      </w:divBdr>
                    </w:div>
                    <w:div w:id="1766340557">
                      <w:marLeft w:val="0"/>
                      <w:marRight w:val="0"/>
                      <w:marTop w:val="120"/>
                      <w:marBottom w:val="0"/>
                      <w:divBdr>
                        <w:top w:val="none" w:sz="0" w:space="0" w:color="auto"/>
                        <w:left w:val="none" w:sz="0" w:space="0" w:color="auto"/>
                        <w:bottom w:val="none" w:sz="0" w:space="0" w:color="auto"/>
                        <w:right w:val="none" w:sz="0" w:space="0" w:color="auto"/>
                      </w:divBdr>
                    </w:div>
                  </w:divsChild>
                </w:div>
                <w:div w:id="1972638186">
                  <w:marLeft w:val="0"/>
                  <w:marRight w:val="0"/>
                  <w:marTop w:val="0"/>
                  <w:marBottom w:val="0"/>
                  <w:divBdr>
                    <w:top w:val="none" w:sz="0" w:space="0" w:color="auto"/>
                    <w:left w:val="none" w:sz="0" w:space="0" w:color="auto"/>
                    <w:bottom w:val="none" w:sz="0" w:space="0" w:color="auto"/>
                    <w:right w:val="none" w:sz="0" w:space="0" w:color="auto"/>
                  </w:divBdr>
                  <w:divsChild>
                    <w:div w:id="1147553496">
                      <w:marLeft w:val="0"/>
                      <w:marRight w:val="0"/>
                      <w:marTop w:val="120"/>
                      <w:marBottom w:val="0"/>
                      <w:divBdr>
                        <w:top w:val="none" w:sz="0" w:space="0" w:color="auto"/>
                        <w:left w:val="none" w:sz="0" w:space="0" w:color="auto"/>
                        <w:bottom w:val="none" w:sz="0" w:space="0" w:color="auto"/>
                        <w:right w:val="none" w:sz="0" w:space="0" w:color="auto"/>
                      </w:divBdr>
                    </w:div>
                    <w:div w:id="1556700463">
                      <w:marLeft w:val="0"/>
                      <w:marRight w:val="0"/>
                      <w:marTop w:val="0"/>
                      <w:marBottom w:val="0"/>
                      <w:divBdr>
                        <w:top w:val="none" w:sz="0" w:space="0" w:color="auto"/>
                        <w:left w:val="none" w:sz="0" w:space="0" w:color="auto"/>
                        <w:bottom w:val="none" w:sz="0" w:space="0" w:color="auto"/>
                        <w:right w:val="none" w:sz="0" w:space="0" w:color="auto"/>
                      </w:divBdr>
                    </w:div>
                  </w:divsChild>
                </w:div>
                <w:div w:id="2058047272">
                  <w:marLeft w:val="0"/>
                  <w:marRight w:val="0"/>
                  <w:marTop w:val="0"/>
                  <w:marBottom w:val="0"/>
                  <w:divBdr>
                    <w:top w:val="none" w:sz="0" w:space="0" w:color="auto"/>
                    <w:left w:val="none" w:sz="0" w:space="0" w:color="auto"/>
                    <w:bottom w:val="none" w:sz="0" w:space="0" w:color="auto"/>
                    <w:right w:val="none" w:sz="0" w:space="0" w:color="auto"/>
                  </w:divBdr>
                  <w:divsChild>
                    <w:div w:id="280888818">
                      <w:marLeft w:val="0"/>
                      <w:marRight w:val="0"/>
                      <w:marTop w:val="120"/>
                      <w:marBottom w:val="0"/>
                      <w:divBdr>
                        <w:top w:val="none" w:sz="0" w:space="0" w:color="auto"/>
                        <w:left w:val="none" w:sz="0" w:space="0" w:color="auto"/>
                        <w:bottom w:val="none" w:sz="0" w:space="0" w:color="auto"/>
                        <w:right w:val="none" w:sz="0" w:space="0" w:color="auto"/>
                      </w:divBdr>
                    </w:div>
                    <w:div w:id="69673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3133254">
          <w:marLeft w:val="0"/>
          <w:marRight w:val="0"/>
          <w:marTop w:val="0"/>
          <w:marBottom w:val="0"/>
          <w:divBdr>
            <w:top w:val="none" w:sz="0" w:space="0" w:color="auto"/>
            <w:left w:val="none" w:sz="0" w:space="0" w:color="auto"/>
            <w:bottom w:val="none" w:sz="0" w:space="0" w:color="auto"/>
            <w:right w:val="none" w:sz="0" w:space="0" w:color="auto"/>
          </w:divBdr>
          <w:divsChild>
            <w:div w:id="1558324736">
              <w:marLeft w:val="0"/>
              <w:marRight w:val="0"/>
              <w:marTop w:val="0"/>
              <w:marBottom w:val="0"/>
              <w:divBdr>
                <w:top w:val="none" w:sz="0" w:space="0" w:color="auto"/>
                <w:left w:val="none" w:sz="0" w:space="0" w:color="auto"/>
                <w:bottom w:val="none" w:sz="0" w:space="0" w:color="auto"/>
                <w:right w:val="none" w:sz="0" w:space="0" w:color="auto"/>
              </w:divBdr>
              <w:divsChild>
                <w:div w:id="66805390">
                  <w:marLeft w:val="0"/>
                  <w:marRight w:val="0"/>
                  <w:marTop w:val="0"/>
                  <w:marBottom w:val="0"/>
                  <w:divBdr>
                    <w:top w:val="none" w:sz="0" w:space="0" w:color="auto"/>
                    <w:left w:val="none" w:sz="0" w:space="0" w:color="auto"/>
                    <w:bottom w:val="none" w:sz="0" w:space="0" w:color="auto"/>
                    <w:right w:val="none" w:sz="0" w:space="0" w:color="auto"/>
                  </w:divBdr>
                  <w:divsChild>
                    <w:div w:id="45028574">
                      <w:marLeft w:val="0"/>
                      <w:marRight w:val="0"/>
                      <w:marTop w:val="0"/>
                      <w:marBottom w:val="0"/>
                      <w:divBdr>
                        <w:top w:val="none" w:sz="0" w:space="0" w:color="auto"/>
                        <w:left w:val="none" w:sz="0" w:space="0" w:color="auto"/>
                        <w:bottom w:val="none" w:sz="0" w:space="0" w:color="auto"/>
                        <w:right w:val="none" w:sz="0" w:space="0" w:color="auto"/>
                      </w:divBdr>
                    </w:div>
                    <w:div w:id="1652103433">
                      <w:marLeft w:val="0"/>
                      <w:marRight w:val="0"/>
                      <w:marTop w:val="120"/>
                      <w:marBottom w:val="0"/>
                      <w:divBdr>
                        <w:top w:val="none" w:sz="0" w:space="0" w:color="auto"/>
                        <w:left w:val="none" w:sz="0" w:space="0" w:color="auto"/>
                        <w:bottom w:val="none" w:sz="0" w:space="0" w:color="auto"/>
                        <w:right w:val="none" w:sz="0" w:space="0" w:color="auto"/>
                      </w:divBdr>
                    </w:div>
                  </w:divsChild>
                </w:div>
                <w:div w:id="344795267">
                  <w:marLeft w:val="0"/>
                  <w:marRight w:val="0"/>
                  <w:marTop w:val="0"/>
                  <w:marBottom w:val="0"/>
                  <w:divBdr>
                    <w:top w:val="none" w:sz="0" w:space="0" w:color="auto"/>
                    <w:left w:val="none" w:sz="0" w:space="0" w:color="auto"/>
                    <w:bottom w:val="none" w:sz="0" w:space="0" w:color="auto"/>
                    <w:right w:val="none" w:sz="0" w:space="0" w:color="auto"/>
                  </w:divBdr>
                  <w:divsChild>
                    <w:div w:id="286742355">
                      <w:marLeft w:val="0"/>
                      <w:marRight w:val="0"/>
                      <w:marTop w:val="120"/>
                      <w:marBottom w:val="0"/>
                      <w:divBdr>
                        <w:top w:val="none" w:sz="0" w:space="0" w:color="auto"/>
                        <w:left w:val="none" w:sz="0" w:space="0" w:color="auto"/>
                        <w:bottom w:val="none" w:sz="0" w:space="0" w:color="auto"/>
                        <w:right w:val="none" w:sz="0" w:space="0" w:color="auto"/>
                      </w:divBdr>
                    </w:div>
                    <w:div w:id="806900659">
                      <w:marLeft w:val="0"/>
                      <w:marRight w:val="0"/>
                      <w:marTop w:val="0"/>
                      <w:marBottom w:val="0"/>
                      <w:divBdr>
                        <w:top w:val="none" w:sz="0" w:space="0" w:color="auto"/>
                        <w:left w:val="none" w:sz="0" w:space="0" w:color="auto"/>
                        <w:bottom w:val="none" w:sz="0" w:space="0" w:color="auto"/>
                        <w:right w:val="none" w:sz="0" w:space="0" w:color="auto"/>
                      </w:divBdr>
                    </w:div>
                  </w:divsChild>
                </w:div>
                <w:div w:id="777600300">
                  <w:marLeft w:val="0"/>
                  <w:marRight w:val="0"/>
                  <w:marTop w:val="0"/>
                  <w:marBottom w:val="0"/>
                  <w:divBdr>
                    <w:top w:val="none" w:sz="0" w:space="0" w:color="auto"/>
                    <w:left w:val="none" w:sz="0" w:space="0" w:color="auto"/>
                    <w:bottom w:val="none" w:sz="0" w:space="0" w:color="auto"/>
                    <w:right w:val="none" w:sz="0" w:space="0" w:color="auto"/>
                  </w:divBdr>
                  <w:divsChild>
                    <w:div w:id="528108537">
                      <w:marLeft w:val="0"/>
                      <w:marRight w:val="0"/>
                      <w:marTop w:val="120"/>
                      <w:marBottom w:val="0"/>
                      <w:divBdr>
                        <w:top w:val="none" w:sz="0" w:space="0" w:color="auto"/>
                        <w:left w:val="none" w:sz="0" w:space="0" w:color="auto"/>
                        <w:bottom w:val="none" w:sz="0" w:space="0" w:color="auto"/>
                        <w:right w:val="none" w:sz="0" w:space="0" w:color="auto"/>
                      </w:divBdr>
                    </w:div>
                    <w:div w:id="869033125">
                      <w:marLeft w:val="0"/>
                      <w:marRight w:val="0"/>
                      <w:marTop w:val="0"/>
                      <w:marBottom w:val="0"/>
                      <w:divBdr>
                        <w:top w:val="none" w:sz="0" w:space="0" w:color="auto"/>
                        <w:left w:val="none" w:sz="0" w:space="0" w:color="auto"/>
                        <w:bottom w:val="none" w:sz="0" w:space="0" w:color="auto"/>
                        <w:right w:val="none" w:sz="0" w:space="0" w:color="auto"/>
                      </w:divBdr>
                    </w:div>
                  </w:divsChild>
                </w:div>
                <w:div w:id="1231233804">
                  <w:marLeft w:val="0"/>
                  <w:marRight w:val="0"/>
                  <w:marTop w:val="0"/>
                  <w:marBottom w:val="0"/>
                  <w:divBdr>
                    <w:top w:val="none" w:sz="0" w:space="0" w:color="auto"/>
                    <w:left w:val="none" w:sz="0" w:space="0" w:color="auto"/>
                    <w:bottom w:val="none" w:sz="0" w:space="0" w:color="auto"/>
                    <w:right w:val="none" w:sz="0" w:space="0" w:color="auto"/>
                  </w:divBdr>
                  <w:divsChild>
                    <w:div w:id="1153329211">
                      <w:marLeft w:val="0"/>
                      <w:marRight w:val="0"/>
                      <w:marTop w:val="0"/>
                      <w:marBottom w:val="0"/>
                      <w:divBdr>
                        <w:top w:val="none" w:sz="0" w:space="0" w:color="auto"/>
                        <w:left w:val="none" w:sz="0" w:space="0" w:color="auto"/>
                        <w:bottom w:val="none" w:sz="0" w:space="0" w:color="auto"/>
                        <w:right w:val="none" w:sz="0" w:space="0" w:color="auto"/>
                      </w:divBdr>
                    </w:div>
                    <w:div w:id="1352293040">
                      <w:marLeft w:val="0"/>
                      <w:marRight w:val="0"/>
                      <w:marTop w:val="120"/>
                      <w:marBottom w:val="0"/>
                      <w:divBdr>
                        <w:top w:val="none" w:sz="0" w:space="0" w:color="auto"/>
                        <w:left w:val="none" w:sz="0" w:space="0" w:color="auto"/>
                        <w:bottom w:val="none" w:sz="0" w:space="0" w:color="auto"/>
                        <w:right w:val="none" w:sz="0" w:space="0" w:color="auto"/>
                      </w:divBdr>
                    </w:div>
                  </w:divsChild>
                </w:div>
                <w:div w:id="1384912533">
                  <w:marLeft w:val="0"/>
                  <w:marRight w:val="0"/>
                  <w:marTop w:val="0"/>
                  <w:marBottom w:val="0"/>
                  <w:divBdr>
                    <w:top w:val="none" w:sz="0" w:space="0" w:color="auto"/>
                    <w:left w:val="none" w:sz="0" w:space="0" w:color="auto"/>
                    <w:bottom w:val="none" w:sz="0" w:space="0" w:color="auto"/>
                    <w:right w:val="none" w:sz="0" w:space="0" w:color="auto"/>
                  </w:divBdr>
                  <w:divsChild>
                    <w:div w:id="1382363546">
                      <w:marLeft w:val="0"/>
                      <w:marRight w:val="0"/>
                      <w:marTop w:val="120"/>
                      <w:marBottom w:val="0"/>
                      <w:divBdr>
                        <w:top w:val="none" w:sz="0" w:space="0" w:color="auto"/>
                        <w:left w:val="none" w:sz="0" w:space="0" w:color="auto"/>
                        <w:bottom w:val="none" w:sz="0" w:space="0" w:color="auto"/>
                        <w:right w:val="none" w:sz="0" w:space="0" w:color="auto"/>
                      </w:divBdr>
                    </w:div>
                    <w:div w:id="1918443444">
                      <w:marLeft w:val="0"/>
                      <w:marRight w:val="0"/>
                      <w:marTop w:val="0"/>
                      <w:marBottom w:val="0"/>
                      <w:divBdr>
                        <w:top w:val="none" w:sz="0" w:space="0" w:color="auto"/>
                        <w:left w:val="none" w:sz="0" w:space="0" w:color="auto"/>
                        <w:bottom w:val="none" w:sz="0" w:space="0" w:color="auto"/>
                        <w:right w:val="none" w:sz="0" w:space="0" w:color="auto"/>
                      </w:divBdr>
                    </w:div>
                  </w:divsChild>
                </w:div>
                <w:div w:id="1950579836">
                  <w:marLeft w:val="0"/>
                  <w:marRight w:val="0"/>
                  <w:marTop w:val="0"/>
                  <w:marBottom w:val="0"/>
                  <w:divBdr>
                    <w:top w:val="none" w:sz="0" w:space="0" w:color="auto"/>
                    <w:left w:val="none" w:sz="0" w:space="0" w:color="auto"/>
                    <w:bottom w:val="none" w:sz="0" w:space="0" w:color="auto"/>
                    <w:right w:val="none" w:sz="0" w:space="0" w:color="auto"/>
                  </w:divBdr>
                  <w:divsChild>
                    <w:div w:id="283462511">
                      <w:marLeft w:val="0"/>
                      <w:marRight w:val="0"/>
                      <w:marTop w:val="0"/>
                      <w:marBottom w:val="0"/>
                      <w:divBdr>
                        <w:top w:val="none" w:sz="0" w:space="0" w:color="auto"/>
                        <w:left w:val="none" w:sz="0" w:space="0" w:color="auto"/>
                        <w:bottom w:val="none" w:sz="0" w:space="0" w:color="auto"/>
                        <w:right w:val="none" w:sz="0" w:space="0" w:color="auto"/>
                      </w:divBdr>
                    </w:div>
                    <w:div w:id="29448306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550390143">
      <w:bodyDiv w:val="1"/>
      <w:marLeft w:val="0"/>
      <w:marRight w:val="0"/>
      <w:marTop w:val="0"/>
      <w:marBottom w:val="0"/>
      <w:divBdr>
        <w:top w:val="none" w:sz="0" w:space="0" w:color="auto"/>
        <w:left w:val="none" w:sz="0" w:space="0" w:color="auto"/>
        <w:bottom w:val="none" w:sz="0" w:space="0" w:color="auto"/>
        <w:right w:val="none" w:sz="0" w:space="0" w:color="auto"/>
      </w:divBdr>
      <w:divsChild>
        <w:div w:id="265892908">
          <w:marLeft w:val="0"/>
          <w:marRight w:val="0"/>
          <w:marTop w:val="0"/>
          <w:marBottom w:val="0"/>
          <w:divBdr>
            <w:top w:val="none" w:sz="0" w:space="0" w:color="auto"/>
            <w:left w:val="none" w:sz="0" w:space="0" w:color="auto"/>
            <w:bottom w:val="none" w:sz="0" w:space="0" w:color="auto"/>
            <w:right w:val="none" w:sz="0" w:space="0" w:color="auto"/>
          </w:divBdr>
          <w:divsChild>
            <w:div w:id="175341029">
              <w:marLeft w:val="0"/>
              <w:marRight w:val="0"/>
              <w:marTop w:val="0"/>
              <w:marBottom w:val="0"/>
              <w:divBdr>
                <w:top w:val="none" w:sz="0" w:space="0" w:color="auto"/>
                <w:left w:val="none" w:sz="0" w:space="0" w:color="auto"/>
                <w:bottom w:val="none" w:sz="0" w:space="0" w:color="auto"/>
                <w:right w:val="none" w:sz="0" w:space="0" w:color="auto"/>
              </w:divBdr>
              <w:divsChild>
                <w:div w:id="480390483">
                  <w:marLeft w:val="0"/>
                  <w:marRight w:val="0"/>
                  <w:marTop w:val="120"/>
                  <w:marBottom w:val="0"/>
                  <w:divBdr>
                    <w:top w:val="none" w:sz="0" w:space="0" w:color="auto"/>
                    <w:left w:val="none" w:sz="0" w:space="0" w:color="auto"/>
                    <w:bottom w:val="none" w:sz="0" w:space="0" w:color="auto"/>
                    <w:right w:val="none" w:sz="0" w:space="0" w:color="auto"/>
                  </w:divBdr>
                </w:div>
                <w:div w:id="1596748234">
                  <w:marLeft w:val="0"/>
                  <w:marRight w:val="0"/>
                  <w:marTop w:val="0"/>
                  <w:marBottom w:val="0"/>
                  <w:divBdr>
                    <w:top w:val="none" w:sz="0" w:space="0" w:color="auto"/>
                    <w:left w:val="none" w:sz="0" w:space="0" w:color="auto"/>
                    <w:bottom w:val="none" w:sz="0" w:space="0" w:color="auto"/>
                    <w:right w:val="none" w:sz="0" w:space="0" w:color="auto"/>
                  </w:divBdr>
                </w:div>
              </w:divsChild>
            </w:div>
            <w:div w:id="199130668">
              <w:marLeft w:val="0"/>
              <w:marRight w:val="0"/>
              <w:marTop w:val="0"/>
              <w:marBottom w:val="0"/>
              <w:divBdr>
                <w:top w:val="none" w:sz="0" w:space="0" w:color="auto"/>
                <w:left w:val="none" w:sz="0" w:space="0" w:color="auto"/>
                <w:bottom w:val="none" w:sz="0" w:space="0" w:color="auto"/>
                <w:right w:val="none" w:sz="0" w:space="0" w:color="auto"/>
              </w:divBdr>
              <w:divsChild>
                <w:div w:id="1437942111">
                  <w:marLeft w:val="0"/>
                  <w:marRight w:val="0"/>
                  <w:marTop w:val="120"/>
                  <w:marBottom w:val="0"/>
                  <w:divBdr>
                    <w:top w:val="none" w:sz="0" w:space="0" w:color="auto"/>
                    <w:left w:val="none" w:sz="0" w:space="0" w:color="auto"/>
                    <w:bottom w:val="none" w:sz="0" w:space="0" w:color="auto"/>
                    <w:right w:val="none" w:sz="0" w:space="0" w:color="auto"/>
                  </w:divBdr>
                </w:div>
                <w:div w:id="1914117102">
                  <w:marLeft w:val="0"/>
                  <w:marRight w:val="0"/>
                  <w:marTop w:val="0"/>
                  <w:marBottom w:val="0"/>
                  <w:divBdr>
                    <w:top w:val="none" w:sz="0" w:space="0" w:color="auto"/>
                    <w:left w:val="none" w:sz="0" w:space="0" w:color="auto"/>
                    <w:bottom w:val="none" w:sz="0" w:space="0" w:color="auto"/>
                    <w:right w:val="none" w:sz="0" w:space="0" w:color="auto"/>
                  </w:divBdr>
                </w:div>
              </w:divsChild>
            </w:div>
            <w:div w:id="1084297517">
              <w:marLeft w:val="0"/>
              <w:marRight w:val="0"/>
              <w:marTop w:val="0"/>
              <w:marBottom w:val="0"/>
              <w:divBdr>
                <w:top w:val="none" w:sz="0" w:space="0" w:color="auto"/>
                <w:left w:val="none" w:sz="0" w:space="0" w:color="auto"/>
                <w:bottom w:val="none" w:sz="0" w:space="0" w:color="auto"/>
                <w:right w:val="none" w:sz="0" w:space="0" w:color="auto"/>
              </w:divBdr>
              <w:divsChild>
                <w:div w:id="318340224">
                  <w:marLeft w:val="0"/>
                  <w:marRight w:val="0"/>
                  <w:marTop w:val="120"/>
                  <w:marBottom w:val="0"/>
                  <w:divBdr>
                    <w:top w:val="none" w:sz="0" w:space="0" w:color="auto"/>
                    <w:left w:val="none" w:sz="0" w:space="0" w:color="auto"/>
                    <w:bottom w:val="none" w:sz="0" w:space="0" w:color="auto"/>
                    <w:right w:val="none" w:sz="0" w:space="0" w:color="auto"/>
                  </w:divBdr>
                </w:div>
                <w:div w:id="1961953649">
                  <w:marLeft w:val="0"/>
                  <w:marRight w:val="0"/>
                  <w:marTop w:val="0"/>
                  <w:marBottom w:val="0"/>
                  <w:divBdr>
                    <w:top w:val="none" w:sz="0" w:space="0" w:color="auto"/>
                    <w:left w:val="none" w:sz="0" w:space="0" w:color="auto"/>
                    <w:bottom w:val="none" w:sz="0" w:space="0" w:color="auto"/>
                    <w:right w:val="none" w:sz="0" w:space="0" w:color="auto"/>
                  </w:divBdr>
                </w:div>
              </w:divsChild>
            </w:div>
            <w:div w:id="1622567794">
              <w:marLeft w:val="0"/>
              <w:marRight w:val="0"/>
              <w:marTop w:val="0"/>
              <w:marBottom w:val="0"/>
              <w:divBdr>
                <w:top w:val="none" w:sz="0" w:space="0" w:color="auto"/>
                <w:left w:val="none" w:sz="0" w:space="0" w:color="auto"/>
                <w:bottom w:val="none" w:sz="0" w:space="0" w:color="auto"/>
                <w:right w:val="none" w:sz="0" w:space="0" w:color="auto"/>
              </w:divBdr>
              <w:divsChild>
                <w:div w:id="807354578">
                  <w:marLeft w:val="0"/>
                  <w:marRight w:val="0"/>
                  <w:marTop w:val="120"/>
                  <w:marBottom w:val="0"/>
                  <w:divBdr>
                    <w:top w:val="none" w:sz="0" w:space="0" w:color="auto"/>
                    <w:left w:val="none" w:sz="0" w:space="0" w:color="auto"/>
                    <w:bottom w:val="none" w:sz="0" w:space="0" w:color="auto"/>
                    <w:right w:val="none" w:sz="0" w:space="0" w:color="auto"/>
                  </w:divBdr>
                </w:div>
                <w:div w:id="1182937030">
                  <w:marLeft w:val="0"/>
                  <w:marRight w:val="0"/>
                  <w:marTop w:val="0"/>
                  <w:marBottom w:val="0"/>
                  <w:divBdr>
                    <w:top w:val="none" w:sz="0" w:space="0" w:color="auto"/>
                    <w:left w:val="none" w:sz="0" w:space="0" w:color="auto"/>
                    <w:bottom w:val="none" w:sz="0" w:space="0" w:color="auto"/>
                    <w:right w:val="none" w:sz="0" w:space="0" w:color="auto"/>
                  </w:divBdr>
                </w:div>
              </w:divsChild>
            </w:div>
            <w:div w:id="1627352189">
              <w:marLeft w:val="0"/>
              <w:marRight w:val="0"/>
              <w:marTop w:val="0"/>
              <w:marBottom w:val="0"/>
              <w:divBdr>
                <w:top w:val="none" w:sz="0" w:space="0" w:color="auto"/>
                <w:left w:val="none" w:sz="0" w:space="0" w:color="auto"/>
                <w:bottom w:val="none" w:sz="0" w:space="0" w:color="auto"/>
                <w:right w:val="none" w:sz="0" w:space="0" w:color="auto"/>
              </w:divBdr>
              <w:divsChild>
                <w:div w:id="242497853">
                  <w:marLeft w:val="0"/>
                  <w:marRight w:val="0"/>
                  <w:marTop w:val="0"/>
                  <w:marBottom w:val="0"/>
                  <w:divBdr>
                    <w:top w:val="none" w:sz="0" w:space="0" w:color="auto"/>
                    <w:left w:val="none" w:sz="0" w:space="0" w:color="auto"/>
                    <w:bottom w:val="none" w:sz="0" w:space="0" w:color="auto"/>
                    <w:right w:val="none" w:sz="0" w:space="0" w:color="auto"/>
                  </w:divBdr>
                </w:div>
                <w:div w:id="1553619684">
                  <w:marLeft w:val="0"/>
                  <w:marRight w:val="0"/>
                  <w:marTop w:val="120"/>
                  <w:marBottom w:val="0"/>
                  <w:divBdr>
                    <w:top w:val="none" w:sz="0" w:space="0" w:color="auto"/>
                    <w:left w:val="none" w:sz="0" w:space="0" w:color="auto"/>
                    <w:bottom w:val="none" w:sz="0" w:space="0" w:color="auto"/>
                    <w:right w:val="none" w:sz="0" w:space="0" w:color="auto"/>
                  </w:divBdr>
                </w:div>
              </w:divsChild>
            </w:div>
            <w:div w:id="1659727863">
              <w:marLeft w:val="0"/>
              <w:marRight w:val="0"/>
              <w:marTop w:val="0"/>
              <w:marBottom w:val="0"/>
              <w:divBdr>
                <w:top w:val="none" w:sz="0" w:space="0" w:color="auto"/>
                <w:left w:val="none" w:sz="0" w:space="0" w:color="auto"/>
                <w:bottom w:val="none" w:sz="0" w:space="0" w:color="auto"/>
                <w:right w:val="none" w:sz="0" w:space="0" w:color="auto"/>
              </w:divBdr>
              <w:divsChild>
                <w:div w:id="413743233">
                  <w:marLeft w:val="0"/>
                  <w:marRight w:val="0"/>
                  <w:marTop w:val="120"/>
                  <w:marBottom w:val="0"/>
                  <w:divBdr>
                    <w:top w:val="none" w:sz="0" w:space="0" w:color="auto"/>
                    <w:left w:val="none" w:sz="0" w:space="0" w:color="auto"/>
                    <w:bottom w:val="none" w:sz="0" w:space="0" w:color="auto"/>
                    <w:right w:val="none" w:sz="0" w:space="0" w:color="auto"/>
                  </w:divBdr>
                </w:div>
                <w:div w:id="1137408872">
                  <w:marLeft w:val="0"/>
                  <w:marRight w:val="0"/>
                  <w:marTop w:val="0"/>
                  <w:marBottom w:val="0"/>
                  <w:divBdr>
                    <w:top w:val="none" w:sz="0" w:space="0" w:color="auto"/>
                    <w:left w:val="none" w:sz="0" w:space="0" w:color="auto"/>
                    <w:bottom w:val="none" w:sz="0" w:space="0" w:color="auto"/>
                    <w:right w:val="none" w:sz="0" w:space="0" w:color="auto"/>
                  </w:divBdr>
                </w:div>
              </w:divsChild>
            </w:div>
            <w:div w:id="1939017481">
              <w:marLeft w:val="0"/>
              <w:marRight w:val="0"/>
              <w:marTop w:val="0"/>
              <w:marBottom w:val="0"/>
              <w:divBdr>
                <w:top w:val="none" w:sz="0" w:space="0" w:color="auto"/>
                <w:left w:val="none" w:sz="0" w:space="0" w:color="auto"/>
                <w:bottom w:val="none" w:sz="0" w:space="0" w:color="auto"/>
                <w:right w:val="none" w:sz="0" w:space="0" w:color="auto"/>
              </w:divBdr>
              <w:divsChild>
                <w:div w:id="76484974">
                  <w:marLeft w:val="0"/>
                  <w:marRight w:val="0"/>
                  <w:marTop w:val="120"/>
                  <w:marBottom w:val="0"/>
                  <w:divBdr>
                    <w:top w:val="none" w:sz="0" w:space="0" w:color="auto"/>
                    <w:left w:val="none" w:sz="0" w:space="0" w:color="auto"/>
                    <w:bottom w:val="none" w:sz="0" w:space="0" w:color="auto"/>
                    <w:right w:val="none" w:sz="0" w:space="0" w:color="auto"/>
                  </w:divBdr>
                </w:div>
                <w:div w:id="1068648086">
                  <w:marLeft w:val="0"/>
                  <w:marRight w:val="0"/>
                  <w:marTop w:val="0"/>
                  <w:marBottom w:val="0"/>
                  <w:divBdr>
                    <w:top w:val="none" w:sz="0" w:space="0" w:color="auto"/>
                    <w:left w:val="none" w:sz="0" w:space="0" w:color="auto"/>
                    <w:bottom w:val="none" w:sz="0" w:space="0" w:color="auto"/>
                    <w:right w:val="none" w:sz="0" w:space="0" w:color="auto"/>
                  </w:divBdr>
                </w:div>
              </w:divsChild>
            </w:div>
            <w:div w:id="2112165880">
              <w:marLeft w:val="0"/>
              <w:marRight w:val="0"/>
              <w:marTop w:val="0"/>
              <w:marBottom w:val="0"/>
              <w:divBdr>
                <w:top w:val="none" w:sz="0" w:space="0" w:color="auto"/>
                <w:left w:val="none" w:sz="0" w:space="0" w:color="auto"/>
                <w:bottom w:val="none" w:sz="0" w:space="0" w:color="auto"/>
                <w:right w:val="none" w:sz="0" w:space="0" w:color="auto"/>
              </w:divBdr>
              <w:divsChild>
                <w:div w:id="318121603">
                  <w:marLeft w:val="0"/>
                  <w:marRight w:val="0"/>
                  <w:marTop w:val="0"/>
                  <w:marBottom w:val="0"/>
                  <w:divBdr>
                    <w:top w:val="none" w:sz="0" w:space="0" w:color="auto"/>
                    <w:left w:val="none" w:sz="0" w:space="0" w:color="auto"/>
                    <w:bottom w:val="none" w:sz="0" w:space="0" w:color="auto"/>
                    <w:right w:val="none" w:sz="0" w:space="0" w:color="auto"/>
                  </w:divBdr>
                </w:div>
                <w:div w:id="38549003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50456034">
      <w:bodyDiv w:val="1"/>
      <w:marLeft w:val="0"/>
      <w:marRight w:val="0"/>
      <w:marTop w:val="0"/>
      <w:marBottom w:val="0"/>
      <w:divBdr>
        <w:top w:val="none" w:sz="0" w:space="0" w:color="auto"/>
        <w:left w:val="none" w:sz="0" w:space="0" w:color="auto"/>
        <w:bottom w:val="none" w:sz="0" w:space="0" w:color="auto"/>
        <w:right w:val="none" w:sz="0" w:space="0" w:color="auto"/>
      </w:divBdr>
      <w:divsChild>
        <w:div w:id="340472827">
          <w:marLeft w:val="0"/>
          <w:marRight w:val="0"/>
          <w:marTop w:val="0"/>
          <w:marBottom w:val="0"/>
          <w:divBdr>
            <w:top w:val="none" w:sz="0" w:space="0" w:color="auto"/>
            <w:left w:val="none" w:sz="0" w:space="0" w:color="auto"/>
            <w:bottom w:val="none" w:sz="0" w:space="0" w:color="auto"/>
            <w:right w:val="none" w:sz="0" w:space="0" w:color="auto"/>
          </w:divBdr>
          <w:divsChild>
            <w:div w:id="7607728">
              <w:marLeft w:val="0"/>
              <w:marRight w:val="0"/>
              <w:marTop w:val="0"/>
              <w:marBottom w:val="0"/>
              <w:divBdr>
                <w:top w:val="none" w:sz="0" w:space="0" w:color="auto"/>
                <w:left w:val="none" w:sz="0" w:space="0" w:color="auto"/>
                <w:bottom w:val="none" w:sz="0" w:space="0" w:color="auto"/>
                <w:right w:val="none" w:sz="0" w:space="0" w:color="auto"/>
              </w:divBdr>
            </w:div>
            <w:div w:id="1598366549">
              <w:marLeft w:val="0"/>
              <w:marRight w:val="0"/>
              <w:marTop w:val="120"/>
              <w:marBottom w:val="0"/>
              <w:divBdr>
                <w:top w:val="none" w:sz="0" w:space="0" w:color="auto"/>
                <w:left w:val="none" w:sz="0" w:space="0" w:color="auto"/>
                <w:bottom w:val="none" w:sz="0" w:space="0" w:color="auto"/>
                <w:right w:val="none" w:sz="0" w:space="0" w:color="auto"/>
              </w:divBdr>
            </w:div>
          </w:divsChild>
        </w:div>
        <w:div w:id="503319131">
          <w:marLeft w:val="0"/>
          <w:marRight w:val="0"/>
          <w:marTop w:val="0"/>
          <w:marBottom w:val="0"/>
          <w:divBdr>
            <w:top w:val="none" w:sz="0" w:space="0" w:color="auto"/>
            <w:left w:val="none" w:sz="0" w:space="0" w:color="auto"/>
            <w:bottom w:val="none" w:sz="0" w:space="0" w:color="auto"/>
            <w:right w:val="none" w:sz="0" w:space="0" w:color="auto"/>
          </w:divBdr>
          <w:divsChild>
            <w:div w:id="297076881">
              <w:marLeft w:val="0"/>
              <w:marRight w:val="0"/>
              <w:marTop w:val="0"/>
              <w:marBottom w:val="0"/>
              <w:divBdr>
                <w:top w:val="none" w:sz="0" w:space="0" w:color="auto"/>
                <w:left w:val="none" w:sz="0" w:space="0" w:color="auto"/>
                <w:bottom w:val="none" w:sz="0" w:space="0" w:color="auto"/>
                <w:right w:val="none" w:sz="0" w:space="0" w:color="auto"/>
              </w:divBdr>
            </w:div>
            <w:div w:id="692077313">
              <w:marLeft w:val="0"/>
              <w:marRight w:val="0"/>
              <w:marTop w:val="120"/>
              <w:marBottom w:val="0"/>
              <w:divBdr>
                <w:top w:val="none" w:sz="0" w:space="0" w:color="auto"/>
                <w:left w:val="none" w:sz="0" w:space="0" w:color="auto"/>
                <w:bottom w:val="none" w:sz="0" w:space="0" w:color="auto"/>
                <w:right w:val="none" w:sz="0" w:space="0" w:color="auto"/>
              </w:divBdr>
            </w:div>
          </w:divsChild>
        </w:div>
        <w:div w:id="1280722523">
          <w:marLeft w:val="0"/>
          <w:marRight w:val="0"/>
          <w:marTop w:val="0"/>
          <w:marBottom w:val="0"/>
          <w:divBdr>
            <w:top w:val="none" w:sz="0" w:space="0" w:color="auto"/>
            <w:left w:val="none" w:sz="0" w:space="0" w:color="auto"/>
            <w:bottom w:val="none" w:sz="0" w:space="0" w:color="auto"/>
            <w:right w:val="none" w:sz="0" w:space="0" w:color="auto"/>
          </w:divBdr>
          <w:divsChild>
            <w:div w:id="17122515">
              <w:marLeft w:val="0"/>
              <w:marRight w:val="0"/>
              <w:marTop w:val="120"/>
              <w:marBottom w:val="0"/>
              <w:divBdr>
                <w:top w:val="none" w:sz="0" w:space="0" w:color="auto"/>
                <w:left w:val="none" w:sz="0" w:space="0" w:color="auto"/>
                <w:bottom w:val="none" w:sz="0" w:space="0" w:color="auto"/>
                <w:right w:val="none" w:sz="0" w:space="0" w:color="auto"/>
              </w:divBdr>
            </w:div>
            <w:div w:id="2042626974">
              <w:marLeft w:val="0"/>
              <w:marRight w:val="0"/>
              <w:marTop w:val="0"/>
              <w:marBottom w:val="0"/>
              <w:divBdr>
                <w:top w:val="none" w:sz="0" w:space="0" w:color="auto"/>
                <w:left w:val="none" w:sz="0" w:space="0" w:color="auto"/>
                <w:bottom w:val="none" w:sz="0" w:space="0" w:color="auto"/>
                <w:right w:val="none" w:sz="0" w:space="0" w:color="auto"/>
              </w:divBdr>
            </w:div>
          </w:divsChild>
        </w:div>
        <w:div w:id="1445535519">
          <w:marLeft w:val="0"/>
          <w:marRight w:val="0"/>
          <w:marTop w:val="0"/>
          <w:marBottom w:val="0"/>
          <w:divBdr>
            <w:top w:val="none" w:sz="0" w:space="0" w:color="auto"/>
            <w:left w:val="none" w:sz="0" w:space="0" w:color="auto"/>
            <w:bottom w:val="none" w:sz="0" w:space="0" w:color="auto"/>
            <w:right w:val="none" w:sz="0" w:space="0" w:color="auto"/>
          </w:divBdr>
          <w:divsChild>
            <w:div w:id="442072502">
              <w:marLeft w:val="0"/>
              <w:marRight w:val="0"/>
              <w:marTop w:val="0"/>
              <w:marBottom w:val="0"/>
              <w:divBdr>
                <w:top w:val="none" w:sz="0" w:space="0" w:color="auto"/>
                <w:left w:val="none" w:sz="0" w:space="0" w:color="auto"/>
                <w:bottom w:val="none" w:sz="0" w:space="0" w:color="auto"/>
                <w:right w:val="none" w:sz="0" w:space="0" w:color="auto"/>
              </w:divBdr>
            </w:div>
          </w:divsChild>
        </w:div>
        <w:div w:id="1446776160">
          <w:marLeft w:val="0"/>
          <w:marRight w:val="0"/>
          <w:marTop w:val="0"/>
          <w:marBottom w:val="0"/>
          <w:divBdr>
            <w:top w:val="none" w:sz="0" w:space="0" w:color="auto"/>
            <w:left w:val="none" w:sz="0" w:space="0" w:color="auto"/>
            <w:bottom w:val="none" w:sz="0" w:space="0" w:color="auto"/>
            <w:right w:val="none" w:sz="0" w:space="0" w:color="auto"/>
          </w:divBdr>
          <w:divsChild>
            <w:div w:id="1551574628">
              <w:marLeft w:val="0"/>
              <w:marRight w:val="0"/>
              <w:marTop w:val="0"/>
              <w:marBottom w:val="0"/>
              <w:divBdr>
                <w:top w:val="none" w:sz="0" w:space="0" w:color="auto"/>
                <w:left w:val="none" w:sz="0" w:space="0" w:color="auto"/>
                <w:bottom w:val="none" w:sz="0" w:space="0" w:color="auto"/>
                <w:right w:val="none" w:sz="0" w:space="0" w:color="auto"/>
              </w:divBdr>
            </w:div>
          </w:divsChild>
        </w:div>
        <w:div w:id="1799033151">
          <w:marLeft w:val="0"/>
          <w:marRight w:val="0"/>
          <w:marTop w:val="0"/>
          <w:marBottom w:val="0"/>
          <w:divBdr>
            <w:top w:val="none" w:sz="0" w:space="0" w:color="auto"/>
            <w:left w:val="none" w:sz="0" w:space="0" w:color="auto"/>
            <w:bottom w:val="none" w:sz="0" w:space="0" w:color="auto"/>
            <w:right w:val="none" w:sz="0" w:space="0" w:color="auto"/>
          </w:divBdr>
          <w:divsChild>
            <w:div w:id="1255894523">
              <w:marLeft w:val="0"/>
              <w:marRight w:val="0"/>
              <w:marTop w:val="0"/>
              <w:marBottom w:val="0"/>
              <w:divBdr>
                <w:top w:val="none" w:sz="0" w:space="0" w:color="auto"/>
                <w:left w:val="none" w:sz="0" w:space="0" w:color="auto"/>
                <w:bottom w:val="none" w:sz="0" w:space="0" w:color="auto"/>
                <w:right w:val="none" w:sz="0" w:space="0" w:color="auto"/>
              </w:divBdr>
            </w:div>
          </w:divsChild>
        </w:div>
        <w:div w:id="1834448024">
          <w:marLeft w:val="0"/>
          <w:marRight w:val="0"/>
          <w:marTop w:val="0"/>
          <w:marBottom w:val="0"/>
          <w:divBdr>
            <w:top w:val="none" w:sz="0" w:space="0" w:color="auto"/>
            <w:left w:val="none" w:sz="0" w:space="0" w:color="auto"/>
            <w:bottom w:val="none" w:sz="0" w:space="0" w:color="auto"/>
            <w:right w:val="none" w:sz="0" w:space="0" w:color="auto"/>
          </w:divBdr>
          <w:divsChild>
            <w:div w:id="981619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7403">
      <w:bodyDiv w:val="1"/>
      <w:marLeft w:val="0"/>
      <w:marRight w:val="0"/>
      <w:marTop w:val="0"/>
      <w:marBottom w:val="0"/>
      <w:divBdr>
        <w:top w:val="none" w:sz="0" w:space="0" w:color="auto"/>
        <w:left w:val="none" w:sz="0" w:space="0" w:color="auto"/>
        <w:bottom w:val="none" w:sz="0" w:space="0" w:color="auto"/>
        <w:right w:val="none" w:sz="0" w:space="0" w:color="auto"/>
      </w:divBdr>
      <w:divsChild>
        <w:div w:id="1209491036">
          <w:marLeft w:val="0"/>
          <w:marRight w:val="0"/>
          <w:marTop w:val="0"/>
          <w:marBottom w:val="0"/>
          <w:divBdr>
            <w:top w:val="none" w:sz="0" w:space="0" w:color="auto"/>
            <w:left w:val="none" w:sz="0" w:space="0" w:color="auto"/>
            <w:bottom w:val="none" w:sz="0" w:space="0" w:color="auto"/>
            <w:right w:val="none" w:sz="0" w:space="0" w:color="auto"/>
          </w:divBdr>
          <w:divsChild>
            <w:div w:id="152912896">
              <w:marLeft w:val="0"/>
              <w:marRight w:val="0"/>
              <w:marTop w:val="0"/>
              <w:marBottom w:val="0"/>
              <w:divBdr>
                <w:top w:val="none" w:sz="0" w:space="0" w:color="auto"/>
                <w:left w:val="none" w:sz="0" w:space="0" w:color="auto"/>
                <w:bottom w:val="none" w:sz="0" w:space="0" w:color="auto"/>
                <w:right w:val="none" w:sz="0" w:space="0" w:color="auto"/>
              </w:divBdr>
              <w:divsChild>
                <w:div w:id="1578398608">
                  <w:marLeft w:val="0"/>
                  <w:marRight w:val="0"/>
                  <w:marTop w:val="0"/>
                  <w:marBottom w:val="0"/>
                  <w:divBdr>
                    <w:top w:val="none" w:sz="0" w:space="0" w:color="auto"/>
                    <w:left w:val="none" w:sz="0" w:space="0" w:color="auto"/>
                    <w:bottom w:val="none" w:sz="0" w:space="0" w:color="auto"/>
                    <w:right w:val="none" w:sz="0" w:space="0" w:color="auto"/>
                  </w:divBdr>
                  <w:divsChild>
                    <w:div w:id="1094595282">
                      <w:marLeft w:val="0"/>
                      <w:marRight w:val="0"/>
                      <w:marTop w:val="120"/>
                      <w:marBottom w:val="0"/>
                      <w:divBdr>
                        <w:top w:val="none" w:sz="0" w:space="0" w:color="auto"/>
                        <w:left w:val="none" w:sz="0" w:space="0" w:color="auto"/>
                        <w:bottom w:val="none" w:sz="0" w:space="0" w:color="auto"/>
                        <w:right w:val="none" w:sz="0" w:space="0" w:color="auto"/>
                      </w:divBdr>
                    </w:div>
                    <w:div w:id="1595437713">
                      <w:marLeft w:val="0"/>
                      <w:marRight w:val="0"/>
                      <w:marTop w:val="0"/>
                      <w:marBottom w:val="0"/>
                      <w:divBdr>
                        <w:top w:val="none" w:sz="0" w:space="0" w:color="auto"/>
                        <w:left w:val="none" w:sz="0" w:space="0" w:color="auto"/>
                        <w:bottom w:val="none" w:sz="0" w:space="0" w:color="auto"/>
                        <w:right w:val="none" w:sz="0" w:space="0" w:color="auto"/>
                      </w:divBdr>
                      <w:divsChild>
                        <w:div w:id="1535192425">
                          <w:marLeft w:val="0"/>
                          <w:marRight w:val="0"/>
                          <w:marTop w:val="0"/>
                          <w:marBottom w:val="0"/>
                          <w:divBdr>
                            <w:top w:val="none" w:sz="0" w:space="0" w:color="auto"/>
                            <w:left w:val="none" w:sz="0" w:space="0" w:color="auto"/>
                            <w:bottom w:val="none" w:sz="0" w:space="0" w:color="auto"/>
                            <w:right w:val="none" w:sz="0" w:space="0" w:color="auto"/>
                          </w:divBdr>
                          <w:divsChild>
                            <w:div w:id="54088425">
                              <w:marLeft w:val="0"/>
                              <w:marRight w:val="0"/>
                              <w:marTop w:val="0"/>
                              <w:marBottom w:val="0"/>
                              <w:divBdr>
                                <w:top w:val="none" w:sz="0" w:space="0" w:color="auto"/>
                                <w:left w:val="none" w:sz="0" w:space="0" w:color="auto"/>
                                <w:bottom w:val="none" w:sz="0" w:space="0" w:color="auto"/>
                                <w:right w:val="none" w:sz="0" w:space="0" w:color="auto"/>
                              </w:divBdr>
                            </w:div>
                            <w:div w:id="623148691">
                              <w:marLeft w:val="0"/>
                              <w:marRight w:val="0"/>
                              <w:marTop w:val="120"/>
                              <w:marBottom w:val="0"/>
                              <w:divBdr>
                                <w:top w:val="none" w:sz="0" w:space="0" w:color="auto"/>
                                <w:left w:val="none" w:sz="0" w:space="0" w:color="auto"/>
                                <w:bottom w:val="none" w:sz="0" w:space="0" w:color="auto"/>
                                <w:right w:val="none" w:sz="0" w:space="0" w:color="auto"/>
                              </w:divBdr>
                            </w:div>
                          </w:divsChild>
                        </w:div>
                        <w:div w:id="1785004386">
                          <w:marLeft w:val="0"/>
                          <w:marRight w:val="0"/>
                          <w:marTop w:val="0"/>
                          <w:marBottom w:val="0"/>
                          <w:divBdr>
                            <w:top w:val="none" w:sz="0" w:space="0" w:color="auto"/>
                            <w:left w:val="none" w:sz="0" w:space="0" w:color="auto"/>
                            <w:bottom w:val="none" w:sz="0" w:space="0" w:color="auto"/>
                            <w:right w:val="none" w:sz="0" w:space="0" w:color="auto"/>
                          </w:divBdr>
                          <w:divsChild>
                            <w:div w:id="1018851755">
                              <w:marLeft w:val="0"/>
                              <w:marRight w:val="0"/>
                              <w:marTop w:val="120"/>
                              <w:marBottom w:val="0"/>
                              <w:divBdr>
                                <w:top w:val="none" w:sz="0" w:space="0" w:color="auto"/>
                                <w:left w:val="none" w:sz="0" w:space="0" w:color="auto"/>
                                <w:bottom w:val="none" w:sz="0" w:space="0" w:color="auto"/>
                                <w:right w:val="none" w:sz="0" w:space="0" w:color="auto"/>
                              </w:divBdr>
                            </w:div>
                            <w:div w:id="1553422061">
                              <w:marLeft w:val="0"/>
                              <w:marRight w:val="0"/>
                              <w:marTop w:val="0"/>
                              <w:marBottom w:val="0"/>
                              <w:divBdr>
                                <w:top w:val="none" w:sz="0" w:space="0" w:color="auto"/>
                                <w:left w:val="none" w:sz="0" w:space="0" w:color="auto"/>
                                <w:bottom w:val="none" w:sz="0" w:space="0" w:color="auto"/>
                                <w:right w:val="none" w:sz="0" w:space="0" w:color="auto"/>
                              </w:divBdr>
                            </w:div>
                          </w:divsChild>
                        </w:div>
                        <w:div w:id="2023819520">
                          <w:marLeft w:val="0"/>
                          <w:marRight w:val="0"/>
                          <w:marTop w:val="0"/>
                          <w:marBottom w:val="0"/>
                          <w:divBdr>
                            <w:top w:val="none" w:sz="0" w:space="0" w:color="auto"/>
                            <w:left w:val="none" w:sz="0" w:space="0" w:color="auto"/>
                            <w:bottom w:val="none" w:sz="0" w:space="0" w:color="auto"/>
                            <w:right w:val="none" w:sz="0" w:space="0" w:color="auto"/>
                          </w:divBdr>
                          <w:divsChild>
                            <w:div w:id="681130290">
                              <w:marLeft w:val="0"/>
                              <w:marRight w:val="0"/>
                              <w:marTop w:val="120"/>
                              <w:marBottom w:val="0"/>
                              <w:divBdr>
                                <w:top w:val="none" w:sz="0" w:space="0" w:color="auto"/>
                                <w:left w:val="none" w:sz="0" w:space="0" w:color="auto"/>
                                <w:bottom w:val="none" w:sz="0" w:space="0" w:color="auto"/>
                                <w:right w:val="none" w:sz="0" w:space="0" w:color="auto"/>
                              </w:divBdr>
                            </w:div>
                            <w:div w:id="1054041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5601694">
                  <w:marLeft w:val="0"/>
                  <w:marRight w:val="0"/>
                  <w:marTop w:val="0"/>
                  <w:marBottom w:val="0"/>
                  <w:divBdr>
                    <w:top w:val="none" w:sz="0" w:space="0" w:color="auto"/>
                    <w:left w:val="none" w:sz="0" w:space="0" w:color="auto"/>
                    <w:bottom w:val="none" w:sz="0" w:space="0" w:color="auto"/>
                    <w:right w:val="none" w:sz="0" w:space="0" w:color="auto"/>
                  </w:divBdr>
                  <w:divsChild>
                    <w:div w:id="1356611858">
                      <w:marLeft w:val="0"/>
                      <w:marRight w:val="0"/>
                      <w:marTop w:val="0"/>
                      <w:marBottom w:val="0"/>
                      <w:divBdr>
                        <w:top w:val="none" w:sz="0" w:space="0" w:color="auto"/>
                        <w:left w:val="none" w:sz="0" w:space="0" w:color="auto"/>
                        <w:bottom w:val="none" w:sz="0" w:space="0" w:color="auto"/>
                        <w:right w:val="none" w:sz="0" w:space="0" w:color="auto"/>
                      </w:divBdr>
                    </w:div>
                    <w:div w:id="20333373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579950520">
      <w:bodyDiv w:val="1"/>
      <w:marLeft w:val="0"/>
      <w:marRight w:val="0"/>
      <w:marTop w:val="0"/>
      <w:marBottom w:val="0"/>
      <w:divBdr>
        <w:top w:val="none" w:sz="0" w:space="0" w:color="auto"/>
        <w:left w:val="none" w:sz="0" w:space="0" w:color="auto"/>
        <w:bottom w:val="none" w:sz="0" w:space="0" w:color="auto"/>
        <w:right w:val="none" w:sz="0" w:space="0" w:color="auto"/>
      </w:divBdr>
      <w:divsChild>
        <w:div w:id="1486161624">
          <w:marLeft w:val="0"/>
          <w:marRight w:val="0"/>
          <w:marTop w:val="0"/>
          <w:marBottom w:val="0"/>
          <w:divBdr>
            <w:top w:val="none" w:sz="0" w:space="0" w:color="auto"/>
            <w:left w:val="none" w:sz="0" w:space="0" w:color="auto"/>
            <w:bottom w:val="none" w:sz="0" w:space="0" w:color="auto"/>
            <w:right w:val="none" w:sz="0" w:space="0" w:color="auto"/>
          </w:divBdr>
          <w:divsChild>
            <w:div w:id="271788546">
              <w:marLeft w:val="0"/>
              <w:marRight w:val="0"/>
              <w:marTop w:val="0"/>
              <w:marBottom w:val="0"/>
              <w:divBdr>
                <w:top w:val="none" w:sz="0" w:space="0" w:color="auto"/>
                <w:left w:val="none" w:sz="0" w:space="0" w:color="auto"/>
                <w:bottom w:val="none" w:sz="0" w:space="0" w:color="auto"/>
                <w:right w:val="none" w:sz="0" w:space="0" w:color="auto"/>
              </w:divBdr>
              <w:divsChild>
                <w:div w:id="676273849">
                  <w:marLeft w:val="0"/>
                  <w:marRight w:val="0"/>
                  <w:marTop w:val="120"/>
                  <w:marBottom w:val="0"/>
                  <w:divBdr>
                    <w:top w:val="none" w:sz="0" w:space="0" w:color="auto"/>
                    <w:left w:val="none" w:sz="0" w:space="0" w:color="auto"/>
                    <w:bottom w:val="none" w:sz="0" w:space="0" w:color="auto"/>
                    <w:right w:val="none" w:sz="0" w:space="0" w:color="auto"/>
                  </w:divBdr>
                </w:div>
                <w:div w:id="879826812">
                  <w:marLeft w:val="0"/>
                  <w:marRight w:val="0"/>
                  <w:marTop w:val="0"/>
                  <w:marBottom w:val="0"/>
                  <w:divBdr>
                    <w:top w:val="none" w:sz="0" w:space="0" w:color="auto"/>
                    <w:left w:val="none" w:sz="0" w:space="0" w:color="auto"/>
                    <w:bottom w:val="none" w:sz="0" w:space="0" w:color="auto"/>
                    <w:right w:val="none" w:sz="0" w:space="0" w:color="auto"/>
                  </w:divBdr>
                </w:div>
              </w:divsChild>
            </w:div>
            <w:div w:id="1124467876">
              <w:marLeft w:val="0"/>
              <w:marRight w:val="0"/>
              <w:marTop w:val="0"/>
              <w:marBottom w:val="0"/>
              <w:divBdr>
                <w:top w:val="none" w:sz="0" w:space="0" w:color="auto"/>
                <w:left w:val="none" w:sz="0" w:space="0" w:color="auto"/>
                <w:bottom w:val="none" w:sz="0" w:space="0" w:color="auto"/>
                <w:right w:val="none" w:sz="0" w:space="0" w:color="auto"/>
              </w:divBdr>
              <w:divsChild>
                <w:div w:id="314070833">
                  <w:marLeft w:val="0"/>
                  <w:marRight w:val="0"/>
                  <w:marTop w:val="120"/>
                  <w:marBottom w:val="0"/>
                  <w:divBdr>
                    <w:top w:val="none" w:sz="0" w:space="0" w:color="auto"/>
                    <w:left w:val="none" w:sz="0" w:space="0" w:color="auto"/>
                    <w:bottom w:val="none" w:sz="0" w:space="0" w:color="auto"/>
                    <w:right w:val="none" w:sz="0" w:space="0" w:color="auto"/>
                  </w:divBdr>
                </w:div>
                <w:div w:id="637880707">
                  <w:marLeft w:val="0"/>
                  <w:marRight w:val="0"/>
                  <w:marTop w:val="0"/>
                  <w:marBottom w:val="0"/>
                  <w:divBdr>
                    <w:top w:val="none" w:sz="0" w:space="0" w:color="auto"/>
                    <w:left w:val="none" w:sz="0" w:space="0" w:color="auto"/>
                    <w:bottom w:val="none" w:sz="0" w:space="0" w:color="auto"/>
                    <w:right w:val="none" w:sz="0" w:space="0" w:color="auto"/>
                  </w:divBdr>
                </w:div>
              </w:divsChild>
            </w:div>
            <w:div w:id="1274825362">
              <w:marLeft w:val="0"/>
              <w:marRight w:val="0"/>
              <w:marTop w:val="0"/>
              <w:marBottom w:val="0"/>
              <w:divBdr>
                <w:top w:val="none" w:sz="0" w:space="0" w:color="auto"/>
                <w:left w:val="none" w:sz="0" w:space="0" w:color="auto"/>
                <w:bottom w:val="none" w:sz="0" w:space="0" w:color="auto"/>
                <w:right w:val="none" w:sz="0" w:space="0" w:color="auto"/>
              </w:divBdr>
              <w:divsChild>
                <w:div w:id="572928544">
                  <w:marLeft w:val="0"/>
                  <w:marRight w:val="0"/>
                  <w:marTop w:val="120"/>
                  <w:marBottom w:val="0"/>
                  <w:divBdr>
                    <w:top w:val="none" w:sz="0" w:space="0" w:color="auto"/>
                    <w:left w:val="none" w:sz="0" w:space="0" w:color="auto"/>
                    <w:bottom w:val="none" w:sz="0" w:space="0" w:color="auto"/>
                    <w:right w:val="none" w:sz="0" w:space="0" w:color="auto"/>
                  </w:divBdr>
                </w:div>
                <w:div w:id="2123643930">
                  <w:marLeft w:val="0"/>
                  <w:marRight w:val="0"/>
                  <w:marTop w:val="0"/>
                  <w:marBottom w:val="0"/>
                  <w:divBdr>
                    <w:top w:val="none" w:sz="0" w:space="0" w:color="auto"/>
                    <w:left w:val="none" w:sz="0" w:space="0" w:color="auto"/>
                    <w:bottom w:val="none" w:sz="0" w:space="0" w:color="auto"/>
                    <w:right w:val="none" w:sz="0" w:space="0" w:color="auto"/>
                  </w:divBdr>
                </w:div>
              </w:divsChild>
            </w:div>
            <w:div w:id="1696613420">
              <w:marLeft w:val="0"/>
              <w:marRight w:val="0"/>
              <w:marTop w:val="0"/>
              <w:marBottom w:val="0"/>
              <w:divBdr>
                <w:top w:val="none" w:sz="0" w:space="0" w:color="auto"/>
                <w:left w:val="none" w:sz="0" w:space="0" w:color="auto"/>
                <w:bottom w:val="none" w:sz="0" w:space="0" w:color="auto"/>
                <w:right w:val="none" w:sz="0" w:space="0" w:color="auto"/>
              </w:divBdr>
              <w:divsChild>
                <w:div w:id="511840273">
                  <w:marLeft w:val="0"/>
                  <w:marRight w:val="0"/>
                  <w:marTop w:val="0"/>
                  <w:marBottom w:val="0"/>
                  <w:divBdr>
                    <w:top w:val="none" w:sz="0" w:space="0" w:color="auto"/>
                    <w:left w:val="none" w:sz="0" w:space="0" w:color="auto"/>
                    <w:bottom w:val="none" w:sz="0" w:space="0" w:color="auto"/>
                    <w:right w:val="none" w:sz="0" w:space="0" w:color="auto"/>
                  </w:divBdr>
                </w:div>
                <w:div w:id="1813865353">
                  <w:marLeft w:val="0"/>
                  <w:marRight w:val="0"/>
                  <w:marTop w:val="120"/>
                  <w:marBottom w:val="0"/>
                  <w:divBdr>
                    <w:top w:val="none" w:sz="0" w:space="0" w:color="auto"/>
                    <w:left w:val="none" w:sz="0" w:space="0" w:color="auto"/>
                    <w:bottom w:val="none" w:sz="0" w:space="0" w:color="auto"/>
                    <w:right w:val="none" w:sz="0" w:space="0" w:color="auto"/>
                  </w:divBdr>
                </w:div>
              </w:divsChild>
            </w:div>
            <w:div w:id="1891920503">
              <w:marLeft w:val="0"/>
              <w:marRight w:val="0"/>
              <w:marTop w:val="0"/>
              <w:marBottom w:val="0"/>
              <w:divBdr>
                <w:top w:val="none" w:sz="0" w:space="0" w:color="auto"/>
                <w:left w:val="none" w:sz="0" w:space="0" w:color="auto"/>
                <w:bottom w:val="none" w:sz="0" w:space="0" w:color="auto"/>
                <w:right w:val="none" w:sz="0" w:space="0" w:color="auto"/>
              </w:divBdr>
              <w:divsChild>
                <w:div w:id="1399129565">
                  <w:marLeft w:val="0"/>
                  <w:marRight w:val="0"/>
                  <w:marTop w:val="0"/>
                  <w:marBottom w:val="0"/>
                  <w:divBdr>
                    <w:top w:val="none" w:sz="0" w:space="0" w:color="auto"/>
                    <w:left w:val="none" w:sz="0" w:space="0" w:color="auto"/>
                    <w:bottom w:val="none" w:sz="0" w:space="0" w:color="auto"/>
                    <w:right w:val="none" w:sz="0" w:space="0" w:color="auto"/>
                  </w:divBdr>
                </w:div>
                <w:div w:id="170393789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86354640">
      <w:bodyDiv w:val="1"/>
      <w:marLeft w:val="0"/>
      <w:marRight w:val="0"/>
      <w:marTop w:val="0"/>
      <w:marBottom w:val="0"/>
      <w:divBdr>
        <w:top w:val="none" w:sz="0" w:space="0" w:color="auto"/>
        <w:left w:val="none" w:sz="0" w:space="0" w:color="auto"/>
        <w:bottom w:val="none" w:sz="0" w:space="0" w:color="auto"/>
        <w:right w:val="none" w:sz="0" w:space="0" w:color="auto"/>
      </w:divBdr>
      <w:divsChild>
        <w:div w:id="85349319">
          <w:marLeft w:val="0"/>
          <w:marRight w:val="0"/>
          <w:marTop w:val="0"/>
          <w:marBottom w:val="0"/>
          <w:divBdr>
            <w:top w:val="none" w:sz="0" w:space="0" w:color="auto"/>
            <w:left w:val="none" w:sz="0" w:space="0" w:color="auto"/>
            <w:bottom w:val="none" w:sz="0" w:space="0" w:color="auto"/>
            <w:right w:val="none" w:sz="0" w:space="0" w:color="auto"/>
          </w:divBdr>
        </w:div>
      </w:divsChild>
    </w:div>
    <w:div w:id="588078712">
      <w:bodyDiv w:val="1"/>
      <w:marLeft w:val="0"/>
      <w:marRight w:val="0"/>
      <w:marTop w:val="0"/>
      <w:marBottom w:val="0"/>
      <w:divBdr>
        <w:top w:val="none" w:sz="0" w:space="0" w:color="auto"/>
        <w:left w:val="none" w:sz="0" w:space="0" w:color="auto"/>
        <w:bottom w:val="none" w:sz="0" w:space="0" w:color="auto"/>
        <w:right w:val="none" w:sz="0" w:space="0" w:color="auto"/>
      </w:divBdr>
      <w:divsChild>
        <w:div w:id="44571668">
          <w:marLeft w:val="0"/>
          <w:marRight w:val="0"/>
          <w:marTop w:val="120"/>
          <w:marBottom w:val="0"/>
          <w:divBdr>
            <w:top w:val="none" w:sz="0" w:space="0" w:color="auto"/>
            <w:left w:val="none" w:sz="0" w:space="0" w:color="auto"/>
            <w:bottom w:val="none" w:sz="0" w:space="0" w:color="auto"/>
            <w:right w:val="none" w:sz="0" w:space="0" w:color="auto"/>
          </w:divBdr>
        </w:div>
        <w:div w:id="907149930">
          <w:marLeft w:val="0"/>
          <w:marRight w:val="0"/>
          <w:marTop w:val="0"/>
          <w:marBottom w:val="0"/>
          <w:divBdr>
            <w:top w:val="none" w:sz="0" w:space="0" w:color="auto"/>
            <w:left w:val="none" w:sz="0" w:space="0" w:color="auto"/>
            <w:bottom w:val="none" w:sz="0" w:space="0" w:color="auto"/>
            <w:right w:val="none" w:sz="0" w:space="0" w:color="auto"/>
          </w:divBdr>
        </w:div>
      </w:divsChild>
    </w:div>
    <w:div w:id="591738418">
      <w:bodyDiv w:val="1"/>
      <w:marLeft w:val="0"/>
      <w:marRight w:val="0"/>
      <w:marTop w:val="0"/>
      <w:marBottom w:val="0"/>
      <w:divBdr>
        <w:top w:val="none" w:sz="0" w:space="0" w:color="auto"/>
        <w:left w:val="none" w:sz="0" w:space="0" w:color="auto"/>
        <w:bottom w:val="none" w:sz="0" w:space="0" w:color="auto"/>
        <w:right w:val="none" w:sz="0" w:space="0" w:color="auto"/>
      </w:divBdr>
      <w:divsChild>
        <w:div w:id="798108486">
          <w:marLeft w:val="0"/>
          <w:marRight w:val="0"/>
          <w:marTop w:val="0"/>
          <w:marBottom w:val="0"/>
          <w:divBdr>
            <w:top w:val="none" w:sz="0" w:space="0" w:color="auto"/>
            <w:left w:val="none" w:sz="0" w:space="0" w:color="auto"/>
            <w:bottom w:val="none" w:sz="0" w:space="0" w:color="auto"/>
            <w:right w:val="none" w:sz="0" w:space="0" w:color="auto"/>
          </w:divBdr>
          <w:divsChild>
            <w:div w:id="191798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0335569">
      <w:bodyDiv w:val="1"/>
      <w:marLeft w:val="0"/>
      <w:marRight w:val="0"/>
      <w:marTop w:val="0"/>
      <w:marBottom w:val="0"/>
      <w:divBdr>
        <w:top w:val="none" w:sz="0" w:space="0" w:color="auto"/>
        <w:left w:val="none" w:sz="0" w:space="0" w:color="auto"/>
        <w:bottom w:val="none" w:sz="0" w:space="0" w:color="auto"/>
        <w:right w:val="none" w:sz="0" w:space="0" w:color="auto"/>
      </w:divBdr>
      <w:divsChild>
        <w:div w:id="1560090420">
          <w:marLeft w:val="0"/>
          <w:marRight w:val="0"/>
          <w:marTop w:val="0"/>
          <w:marBottom w:val="0"/>
          <w:divBdr>
            <w:top w:val="none" w:sz="0" w:space="0" w:color="auto"/>
            <w:left w:val="none" w:sz="0" w:space="0" w:color="auto"/>
            <w:bottom w:val="none" w:sz="0" w:space="0" w:color="auto"/>
            <w:right w:val="none" w:sz="0" w:space="0" w:color="auto"/>
          </w:divBdr>
        </w:div>
      </w:divsChild>
    </w:div>
    <w:div w:id="602539156">
      <w:bodyDiv w:val="1"/>
      <w:marLeft w:val="0"/>
      <w:marRight w:val="0"/>
      <w:marTop w:val="0"/>
      <w:marBottom w:val="0"/>
      <w:divBdr>
        <w:top w:val="none" w:sz="0" w:space="0" w:color="auto"/>
        <w:left w:val="none" w:sz="0" w:space="0" w:color="auto"/>
        <w:bottom w:val="none" w:sz="0" w:space="0" w:color="auto"/>
        <w:right w:val="none" w:sz="0" w:space="0" w:color="auto"/>
      </w:divBdr>
      <w:divsChild>
        <w:div w:id="773405064">
          <w:marLeft w:val="0"/>
          <w:marRight w:val="0"/>
          <w:marTop w:val="0"/>
          <w:marBottom w:val="0"/>
          <w:divBdr>
            <w:top w:val="none" w:sz="0" w:space="0" w:color="auto"/>
            <w:left w:val="none" w:sz="0" w:space="0" w:color="auto"/>
            <w:bottom w:val="none" w:sz="0" w:space="0" w:color="auto"/>
            <w:right w:val="none" w:sz="0" w:space="0" w:color="auto"/>
          </w:divBdr>
        </w:div>
        <w:div w:id="1435710842">
          <w:marLeft w:val="0"/>
          <w:marRight w:val="0"/>
          <w:marTop w:val="120"/>
          <w:marBottom w:val="0"/>
          <w:divBdr>
            <w:top w:val="none" w:sz="0" w:space="0" w:color="auto"/>
            <w:left w:val="none" w:sz="0" w:space="0" w:color="auto"/>
            <w:bottom w:val="none" w:sz="0" w:space="0" w:color="auto"/>
            <w:right w:val="none" w:sz="0" w:space="0" w:color="auto"/>
          </w:divBdr>
        </w:div>
      </w:divsChild>
    </w:div>
    <w:div w:id="603152202">
      <w:bodyDiv w:val="1"/>
      <w:marLeft w:val="0"/>
      <w:marRight w:val="0"/>
      <w:marTop w:val="0"/>
      <w:marBottom w:val="0"/>
      <w:divBdr>
        <w:top w:val="none" w:sz="0" w:space="0" w:color="auto"/>
        <w:left w:val="none" w:sz="0" w:space="0" w:color="auto"/>
        <w:bottom w:val="none" w:sz="0" w:space="0" w:color="auto"/>
        <w:right w:val="none" w:sz="0" w:space="0" w:color="auto"/>
      </w:divBdr>
      <w:divsChild>
        <w:div w:id="1262764461">
          <w:marLeft w:val="0"/>
          <w:marRight w:val="0"/>
          <w:marTop w:val="0"/>
          <w:marBottom w:val="0"/>
          <w:divBdr>
            <w:top w:val="none" w:sz="0" w:space="0" w:color="auto"/>
            <w:left w:val="none" w:sz="0" w:space="0" w:color="auto"/>
            <w:bottom w:val="none" w:sz="0" w:space="0" w:color="auto"/>
            <w:right w:val="none" w:sz="0" w:space="0" w:color="auto"/>
          </w:divBdr>
          <w:divsChild>
            <w:div w:id="952395448">
              <w:marLeft w:val="0"/>
              <w:marRight w:val="0"/>
              <w:marTop w:val="0"/>
              <w:marBottom w:val="0"/>
              <w:divBdr>
                <w:top w:val="none" w:sz="0" w:space="0" w:color="auto"/>
                <w:left w:val="none" w:sz="0" w:space="0" w:color="auto"/>
                <w:bottom w:val="none" w:sz="0" w:space="0" w:color="auto"/>
                <w:right w:val="none" w:sz="0" w:space="0" w:color="auto"/>
              </w:divBdr>
            </w:div>
          </w:divsChild>
        </w:div>
        <w:div w:id="1364941555">
          <w:marLeft w:val="0"/>
          <w:marRight w:val="0"/>
          <w:marTop w:val="0"/>
          <w:marBottom w:val="0"/>
          <w:divBdr>
            <w:top w:val="none" w:sz="0" w:space="0" w:color="auto"/>
            <w:left w:val="none" w:sz="0" w:space="0" w:color="auto"/>
            <w:bottom w:val="none" w:sz="0" w:space="0" w:color="auto"/>
            <w:right w:val="none" w:sz="0" w:space="0" w:color="auto"/>
          </w:divBdr>
          <w:divsChild>
            <w:div w:id="1259217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662304">
      <w:bodyDiv w:val="1"/>
      <w:marLeft w:val="0"/>
      <w:marRight w:val="0"/>
      <w:marTop w:val="0"/>
      <w:marBottom w:val="0"/>
      <w:divBdr>
        <w:top w:val="none" w:sz="0" w:space="0" w:color="auto"/>
        <w:left w:val="none" w:sz="0" w:space="0" w:color="auto"/>
        <w:bottom w:val="none" w:sz="0" w:space="0" w:color="auto"/>
        <w:right w:val="none" w:sz="0" w:space="0" w:color="auto"/>
      </w:divBdr>
      <w:divsChild>
        <w:div w:id="3678485">
          <w:marLeft w:val="0"/>
          <w:marRight w:val="0"/>
          <w:marTop w:val="0"/>
          <w:marBottom w:val="0"/>
          <w:divBdr>
            <w:top w:val="none" w:sz="0" w:space="0" w:color="auto"/>
            <w:left w:val="none" w:sz="0" w:space="0" w:color="auto"/>
            <w:bottom w:val="none" w:sz="0" w:space="0" w:color="auto"/>
            <w:right w:val="none" w:sz="0" w:space="0" w:color="auto"/>
          </w:divBdr>
          <w:divsChild>
            <w:div w:id="1080559563">
              <w:marLeft w:val="0"/>
              <w:marRight w:val="0"/>
              <w:marTop w:val="0"/>
              <w:marBottom w:val="0"/>
              <w:divBdr>
                <w:top w:val="none" w:sz="0" w:space="0" w:color="auto"/>
                <w:left w:val="none" w:sz="0" w:space="0" w:color="auto"/>
                <w:bottom w:val="none" w:sz="0" w:space="0" w:color="auto"/>
                <w:right w:val="none" w:sz="0" w:space="0" w:color="auto"/>
              </w:divBdr>
            </w:div>
          </w:divsChild>
        </w:div>
        <w:div w:id="134950673">
          <w:marLeft w:val="0"/>
          <w:marRight w:val="0"/>
          <w:marTop w:val="0"/>
          <w:marBottom w:val="0"/>
          <w:divBdr>
            <w:top w:val="none" w:sz="0" w:space="0" w:color="auto"/>
            <w:left w:val="none" w:sz="0" w:space="0" w:color="auto"/>
            <w:bottom w:val="none" w:sz="0" w:space="0" w:color="auto"/>
            <w:right w:val="none" w:sz="0" w:space="0" w:color="auto"/>
          </w:divBdr>
          <w:divsChild>
            <w:div w:id="1083798453">
              <w:marLeft w:val="0"/>
              <w:marRight w:val="0"/>
              <w:marTop w:val="0"/>
              <w:marBottom w:val="0"/>
              <w:divBdr>
                <w:top w:val="none" w:sz="0" w:space="0" w:color="auto"/>
                <w:left w:val="none" w:sz="0" w:space="0" w:color="auto"/>
                <w:bottom w:val="none" w:sz="0" w:space="0" w:color="auto"/>
                <w:right w:val="none" w:sz="0" w:space="0" w:color="auto"/>
              </w:divBdr>
            </w:div>
          </w:divsChild>
        </w:div>
        <w:div w:id="679821748">
          <w:marLeft w:val="0"/>
          <w:marRight w:val="0"/>
          <w:marTop w:val="0"/>
          <w:marBottom w:val="0"/>
          <w:divBdr>
            <w:top w:val="none" w:sz="0" w:space="0" w:color="auto"/>
            <w:left w:val="none" w:sz="0" w:space="0" w:color="auto"/>
            <w:bottom w:val="none" w:sz="0" w:space="0" w:color="auto"/>
            <w:right w:val="none" w:sz="0" w:space="0" w:color="auto"/>
          </w:divBdr>
          <w:divsChild>
            <w:div w:id="5828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971075">
      <w:bodyDiv w:val="1"/>
      <w:marLeft w:val="0"/>
      <w:marRight w:val="0"/>
      <w:marTop w:val="0"/>
      <w:marBottom w:val="0"/>
      <w:divBdr>
        <w:top w:val="none" w:sz="0" w:space="0" w:color="auto"/>
        <w:left w:val="none" w:sz="0" w:space="0" w:color="auto"/>
        <w:bottom w:val="none" w:sz="0" w:space="0" w:color="auto"/>
        <w:right w:val="none" w:sz="0" w:space="0" w:color="auto"/>
      </w:divBdr>
    </w:div>
    <w:div w:id="609435486">
      <w:bodyDiv w:val="1"/>
      <w:marLeft w:val="0"/>
      <w:marRight w:val="0"/>
      <w:marTop w:val="0"/>
      <w:marBottom w:val="0"/>
      <w:divBdr>
        <w:top w:val="none" w:sz="0" w:space="0" w:color="auto"/>
        <w:left w:val="none" w:sz="0" w:space="0" w:color="auto"/>
        <w:bottom w:val="none" w:sz="0" w:space="0" w:color="auto"/>
        <w:right w:val="none" w:sz="0" w:space="0" w:color="auto"/>
      </w:divBdr>
      <w:divsChild>
        <w:div w:id="73210239">
          <w:marLeft w:val="0"/>
          <w:marRight w:val="0"/>
          <w:marTop w:val="0"/>
          <w:marBottom w:val="0"/>
          <w:divBdr>
            <w:top w:val="none" w:sz="0" w:space="0" w:color="auto"/>
            <w:left w:val="none" w:sz="0" w:space="0" w:color="auto"/>
            <w:bottom w:val="none" w:sz="0" w:space="0" w:color="auto"/>
            <w:right w:val="none" w:sz="0" w:space="0" w:color="auto"/>
          </w:divBdr>
          <w:divsChild>
            <w:div w:id="949898646">
              <w:marLeft w:val="0"/>
              <w:marRight w:val="0"/>
              <w:marTop w:val="0"/>
              <w:marBottom w:val="0"/>
              <w:divBdr>
                <w:top w:val="none" w:sz="0" w:space="0" w:color="auto"/>
                <w:left w:val="none" w:sz="0" w:space="0" w:color="auto"/>
                <w:bottom w:val="none" w:sz="0" w:space="0" w:color="auto"/>
                <w:right w:val="none" w:sz="0" w:space="0" w:color="auto"/>
              </w:divBdr>
            </w:div>
            <w:div w:id="1639526421">
              <w:marLeft w:val="0"/>
              <w:marRight w:val="0"/>
              <w:marTop w:val="120"/>
              <w:marBottom w:val="0"/>
              <w:divBdr>
                <w:top w:val="none" w:sz="0" w:space="0" w:color="auto"/>
                <w:left w:val="none" w:sz="0" w:space="0" w:color="auto"/>
                <w:bottom w:val="none" w:sz="0" w:space="0" w:color="auto"/>
                <w:right w:val="none" w:sz="0" w:space="0" w:color="auto"/>
              </w:divBdr>
            </w:div>
          </w:divsChild>
        </w:div>
        <w:div w:id="341856858">
          <w:marLeft w:val="0"/>
          <w:marRight w:val="0"/>
          <w:marTop w:val="0"/>
          <w:marBottom w:val="0"/>
          <w:divBdr>
            <w:top w:val="none" w:sz="0" w:space="0" w:color="auto"/>
            <w:left w:val="none" w:sz="0" w:space="0" w:color="auto"/>
            <w:bottom w:val="none" w:sz="0" w:space="0" w:color="auto"/>
            <w:right w:val="none" w:sz="0" w:space="0" w:color="auto"/>
          </w:divBdr>
          <w:divsChild>
            <w:div w:id="618679435">
              <w:marLeft w:val="0"/>
              <w:marRight w:val="0"/>
              <w:marTop w:val="0"/>
              <w:marBottom w:val="0"/>
              <w:divBdr>
                <w:top w:val="none" w:sz="0" w:space="0" w:color="auto"/>
                <w:left w:val="none" w:sz="0" w:space="0" w:color="auto"/>
                <w:bottom w:val="none" w:sz="0" w:space="0" w:color="auto"/>
                <w:right w:val="none" w:sz="0" w:space="0" w:color="auto"/>
              </w:divBdr>
              <w:divsChild>
                <w:div w:id="192576044">
                  <w:marLeft w:val="0"/>
                  <w:marRight w:val="0"/>
                  <w:marTop w:val="0"/>
                  <w:marBottom w:val="0"/>
                  <w:divBdr>
                    <w:top w:val="none" w:sz="0" w:space="0" w:color="auto"/>
                    <w:left w:val="none" w:sz="0" w:space="0" w:color="auto"/>
                    <w:bottom w:val="none" w:sz="0" w:space="0" w:color="auto"/>
                    <w:right w:val="none" w:sz="0" w:space="0" w:color="auto"/>
                  </w:divBdr>
                  <w:divsChild>
                    <w:div w:id="883760464">
                      <w:marLeft w:val="0"/>
                      <w:marRight w:val="0"/>
                      <w:marTop w:val="0"/>
                      <w:marBottom w:val="0"/>
                      <w:divBdr>
                        <w:top w:val="none" w:sz="0" w:space="0" w:color="auto"/>
                        <w:left w:val="none" w:sz="0" w:space="0" w:color="auto"/>
                        <w:bottom w:val="none" w:sz="0" w:space="0" w:color="auto"/>
                        <w:right w:val="none" w:sz="0" w:space="0" w:color="auto"/>
                      </w:divBdr>
                    </w:div>
                    <w:div w:id="1807813657">
                      <w:marLeft w:val="0"/>
                      <w:marRight w:val="0"/>
                      <w:marTop w:val="120"/>
                      <w:marBottom w:val="0"/>
                      <w:divBdr>
                        <w:top w:val="none" w:sz="0" w:space="0" w:color="auto"/>
                        <w:left w:val="none" w:sz="0" w:space="0" w:color="auto"/>
                        <w:bottom w:val="none" w:sz="0" w:space="0" w:color="auto"/>
                        <w:right w:val="none" w:sz="0" w:space="0" w:color="auto"/>
                      </w:divBdr>
                    </w:div>
                  </w:divsChild>
                </w:div>
                <w:div w:id="252982514">
                  <w:marLeft w:val="0"/>
                  <w:marRight w:val="0"/>
                  <w:marTop w:val="0"/>
                  <w:marBottom w:val="0"/>
                  <w:divBdr>
                    <w:top w:val="none" w:sz="0" w:space="0" w:color="auto"/>
                    <w:left w:val="none" w:sz="0" w:space="0" w:color="auto"/>
                    <w:bottom w:val="none" w:sz="0" w:space="0" w:color="auto"/>
                    <w:right w:val="none" w:sz="0" w:space="0" w:color="auto"/>
                  </w:divBdr>
                  <w:divsChild>
                    <w:div w:id="738753131">
                      <w:marLeft w:val="0"/>
                      <w:marRight w:val="0"/>
                      <w:marTop w:val="0"/>
                      <w:marBottom w:val="0"/>
                      <w:divBdr>
                        <w:top w:val="none" w:sz="0" w:space="0" w:color="auto"/>
                        <w:left w:val="none" w:sz="0" w:space="0" w:color="auto"/>
                        <w:bottom w:val="none" w:sz="0" w:space="0" w:color="auto"/>
                        <w:right w:val="none" w:sz="0" w:space="0" w:color="auto"/>
                      </w:divBdr>
                    </w:div>
                    <w:div w:id="896628906">
                      <w:marLeft w:val="0"/>
                      <w:marRight w:val="0"/>
                      <w:marTop w:val="120"/>
                      <w:marBottom w:val="0"/>
                      <w:divBdr>
                        <w:top w:val="none" w:sz="0" w:space="0" w:color="auto"/>
                        <w:left w:val="none" w:sz="0" w:space="0" w:color="auto"/>
                        <w:bottom w:val="none" w:sz="0" w:space="0" w:color="auto"/>
                        <w:right w:val="none" w:sz="0" w:space="0" w:color="auto"/>
                      </w:divBdr>
                    </w:div>
                  </w:divsChild>
                </w:div>
                <w:div w:id="913777896">
                  <w:marLeft w:val="0"/>
                  <w:marRight w:val="0"/>
                  <w:marTop w:val="0"/>
                  <w:marBottom w:val="0"/>
                  <w:divBdr>
                    <w:top w:val="none" w:sz="0" w:space="0" w:color="auto"/>
                    <w:left w:val="none" w:sz="0" w:space="0" w:color="auto"/>
                    <w:bottom w:val="none" w:sz="0" w:space="0" w:color="auto"/>
                    <w:right w:val="none" w:sz="0" w:space="0" w:color="auto"/>
                  </w:divBdr>
                  <w:divsChild>
                    <w:div w:id="1145665305">
                      <w:marLeft w:val="0"/>
                      <w:marRight w:val="0"/>
                      <w:marTop w:val="0"/>
                      <w:marBottom w:val="0"/>
                      <w:divBdr>
                        <w:top w:val="none" w:sz="0" w:space="0" w:color="auto"/>
                        <w:left w:val="none" w:sz="0" w:space="0" w:color="auto"/>
                        <w:bottom w:val="none" w:sz="0" w:space="0" w:color="auto"/>
                        <w:right w:val="none" w:sz="0" w:space="0" w:color="auto"/>
                      </w:divBdr>
                    </w:div>
                    <w:div w:id="131336525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20282380">
              <w:marLeft w:val="0"/>
              <w:marRight w:val="0"/>
              <w:marTop w:val="120"/>
              <w:marBottom w:val="0"/>
              <w:divBdr>
                <w:top w:val="none" w:sz="0" w:space="0" w:color="auto"/>
                <w:left w:val="none" w:sz="0" w:space="0" w:color="auto"/>
                <w:bottom w:val="none" w:sz="0" w:space="0" w:color="auto"/>
                <w:right w:val="none" w:sz="0" w:space="0" w:color="auto"/>
              </w:divBdr>
            </w:div>
          </w:divsChild>
        </w:div>
        <w:div w:id="616914421">
          <w:marLeft w:val="0"/>
          <w:marRight w:val="0"/>
          <w:marTop w:val="0"/>
          <w:marBottom w:val="0"/>
          <w:divBdr>
            <w:top w:val="none" w:sz="0" w:space="0" w:color="auto"/>
            <w:left w:val="none" w:sz="0" w:space="0" w:color="auto"/>
            <w:bottom w:val="none" w:sz="0" w:space="0" w:color="auto"/>
            <w:right w:val="none" w:sz="0" w:space="0" w:color="auto"/>
          </w:divBdr>
          <w:divsChild>
            <w:div w:id="650788362">
              <w:marLeft w:val="0"/>
              <w:marRight w:val="0"/>
              <w:marTop w:val="0"/>
              <w:marBottom w:val="0"/>
              <w:divBdr>
                <w:top w:val="none" w:sz="0" w:space="0" w:color="auto"/>
                <w:left w:val="none" w:sz="0" w:space="0" w:color="auto"/>
                <w:bottom w:val="none" w:sz="0" w:space="0" w:color="auto"/>
                <w:right w:val="none" w:sz="0" w:space="0" w:color="auto"/>
              </w:divBdr>
              <w:divsChild>
                <w:div w:id="142964742">
                  <w:marLeft w:val="0"/>
                  <w:marRight w:val="0"/>
                  <w:marTop w:val="0"/>
                  <w:marBottom w:val="0"/>
                  <w:divBdr>
                    <w:top w:val="none" w:sz="0" w:space="0" w:color="auto"/>
                    <w:left w:val="none" w:sz="0" w:space="0" w:color="auto"/>
                    <w:bottom w:val="none" w:sz="0" w:space="0" w:color="auto"/>
                    <w:right w:val="none" w:sz="0" w:space="0" w:color="auto"/>
                  </w:divBdr>
                  <w:divsChild>
                    <w:div w:id="402486237">
                      <w:marLeft w:val="0"/>
                      <w:marRight w:val="0"/>
                      <w:marTop w:val="0"/>
                      <w:marBottom w:val="0"/>
                      <w:divBdr>
                        <w:top w:val="none" w:sz="0" w:space="0" w:color="auto"/>
                        <w:left w:val="none" w:sz="0" w:space="0" w:color="auto"/>
                        <w:bottom w:val="none" w:sz="0" w:space="0" w:color="auto"/>
                        <w:right w:val="none" w:sz="0" w:space="0" w:color="auto"/>
                      </w:divBdr>
                    </w:div>
                    <w:div w:id="1649018748">
                      <w:marLeft w:val="0"/>
                      <w:marRight w:val="0"/>
                      <w:marTop w:val="120"/>
                      <w:marBottom w:val="0"/>
                      <w:divBdr>
                        <w:top w:val="none" w:sz="0" w:space="0" w:color="auto"/>
                        <w:left w:val="none" w:sz="0" w:space="0" w:color="auto"/>
                        <w:bottom w:val="none" w:sz="0" w:space="0" w:color="auto"/>
                        <w:right w:val="none" w:sz="0" w:space="0" w:color="auto"/>
                      </w:divBdr>
                    </w:div>
                  </w:divsChild>
                </w:div>
                <w:div w:id="840774173">
                  <w:marLeft w:val="0"/>
                  <w:marRight w:val="0"/>
                  <w:marTop w:val="0"/>
                  <w:marBottom w:val="0"/>
                  <w:divBdr>
                    <w:top w:val="none" w:sz="0" w:space="0" w:color="auto"/>
                    <w:left w:val="none" w:sz="0" w:space="0" w:color="auto"/>
                    <w:bottom w:val="none" w:sz="0" w:space="0" w:color="auto"/>
                    <w:right w:val="none" w:sz="0" w:space="0" w:color="auto"/>
                  </w:divBdr>
                  <w:divsChild>
                    <w:div w:id="269943397">
                      <w:marLeft w:val="0"/>
                      <w:marRight w:val="0"/>
                      <w:marTop w:val="120"/>
                      <w:marBottom w:val="0"/>
                      <w:divBdr>
                        <w:top w:val="none" w:sz="0" w:space="0" w:color="auto"/>
                        <w:left w:val="none" w:sz="0" w:space="0" w:color="auto"/>
                        <w:bottom w:val="none" w:sz="0" w:space="0" w:color="auto"/>
                        <w:right w:val="none" w:sz="0" w:space="0" w:color="auto"/>
                      </w:divBdr>
                    </w:div>
                    <w:div w:id="1880167907">
                      <w:marLeft w:val="0"/>
                      <w:marRight w:val="0"/>
                      <w:marTop w:val="0"/>
                      <w:marBottom w:val="0"/>
                      <w:divBdr>
                        <w:top w:val="none" w:sz="0" w:space="0" w:color="auto"/>
                        <w:left w:val="none" w:sz="0" w:space="0" w:color="auto"/>
                        <w:bottom w:val="none" w:sz="0" w:space="0" w:color="auto"/>
                        <w:right w:val="none" w:sz="0" w:space="0" w:color="auto"/>
                      </w:divBdr>
                    </w:div>
                  </w:divsChild>
                </w:div>
                <w:div w:id="1364330974">
                  <w:marLeft w:val="0"/>
                  <w:marRight w:val="0"/>
                  <w:marTop w:val="0"/>
                  <w:marBottom w:val="0"/>
                  <w:divBdr>
                    <w:top w:val="none" w:sz="0" w:space="0" w:color="auto"/>
                    <w:left w:val="none" w:sz="0" w:space="0" w:color="auto"/>
                    <w:bottom w:val="none" w:sz="0" w:space="0" w:color="auto"/>
                    <w:right w:val="none" w:sz="0" w:space="0" w:color="auto"/>
                  </w:divBdr>
                  <w:divsChild>
                    <w:div w:id="555819946">
                      <w:marLeft w:val="0"/>
                      <w:marRight w:val="0"/>
                      <w:marTop w:val="0"/>
                      <w:marBottom w:val="0"/>
                      <w:divBdr>
                        <w:top w:val="none" w:sz="0" w:space="0" w:color="auto"/>
                        <w:left w:val="none" w:sz="0" w:space="0" w:color="auto"/>
                        <w:bottom w:val="none" w:sz="0" w:space="0" w:color="auto"/>
                        <w:right w:val="none" w:sz="0" w:space="0" w:color="auto"/>
                      </w:divBdr>
                    </w:div>
                    <w:div w:id="1325663373">
                      <w:marLeft w:val="0"/>
                      <w:marRight w:val="0"/>
                      <w:marTop w:val="120"/>
                      <w:marBottom w:val="0"/>
                      <w:divBdr>
                        <w:top w:val="none" w:sz="0" w:space="0" w:color="auto"/>
                        <w:left w:val="none" w:sz="0" w:space="0" w:color="auto"/>
                        <w:bottom w:val="none" w:sz="0" w:space="0" w:color="auto"/>
                        <w:right w:val="none" w:sz="0" w:space="0" w:color="auto"/>
                      </w:divBdr>
                    </w:div>
                  </w:divsChild>
                </w:div>
                <w:div w:id="1607731813">
                  <w:marLeft w:val="0"/>
                  <w:marRight w:val="0"/>
                  <w:marTop w:val="0"/>
                  <w:marBottom w:val="0"/>
                  <w:divBdr>
                    <w:top w:val="none" w:sz="0" w:space="0" w:color="auto"/>
                    <w:left w:val="none" w:sz="0" w:space="0" w:color="auto"/>
                    <w:bottom w:val="none" w:sz="0" w:space="0" w:color="auto"/>
                    <w:right w:val="none" w:sz="0" w:space="0" w:color="auto"/>
                  </w:divBdr>
                  <w:divsChild>
                    <w:div w:id="453910468">
                      <w:marLeft w:val="0"/>
                      <w:marRight w:val="0"/>
                      <w:marTop w:val="120"/>
                      <w:marBottom w:val="0"/>
                      <w:divBdr>
                        <w:top w:val="none" w:sz="0" w:space="0" w:color="auto"/>
                        <w:left w:val="none" w:sz="0" w:space="0" w:color="auto"/>
                        <w:bottom w:val="none" w:sz="0" w:space="0" w:color="auto"/>
                        <w:right w:val="none" w:sz="0" w:space="0" w:color="auto"/>
                      </w:divBdr>
                    </w:div>
                    <w:div w:id="1040395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3883309">
          <w:marLeft w:val="0"/>
          <w:marRight w:val="0"/>
          <w:marTop w:val="0"/>
          <w:marBottom w:val="0"/>
          <w:divBdr>
            <w:top w:val="none" w:sz="0" w:space="0" w:color="auto"/>
            <w:left w:val="none" w:sz="0" w:space="0" w:color="auto"/>
            <w:bottom w:val="none" w:sz="0" w:space="0" w:color="auto"/>
            <w:right w:val="none" w:sz="0" w:space="0" w:color="auto"/>
          </w:divBdr>
          <w:divsChild>
            <w:div w:id="1145510183">
              <w:marLeft w:val="0"/>
              <w:marRight w:val="0"/>
              <w:marTop w:val="120"/>
              <w:marBottom w:val="0"/>
              <w:divBdr>
                <w:top w:val="none" w:sz="0" w:space="0" w:color="auto"/>
                <w:left w:val="none" w:sz="0" w:space="0" w:color="auto"/>
                <w:bottom w:val="none" w:sz="0" w:space="0" w:color="auto"/>
                <w:right w:val="none" w:sz="0" w:space="0" w:color="auto"/>
              </w:divBdr>
            </w:div>
            <w:div w:id="1994605264">
              <w:marLeft w:val="0"/>
              <w:marRight w:val="0"/>
              <w:marTop w:val="0"/>
              <w:marBottom w:val="0"/>
              <w:divBdr>
                <w:top w:val="none" w:sz="0" w:space="0" w:color="auto"/>
                <w:left w:val="none" w:sz="0" w:space="0" w:color="auto"/>
                <w:bottom w:val="none" w:sz="0" w:space="0" w:color="auto"/>
                <w:right w:val="none" w:sz="0" w:space="0" w:color="auto"/>
              </w:divBdr>
            </w:div>
          </w:divsChild>
        </w:div>
        <w:div w:id="1644963738">
          <w:marLeft w:val="0"/>
          <w:marRight w:val="0"/>
          <w:marTop w:val="0"/>
          <w:marBottom w:val="0"/>
          <w:divBdr>
            <w:top w:val="none" w:sz="0" w:space="0" w:color="auto"/>
            <w:left w:val="none" w:sz="0" w:space="0" w:color="auto"/>
            <w:bottom w:val="none" w:sz="0" w:space="0" w:color="auto"/>
            <w:right w:val="none" w:sz="0" w:space="0" w:color="auto"/>
          </w:divBdr>
          <w:divsChild>
            <w:div w:id="445396241">
              <w:marLeft w:val="0"/>
              <w:marRight w:val="0"/>
              <w:marTop w:val="120"/>
              <w:marBottom w:val="0"/>
              <w:divBdr>
                <w:top w:val="none" w:sz="0" w:space="0" w:color="auto"/>
                <w:left w:val="none" w:sz="0" w:space="0" w:color="auto"/>
                <w:bottom w:val="none" w:sz="0" w:space="0" w:color="auto"/>
                <w:right w:val="none" w:sz="0" w:space="0" w:color="auto"/>
              </w:divBdr>
            </w:div>
            <w:div w:id="1964573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411278">
      <w:bodyDiv w:val="1"/>
      <w:marLeft w:val="0"/>
      <w:marRight w:val="0"/>
      <w:marTop w:val="0"/>
      <w:marBottom w:val="0"/>
      <w:divBdr>
        <w:top w:val="none" w:sz="0" w:space="0" w:color="auto"/>
        <w:left w:val="none" w:sz="0" w:space="0" w:color="auto"/>
        <w:bottom w:val="none" w:sz="0" w:space="0" w:color="auto"/>
        <w:right w:val="none" w:sz="0" w:space="0" w:color="auto"/>
      </w:divBdr>
      <w:divsChild>
        <w:div w:id="60294309">
          <w:marLeft w:val="0"/>
          <w:marRight w:val="0"/>
          <w:marTop w:val="0"/>
          <w:marBottom w:val="0"/>
          <w:divBdr>
            <w:top w:val="none" w:sz="0" w:space="0" w:color="auto"/>
            <w:left w:val="none" w:sz="0" w:space="0" w:color="auto"/>
            <w:bottom w:val="none" w:sz="0" w:space="0" w:color="auto"/>
            <w:right w:val="none" w:sz="0" w:space="0" w:color="auto"/>
          </w:divBdr>
        </w:div>
        <w:div w:id="1145927228">
          <w:marLeft w:val="0"/>
          <w:marRight w:val="0"/>
          <w:marTop w:val="120"/>
          <w:marBottom w:val="0"/>
          <w:divBdr>
            <w:top w:val="none" w:sz="0" w:space="0" w:color="auto"/>
            <w:left w:val="none" w:sz="0" w:space="0" w:color="auto"/>
            <w:bottom w:val="none" w:sz="0" w:space="0" w:color="auto"/>
            <w:right w:val="none" w:sz="0" w:space="0" w:color="auto"/>
          </w:divBdr>
        </w:div>
      </w:divsChild>
    </w:div>
    <w:div w:id="617495712">
      <w:bodyDiv w:val="1"/>
      <w:marLeft w:val="0"/>
      <w:marRight w:val="0"/>
      <w:marTop w:val="0"/>
      <w:marBottom w:val="0"/>
      <w:divBdr>
        <w:top w:val="none" w:sz="0" w:space="0" w:color="auto"/>
        <w:left w:val="none" w:sz="0" w:space="0" w:color="auto"/>
        <w:bottom w:val="none" w:sz="0" w:space="0" w:color="auto"/>
        <w:right w:val="none" w:sz="0" w:space="0" w:color="auto"/>
      </w:divBdr>
      <w:divsChild>
        <w:div w:id="287857258">
          <w:marLeft w:val="0"/>
          <w:marRight w:val="0"/>
          <w:marTop w:val="0"/>
          <w:marBottom w:val="0"/>
          <w:divBdr>
            <w:top w:val="none" w:sz="0" w:space="0" w:color="auto"/>
            <w:left w:val="none" w:sz="0" w:space="0" w:color="auto"/>
            <w:bottom w:val="none" w:sz="0" w:space="0" w:color="auto"/>
            <w:right w:val="none" w:sz="0" w:space="0" w:color="auto"/>
          </w:divBdr>
          <w:divsChild>
            <w:div w:id="2094626484">
              <w:marLeft w:val="0"/>
              <w:marRight w:val="0"/>
              <w:marTop w:val="0"/>
              <w:marBottom w:val="0"/>
              <w:divBdr>
                <w:top w:val="none" w:sz="0" w:space="0" w:color="auto"/>
                <w:left w:val="none" w:sz="0" w:space="0" w:color="auto"/>
                <w:bottom w:val="none" w:sz="0" w:space="0" w:color="auto"/>
                <w:right w:val="none" w:sz="0" w:space="0" w:color="auto"/>
              </w:divBdr>
            </w:div>
          </w:divsChild>
        </w:div>
        <w:div w:id="807355520">
          <w:marLeft w:val="0"/>
          <w:marRight w:val="0"/>
          <w:marTop w:val="0"/>
          <w:marBottom w:val="0"/>
          <w:divBdr>
            <w:top w:val="none" w:sz="0" w:space="0" w:color="auto"/>
            <w:left w:val="none" w:sz="0" w:space="0" w:color="auto"/>
            <w:bottom w:val="none" w:sz="0" w:space="0" w:color="auto"/>
            <w:right w:val="none" w:sz="0" w:space="0" w:color="auto"/>
          </w:divBdr>
          <w:divsChild>
            <w:div w:id="90979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1378028">
      <w:bodyDiv w:val="1"/>
      <w:marLeft w:val="0"/>
      <w:marRight w:val="0"/>
      <w:marTop w:val="0"/>
      <w:marBottom w:val="0"/>
      <w:divBdr>
        <w:top w:val="none" w:sz="0" w:space="0" w:color="auto"/>
        <w:left w:val="none" w:sz="0" w:space="0" w:color="auto"/>
        <w:bottom w:val="none" w:sz="0" w:space="0" w:color="auto"/>
        <w:right w:val="none" w:sz="0" w:space="0" w:color="auto"/>
      </w:divBdr>
      <w:divsChild>
        <w:div w:id="451483804">
          <w:marLeft w:val="0"/>
          <w:marRight w:val="0"/>
          <w:marTop w:val="0"/>
          <w:marBottom w:val="0"/>
          <w:divBdr>
            <w:top w:val="none" w:sz="0" w:space="0" w:color="auto"/>
            <w:left w:val="none" w:sz="0" w:space="0" w:color="auto"/>
            <w:bottom w:val="none" w:sz="0" w:space="0" w:color="auto"/>
            <w:right w:val="none" w:sz="0" w:space="0" w:color="auto"/>
          </w:divBdr>
          <w:divsChild>
            <w:div w:id="1642077100">
              <w:marLeft w:val="0"/>
              <w:marRight w:val="0"/>
              <w:marTop w:val="0"/>
              <w:marBottom w:val="0"/>
              <w:divBdr>
                <w:top w:val="none" w:sz="0" w:space="0" w:color="auto"/>
                <w:left w:val="none" w:sz="0" w:space="0" w:color="auto"/>
                <w:bottom w:val="none" w:sz="0" w:space="0" w:color="auto"/>
                <w:right w:val="none" w:sz="0" w:space="0" w:color="auto"/>
              </w:divBdr>
            </w:div>
          </w:divsChild>
        </w:div>
        <w:div w:id="1080711924">
          <w:marLeft w:val="0"/>
          <w:marRight w:val="0"/>
          <w:marTop w:val="0"/>
          <w:marBottom w:val="0"/>
          <w:divBdr>
            <w:top w:val="none" w:sz="0" w:space="0" w:color="auto"/>
            <w:left w:val="none" w:sz="0" w:space="0" w:color="auto"/>
            <w:bottom w:val="none" w:sz="0" w:space="0" w:color="auto"/>
            <w:right w:val="none" w:sz="0" w:space="0" w:color="auto"/>
          </w:divBdr>
          <w:divsChild>
            <w:div w:id="184624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3736321">
      <w:bodyDiv w:val="1"/>
      <w:marLeft w:val="0"/>
      <w:marRight w:val="0"/>
      <w:marTop w:val="0"/>
      <w:marBottom w:val="0"/>
      <w:divBdr>
        <w:top w:val="none" w:sz="0" w:space="0" w:color="auto"/>
        <w:left w:val="none" w:sz="0" w:space="0" w:color="auto"/>
        <w:bottom w:val="none" w:sz="0" w:space="0" w:color="auto"/>
        <w:right w:val="none" w:sz="0" w:space="0" w:color="auto"/>
      </w:divBdr>
      <w:divsChild>
        <w:div w:id="1024093607">
          <w:marLeft w:val="0"/>
          <w:marRight w:val="0"/>
          <w:marTop w:val="0"/>
          <w:marBottom w:val="0"/>
          <w:divBdr>
            <w:top w:val="none" w:sz="0" w:space="0" w:color="auto"/>
            <w:left w:val="none" w:sz="0" w:space="0" w:color="auto"/>
            <w:bottom w:val="none" w:sz="0" w:space="0" w:color="auto"/>
            <w:right w:val="none" w:sz="0" w:space="0" w:color="auto"/>
          </w:divBdr>
          <w:divsChild>
            <w:div w:id="344090503">
              <w:marLeft w:val="0"/>
              <w:marRight w:val="0"/>
              <w:marTop w:val="0"/>
              <w:marBottom w:val="0"/>
              <w:divBdr>
                <w:top w:val="none" w:sz="0" w:space="0" w:color="auto"/>
                <w:left w:val="none" w:sz="0" w:space="0" w:color="auto"/>
                <w:bottom w:val="none" w:sz="0" w:space="0" w:color="auto"/>
                <w:right w:val="none" w:sz="0" w:space="0" w:color="auto"/>
              </w:divBdr>
            </w:div>
          </w:divsChild>
        </w:div>
        <w:div w:id="1514294945">
          <w:marLeft w:val="0"/>
          <w:marRight w:val="0"/>
          <w:marTop w:val="0"/>
          <w:marBottom w:val="0"/>
          <w:divBdr>
            <w:top w:val="none" w:sz="0" w:space="0" w:color="auto"/>
            <w:left w:val="none" w:sz="0" w:space="0" w:color="auto"/>
            <w:bottom w:val="none" w:sz="0" w:space="0" w:color="auto"/>
            <w:right w:val="none" w:sz="0" w:space="0" w:color="auto"/>
          </w:divBdr>
          <w:divsChild>
            <w:div w:id="1183200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5525220">
      <w:bodyDiv w:val="1"/>
      <w:marLeft w:val="0"/>
      <w:marRight w:val="0"/>
      <w:marTop w:val="0"/>
      <w:marBottom w:val="0"/>
      <w:divBdr>
        <w:top w:val="none" w:sz="0" w:space="0" w:color="auto"/>
        <w:left w:val="none" w:sz="0" w:space="0" w:color="auto"/>
        <w:bottom w:val="none" w:sz="0" w:space="0" w:color="auto"/>
        <w:right w:val="none" w:sz="0" w:space="0" w:color="auto"/>
      </w:divBdr>
      <w:divsChild>
        <w:div w:id="1334066128">
          <w:marLeft w:val="0"/>
          <w:marRight w:val="0"/>
          <w:marTop w:val="0"/>
          <w:marBottom w:val="0"/>
          <w:divBdr>
            <w:top w:val="none" w:sz="0" w:space="0" w:color="auto"/>
            <w:left w:val="none" w:sz="0" w:space="0" w:color="auto"/>
            <w:bottom w:val="none" w:sz="0" w:space="0" w:color="auto"/>
            <w:right w:val="none" w:sz="0" w:space="0" w:color="auto"/>
          </w:divBdr>
        </w:div>
      </w:divsChild>
    </w:div>
    <w:div w:id="638847990">
      <w:bodyDiv w:val="1"/>
      <w:marLeft w:val="0"/>
      <w:marRight w:val="0"/>
      <w:marTop w:val="0"/>
      <w:marBottom w:val="0"/>
      <w:divBdr>
        <w:top w:val="none" w:sz="0" w:space="0" w:color="auto"/>
        <w:left w:val="none" w:sz="0" w:space="0" w:color="auto"/>
        <w:bottom w:val="none" w:sz="0" w:space="0" w:color="auto"/>
        <w:right w:val="none" w:sz="0" w:space="0" w:color="auto"/>
      </w:divBdr>
      <w:divsChild>
        <w:div w:id="152527760">
          <w:marLeft w:val="0"/>
          <w:marRight w:val="0"/>
          <w:marTop w:val="0"/>
          <w:marBottom w:val="0"/>
          <w:divBdr>
            <w:top w:val="none" w:sz="0" w:space="0" w:color="auto"/>
            <w:left w:val="none" w:sz="0" w:space="0" w:color="auto"/>
            <w:bottom w:val="none" w:sz="0" w:space="0" w:color="auto"/>
            <w:right w:val="none" w:sz="0" w:space="0" w:color="auto"/>
          </w:divBdr>
          <w:divsChild>
            <w:div w:id="430857016">
              <w:marLeft w:val="0"/>
              <w:marRight w:val="0"/>
              <w:marTop w:val="0"/>
              <w:marBottom w:val="0"/>
              <w:divBdr>
                <w:top w:val="none" w:sz="0" w:space="0" w:color="auto"/>
                <w:left w:val="none" w:sz="0" w:space="0" w:color="auto"/>
                <w:bottom w:val="none" w:sz="0" w:space="0" w:color="auto"/>
                <w:right w:val="none" w:sz="0" w:space="0" w:color="auto"/>
              </w:divBdr>
            </w:div>
          </w:divsChild>
        </w:div>
        <w:div w:id="1022316454">
          <w:marLeft w:val="0"/>
          <w:marRight w:val="0"/>
          <w:marTop w:val="0"/>
          <w:marBottom w:val="0"/>
          <w:divBdr>
            <w:top w:val="none" w:sz="0" w:space="0" w:color="auto"/>
            <w:left w:val="none" w:sz="0" w:space="0" w:color="auto"/>
            <w:bottom w:val="none" w:sz="0" w:space="0" w:color="auto"/>
            <w:right w:val="none" w:sz="0" w:space="0" w:color="auto"/>
          </w:divBdr>
          <w:divsChild>
            <w:div w:id="1748532991">
              <w:marLeft w:val="0"/>
              <w:marRight w:val="0"/>
              <w:marTop w:val="0"/>
              <w:marBottom w:val="0"/>
              <w:divBdr>
                <w:top w:val="none" w:sz="0" w:space="0" w:color="auto"/>
                <w:left w:val="none" w:sz="0" w:space="0" w:color="auto"/>
                <w:bottom w:val="none" w:sz="0" w:space="0" w:color="auto"/>
                <w:right w:val="none" w:sz="0" w:space="0" w:color="auto"/>
              </w:divBdr>
              <w:divsChild>
                <w:div w:id="91976649">
                  <w:marLeft w:val="0"/>
                  <w:marRight w:val="0"/>
                  <w:marTop w:val="0"/>
                  <w:marBottom w:val="0"/>
                  <w:divBdr>
                    <w:top w:val="none" w:sz="0" w:space="0" w:color="auto"/>
                    <w:left w:val="none" w:sz="0" w:space="0" w:color="auto"/>
                    <w:bottom w:val="none" w:sz="0" w:space="0" w:color="auto"/>
                    <w:right w:val="none" w:sz="0" w:space="0" w:color="auto"/>
                  </w:divBdr>
                  <w:divsChild>
                    <w:div w:id="751852794">
                      <w:marLeft w:val="0"/>
                      <w:marRight w:val="0"/>
                      <w:marTop w:val="0"/>
                      <w:marBottom w:val="0"/>
                      <w:divBdr>
                        <w:top w:val="none" w:sz="0" w:space="0" w:color="auto"/>
                        <w:left w:val="none" w:sz="0" w:space="0" w:color="auto"/>
                        <w:bottom w:val="none" w:sz="0" w:space="0" w:color="auto"/>
                        <w:right w:val="none" w:sz="0" w:space="0" w:color="auto"/>
                      </w:divBdr>
                    </w:div>
                    <w:div w:id="1939018097">
                      <w:marLeft w:val="0"/>
                      <w:marRight w:val="0"/>
                      <w:marTop w:val="120"/>
                      <w:marBottom w:val="0"/>
                      <w:divBdr>
                        <w:top w:val="none" w:sz="0" w:space="0" w:color="auto"/>
                        <w:left w:val="none" w:sz="0" w:space="0" w:color="auto"/>
                        <w:bottom w:val="none" w:sz="0" w:space="0" w:color="auto"/>
                        <w:right w:val="none" w:sz="0" w:space="0" w:color="auto"/>
                      </w:divBdr>
                    </w:div>
                  </w:divsChild>
                </w:div>
                <w:div w:id="1106192413">
                  <w:marLeft w:val="0"/>
                  <w:marRight w:val="0"/>
                  <w:marTop w:val="0"/>
                  <w:marBottom w:val="0"/>
                  <w:divBdr>
                    <w:top w:val="none" w:sz="0" w:space="0" w:color="auto"/>
                    <w:left w:val="none" w:sz="0" w:space="0" w:color="auto"/>
                    <w:bottom w:val="none" w:sz="0" w:space="0" w:color="auto"/>
                    <w:right w:val="none" w:sz="0" w:space="0" w:color="auto"/>
                  </w:divBdr>
                  <w:divsChild>
                    <w:div w:id="337735830">
                      <w:marLeft w:val="0"/>
                      <w:marRight w:val="0"/>
                      <w:marTop w:val="120"/>
                      <w:marBottom w:val="0"/>
                      <w:divBdr>
                        <w:top w:val="none" w:sz="0" w:space="0" w:color="auto"/>
                        <w:left w:val="none" w:sz="0" w:space="0" w:color="auto"/>
                        <w:bottom w:val="none" w:sz="0" w:space="0" w:color="auto"/>
                        <w:right w:val="none" w:sz="0" w:space="0" w:color="auto"/>
                      </w:divBdr>
                    </w:div>
                    <w:div w:id="1207061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951363">
          <w:marLeft w:val="0"/>
          <w:marRight w:val="0"/>
          <w:marTop w:val="0"/>
          <w:marBottom w:val="0"/>
          <w:divBdr>
            <w:top w:val="none" w:sz="0" w:space="0" w:color="auto"/>
            <w:left w:val="none" w:sz="0" w:space="0" w:color="auto"/>
            <w:bottom w:val="none" w:sz="0" w:space="0" w:color="auto"/>
            <w:right w:val="none" w:sz="0" w:space="0" w:color="auto"/>
          </w:divBdr>
          <w:divsChild>
            <w:div w:id="973021398">
              <w:marLeft w:val="0"/>
              <w:marRight w:val="0"/>
              <w:marTop w:val="0"/>
              <w:marBottom w:val="0"/>
              <w:divBdr>
                <w:top w:val="none" w:sz="0" w:space="0" w:color="auto"/>
                <w:left w:val="none" w:sz="0" w:space="0" w:color="auto"/>
                <w:bottom w:val="none" w:sz="0" w:space="0" w:color="auto"/>
                <w:right w:val="none" w:sz="0" w:space="0" w:color="auto"/>
              </w:divBdr>
            </w:div>
          </w:divsChild>
        </w:div>
        <w:div w:id="1798714659">
          <w:marLeft w:val="0"/>
          <w:marRight w:val="0"/>
          <w:marTop w:val="0"/>
          <w:marBottom w:val="0"/>
          <w:divBdr>
            <w:top w:val="none" w:sz="0" w:space="0" w:color="auto"/>
            <w:left w:val="none" w:sz="0" w:space="0" w:color="auto"/>
            <w:bottom w:val="none" w:sz="0" w:space="0" w:color="auto"/>
            <w:right w:val="none" w:sz="0" w:space="0" w:color="auto"/>
          </w:divBdr>
          <w:divsChild>
            <w:div w:id="1254583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988106">
      <w:bodyDiv w:val="1"/>
      <w:marLeft w:val="0"/>
      <w:marRight w:val="0"/>
      <w:marTop w:val="0"/>
      <w:marBottom w:val="0"/>
      <w:divBdr>
        <w:top w:val="none" w:sz="0" w:space="0" w:color="auto"/>
        <w:left w:val="none" w:sz="0" w:space="0" w:color="auto"/>
        <w:bottom w:val="none" w:sz="0" w:space="0" w:color="auto"/>
        <w:right w:val="none" w:sz="0" w:space="0" w:color="auto"/>
      </w:divBdr>
      <w:divsChild>
        <w:div w:id="113528307">
          <w:marLeft w:val="0"/>
          <w:marRight w:val="0"/>
          <w:marTop w:val="0"/>
          <w:marBottom w:val="0"/>
          <w:divBdr>
            <w:top w:val="none" w:sz="0" w:space="0" w:color="auto"/>
            <w:left w:val="none" w:sz="0" w:space="0" w:color="auto"/>
            <w:bottom w:val="none" w:sz="0" w:space="0" w:color="auto"/>
            <w:right w:val="none" w:sz="0" w:space="0" w:color="auto"/>
          </w:divBdr>
          <w:divsChild>
            <w:div w:id="2029327401">
              <w:marLeft w:val="0"/>
              <w:marRight w:val="0"/>
              <w:marTop w:val="0"/>
              <w:marBottom w:val="0"/>
              <w:divBdr>
                <w:top w:val="none" w:sz="0" w:space="0" w:color="auto"/>
                <w:left w:val="none" w:sz="0" w:space="0" w:color="auto"/>
                <w:bottom w:val="none" w:sz="0" w:space="0" w:color="auto"/>
                <w:right w:val="none" w:sz="0" w:space="0" w:color="auto"/>
              </w:divBdr>
              <w:divsChild>
                <w:div w:id="173955191">
                  <w:marLeft w:val="0"/>
                  <w:marRight w:val="0"/>
                  <w:marTop w:val="0"/>
                  <w:marBottom w:val="0"/>
                  <w:divBdr>
                    <w:top w:val="none" w:sz="0" w:space="0" w:color="auto"/>
                    <w:left w:val="none" w:sz="0" w:space="0" w:color="auto"/>
                    <w:bottom w:val="none" w:sz="0" w:space="0" w:color="auto"/>
                    <w:right w:val="none" w:sz="0" w:space="0" w:color="auto"/>
                  </w:divBdr>
                  <w:divsChild>
                    <w:div w:id="148325022">
                      <w:marLeft w:val="0"/>
                      <w:marRight w:val="0"/>
                      <w:marTop w:val="120"/>
                      <w:marBottom w:val="0"/>
                      <w:divBdr>
                        <w:top w:val="none" w:sz="0" w:space="0" w:color="auto"/>
                        <w:left w:val="none" w:sz="0" w:space="0" w:color="auto"/>
                        <w:bottom w:val="none" w:sz="0" w:space="0" w:color="auto"/>
                        <w:right w:val="none" w:sz="0" w:space="0" w:color="auto"/>
                      </w:divBdr>
                    </w:div>
                    <w:div w:id="1067336205">
                      <w:marLeft w:val="0"/>
                      <w:marRight w:val="0"/>
                      <w:marTop w:val="0"/>
                      <w:marBottom w:val="0"/>
                      <w:divBdr>
                        <w:top w:val="none" w:sz="0" w:space="0" w:color="auto"/>
                        <w:left w:val="none" w:sz="0" w:space="0" w:color="auto"/>
                        <w:bottom w:val="none" w:sz="0" w:space="0" w:color="auto"/>
                        <w:right w:val="none" w:sz="0" w:space="0" w:color="auto"/>
                      </w:divBdr>
                    </w:div>
                  </w:divsChild>
                </w:div>
                <w:div w:id="219247199">
                  <w:marLeft w:val="0"/>
                  <w:marRight w:val="0"/>
                  <w:marTop w:val="0"/>
                  <w:marBottom w:val="0"/>
                  <w:divBdr>
                    <w:top w:val="none" w:sz="0" w:space="0" w:color="auto"/>
                    <w:left w:val="none" w:sz="0" w:space="0" w:color="auto"/>
                    <w:bottom w:val="none" w:sz="0" w:space="0" w:color="auto"/>
                    <w:right w:val="none" w:sz="0" w:space="0" w:color="auto"/>
                  </w:divBdr>
                  <w:divsChild>
                    <w:div w:id="635138725">
                      <w:marLeft w:val="0"/>
                      <w:marRight w:val="0"/>
                      <w:marTop w:val="120"/>
                      <w:marBottom w:val="0"/>
                      <w:divBdr>
                        <w:top w:val="none" w:sz="0" w:space="0" w:color="auto"/>
                        <w:left w:val="none" w:sz="0" w:space="0" w:color="auto"/>
                        <w:bottom w:val="none" w:sz="0" w:space="0" w:color="auto"/>
                        <w:right w:val="none" w:sz="0" w:space="0" w:color="auto"/>
                      </w:divBdr>
                    </w:div>
                    <w:div w:id="1485121265">
                      <w:marLeft w:val="0"/>
                      <w:marRight w:val="0"/>
                      <w:marTop w:val="0"/>
                      <w:marBottom w:val="0"/>
                      <w:divBdr>
                        <w:top w:val="none" w:sz="0" w:space="0" w:color="auto"/>
                        <w:left w:val="none" w:sz="0" w:space="0" w:color="auto"/>
                        <w:bottom w:val="none" w:sz="0" w:space="0" w:color="auto"/>
                        <w:right w:val="none" w:sz="0" w:space="0" w:color="auto"/>
                      </w:divBdr>
                    </w:div>
                  </w:divsChild>
                </w:div>
                <w:div w:id="407073071">
                  <w:marLeft w:val="0"/>
                  <w:marRight w:val="0"/>
                  <w:marTop w:val="0"/>
                  <w:marBottom w:val="0"/>
                  <w:divBdr>
                    <w:top w:val="none" w:sz="0" w:space="0" w:color="auto"/>
                    <w:left w:val="none" w:sz="0" w:space="0" w:color="auto"/>
                    <w:bottom w:val="none" w:sz="0" w:space="0" w:color="auto"/>
                    <w:right w:val="none" w:sz="0" w:space="0" w:color="auto"/>
                  </w:divBdr>
                  <w:divsChild>
                    <w:div w:id="1325743579">
                      <w:marLeft w:val="0"/>
                      <w:marRight w:val="0"/>
                      <w:marTop w:val="0"/>
                      <w:marBottom w:val="0"/>
                      <w:divBdr>
                        <w:top w:val="none" w:sz="0" w:space="0" w:color="auto"/>
                        <w:left w:val="none" w:sz="0" w:space="0" w:color="auto"/>
                        <w:bottom w:val="none" w:sz="0" w:space="0" w:color="auto"/>
                        <w:right w:val="none" w:sz="0" w:space="0" w:color="auto"/>
                      </w:divBdr>
                    </w:div>
                    <w:div w:id="1871800259">
                      <w:marLeft w:val="0"/>
                      <w:marRight w:val="0"/>
                      <w:marTop w:val="120"/>
                      <w:marBottom w:val="0"/>
                      <w:divBdr>
                        <w:top w:val="none" w:sz="0" w:space="0" w:color="auto"/>
                        <w:left w:val="none" w:sz="0" w:space="0" w:color="auto"/>
                        <w:bottom w:val="none" w:sz="0" w:space="0" w:color="auto"/>
                        <w:right w:val="none" w:sz="0" w:space="0" w:color="auto"/>
                      </w:divBdr>
                    </w:div>
                  </w:divsChild>
                </w:div>
                <w:div w:id="455832824">
                  <w:marLeft w:val="0"/>
                  <w:marRight w:val="0"/>
                  <w:marTop w:val="0"/>
                  <w:marBottom w:val="0"/>
                  <w:divBdr>
                    <w:top w:val="none" w:sz="0" w:space="0" w:color="auto"/>
                    <w:left w:val="none" w:sz="0" w:space="0" w:color="auto"/>
                    <w:bottom w:val="none" w:sz="0" w:space="0" w:color="auto"/>
                    <w:right w:val="none" w:sz="0" w:space="0" w:color="auto"/>
                  </w:divBdr>
                  <w:divsChild>
                    <w:div w:id="40204774">
                      <w:marLeft w:val="0"/>
                      <w:marRight w:val="0"/>
                      <w:marTop w:val="120"/>
                      <w:marBottom w:val="0"/>
                      <w:divBdr>
                        <w:top w:val="none" w:sz="0" w:space="0" w:color="auto"/>
                        <w:left w:val="none" w:sz="0" w:space="0" w:color="auto"/>
                        <w:bottom w:val="none" w:sz="0" w:space="0" w:color="auto"/>
                        <w:right w:val="none" w:sz="0" w:space="0" w:color="auto"/>
                      </w:divBdr>
                    </w:div>
                    <w:div w:id="583270411">
                      <w:marLeft w:val="0"/>
                      <w:marRight w:val="0"/>
                      <w:marTop w:val="0"/>
                      <w:marBottom w:val="0"/>
                      <w:divBdr>
                        <w:top w:val="none" w:sz="0" w:space="0" w:color="auto"/>
                        <w:left w:val="none" w:sz="0" w:space="0" w:color="auto"/>
                        <w:bottom w:val="none" w:sz="0" w:space="0" w:color="auto"/>
                        <w:right w:val="none" w:sz="0" w:space="0" w:color="auto"/>
                      </w:divBdr>
                    </w:div>
                  </w:divsChild>
                </w:div>
                <w:div w:id="835729825">
                  <w:marLeft w:val="0"/>
                  <w:marRight w:val="0"/>
                  <w:marTop w:val="0"/>
                  <w:marBottom w:val="0"/>
                  <w:divBdr>
                    <w:top w:val="none" w:sz="0" w:space="0" w:color="auto"/>
                    <w:left w:val="none" w:sz="0" w:space="0" w:color="auto"/>
                    <w:bottom w:val="none" w:sz="0" w:space="0" w:color="auto"/>
                    <w:right w:val="none" w:sz="0" w:space="0" w:color="auto"/>
                  </w:divBdr>
                  <w:divsChild>
                    <w:div w:id="1525627672">
                      <w:marLeft w:val="0"/>
                      <w:marRight w:val="0"/>
                      <w:marTop w:val="0"/>
                      <w:marBottom w:val="0"/>
                      <w:divBdr>
                        <w:top w:val="none" w:sz="0" w:space="0" w:color="auto"/>
                        <w:left w:val="none" w:sz="0" w:space="0" w:color="auto"/>
                        <w:bottom w:val="none" w:sz="0" w:space="0" w:color="auto"/>
                        <w:right w:val="none" w:sz="0" w:space="0" w:color="auto"/>
                      </w:divBdr>
                    </w:div>
                    <w:div w:id="1581021712">
                      <w:marLeft w:val="0"/>
                      <w:marRight w:val="0"/>
                      <w:marTop w:val="120"/>
                      <w:marBottom w:val="0"/>
                      <w:divBdr>
                        <w:top w:val="none" w:sz="0" w:space="0" w:color="auto"/>
                        <w:left w:val="none" w:sz="0" w:space="0" w:color="auto"/>
                        <w:bottom w:val="none" w:sz="0" w:space="0" w:color="auto"/>
                        <w:right w:val="none" w:sz="0" w:space="0" w:color="auto"/>
                      </w:divBdr>
                    </w:div>
                  </w:divsChild>
                </w:div>
                <w:div w:id="1328097127">
                  <w:marLeft w:val="0"/>
                  <w:marRight w:val="0"/>
                  <w:marTop w:val="0"/>
                  <w:marBottom w:val="0"/>
                  <w:divBdr>
                    <w:top w:val="none" w:sz="0" w:space="0" w:color="auto"/>
                    <w:left w:val="none" w:sz="0" w:space="0" w:color="auto"/>
                    <w:bottom w:val="none" w:sz="0" w:space="0" w:color="auto"/>
                    <w:right w:val="none" w:sz="0" w:space="0" w:color="auto"/>
                  </w:divBdr>
                  <w:divsChild>
                    <w:div w:id="583686139">
                      <w:marLeft w:val="0"/>
                      <w:marRight w:val="0"/>
                      <w:marTop w:val="0"/>
                      <w:marBottom w:val="0"/>
                      <w:divBdr>
                        <w:top w:val="none" w:sz="0" w:space="0" w:color="auto"/>
                        <w:left w:val="none" w:sz="0" w:space="0" w:color="auto"/>
                        <w:bottom w:val="none" w:sz="0" w:space="0" w:color="auto"/>
                        <w:right w:val="none" w:sz="0" w:space="0" w:color="auto"/>
                      </w:divBdr>
                    </w:div>
                    <w:div w:id="1354189043">
                      <w:marLeft w:val="0"/>
                      <w:marRight w:val="0"/>
                      <w:marTop w:val="120"/>
                      <w:marBottom w:val="0"/>
                      <w:divBdr>
                        <w:top w:val="none" w:sz="0" w:space="0" w:color="auto"/>
                        <w:left w:val="none" w:sz="0" w:space="0" w:color="auto"/>
                        <w:bottom w:val="none" w:sz="0" w:space="0" w:color="auto"/>
                        <w:right w:val="none" w:sz="0" w:space="0" w:color="auto"/>
                      </w:divBdr>
                    </w:div>
                  </w:divsChild>
                </w:div>
                <w:div w:id="1790735648">
                  <w:marLeft w:val="0"/>
                  <w:marRight w:val="0"/>
                  <w:marTop w:val="0"/>
                  <w:marBottom w:val="0"/>
                  <w:divBdr>
                    <w:top w:val="none" w:sz="0" w:space="0" w:color="auto"/>
                    <w:left w:val="none" w:sz="0" w:space="0" w:color="auto"/>
                    <w:bottom w:val="none" w:sz="0" w:space="0" w:color="auto"/>
                    <w:right w:val="none" w:sz="0" w:space="0" w:color="auto"/>
                  </w:divBdr>
                  <w:divsChild>
                    <w:div w:id="1356881903">
                      <w:marLeft w:val="0"/>
                      <w:marRight w:val="0"/>
                      <w:marTop w:val="120"/>
                      <w:marBottom w:val="0"/>
                      <w:divBdr>
                        <w:top w:val="none" w:sz="0" w:space="0" w:color="auto"/>
                        <w:left w:val="none" w:sz="0" w:space="0" w:color="auto"/>
                        <w:bottom w:val="none" w:sz="0" w:space="0" w:color="auto"/>
                        <w:right w:val="none" w:sz="0" w:space="0" w:color="auto"/>
                      </w:divBdr>
                    </w:div>
                    <w:div w:id="1852837108">
                      <w:marLeft w:val="0"/>
                      <w:marRight w:val="0"/>
                      <w:marTop w:val="0"/>
                      <w:marBottom w:val="0"/>
                      <w:divBdr>
                        <w:top w:val="none" w:sz="0" w:space="0" w:color="auto"/>
                        <w:left w:val="none" w:sz="0" w:space="0" w:color="auto"/>
                        <w:bottom w:val="none" w:sz="0" w:space="0" w:color="auto"/>
                        <w:right w:val="none" w:sz="0" w:space="0" w:color="auto"/>
                      </w:divBdr>
                    </w:div>
                  </w:divsChild>
                </w:div>
                <w:div w:id="1936131198">
                  <w:marLeft w:val="0"/>
                  <w:marRight w:val="0"/>
                  <w:marTop w:val="0"/>
                  <w:marBottom w:val="0"/>
                  <w:divBdr>
                    <w:top w:val="none" w:sz="0" w:space="0" w:color="auto"/>
                    <w:left w:val="none" w:sz="0" w:space="0" w:color="auto"/>
                    <w:bottom w:val="none" w:sz="0" w:space="0" w:color="auto"/>
                    <w:right w:val="none" w:sz="0" w:space="0" w:color="auto"/>
                  </w:divBdr>
                  <w:divsChild>
                    <w:div w:id="91291861">
                      <w:marLeft w:val="0"/>
                      <w:marRight w:val="0"/>
                      <w:marTop w:val="0"/>
                      <w:marBottom w:val="0"/>
                      <w:divBdr>
                        <w:top w:val="none" w:sz="0" w:space="0" w:color="auto"/>
                        <w:left w:val="none" w:sz="0" w:space="0" w:color="auto"/>
                        <w:bottom w:val="none" w:sz="0" w:space="0" w:color="auto"/>
                        <w:right w:val="none" w:sz="0" w:space="0" w:color="auto"/>
                      </w:divBdr>
                    </w:div>
                    <w:div w:id="95552382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77460938">
          <w:marLeft w:val="0"/>
          <w:marRight w:val="0"/>
          <w:marTop w:val="0"/>
          <w:marBottom w:val="0"/>
          <w:divBdr>
            <w:top w:val="none" w:sz="0" w:space="0" w:color="auto"/>
            <w:left w:val="none" w:sz="0" w:space="0" w:color="auto"/>
            <w:bottom w:val="none" w:sz="0" w:space="0" w:color="auto"/>
            <w:right w:val="none" w:sz="0" w:space="0" w:color="auto"/>
          </w:divBdr>
          <w:divsChild>
            <w:div w:id="1809936728">
              <w:marLeft w:val="0"/>
              <w:marRight w:val="0"/>
              <w:marTop w:val="0"/>
              <w:marBottom w:val="0"/>
              <w:divBdr>
                <w:top w:val="none" w:sz="0" w:space="0" w:color="auto"/>
                <w:left w:val="none" w:sz="0" w:space="0" w:color="auto"/>
                <w:bottom w:val="none" w:sz="0" w:space="0" w:color="auto"/>
                <w:right w:val="none" w:sz="0" w:space="0" w:color="auto"/>
              </w:divBdr>
            </w:div>
          </w:divsChild>
        </w:div>
        <w:div w:id="1921405463">
          <w:marLeft w:val="0"/>
          <w:marRight w:val="0"/>
          <w:marTop w:val="0"/>
          <w:marBottom w:val="0"/>
          <w:divBdr>
            <w:top w:val="none" w:sz="0" w:space="0" w:color="auto"/>
            <w:left w:val="none" w:sz="0" w:space="0" w:color="auto"/>
            <w:bottom w:val="none" w:sz="0" w:space="0" w:color="auto"/>
            <w:right w:val="none" w:sz="0" w:space="0" w:color="auto"/>
          </w:divBdr>
          <w:divsChild>
            <w:div w:id="131752623">
              <w:marLeft w:val="0"/>
              <w:marRight w:val="0"/>
              <w:marTop w:val="0"/>
              <w:marBottom w:val="0"/>
              <w:divBdr>
                <w:top w:val="none" w:sz="0" w:space="0" w:color="auto"/>
                <w:left w:val="none" w:sz="0" w:space="0" w:color="auto"/>
                <w:bottom w:val="none" w:sz="0" w:space="0" w:color="auto"/>
                <w:right w:val="none" w:sz="0" w:space="0" w:color="auto"/>
              </w:divBdr>
            </w:div>
          </w:divsChild>
        </w:div>
        <w:div w:id="1988852105">
          <w:marLeft w:val="0"/>
          <w:marRight w:val="0"/>
          <w:marTop w:val="0"/>
          <w:marBottom w:val="0"/>
          <w:divBdr>
            <w:top w:val="none" w:sz="0" w:space="0" w:color="auto"/>
            <w:left w:val="none" w:sz="0" w:space="0" w:color="auto"/>
            <w:bottom w:val="none" w:sz="0" w:space="0" w:color="auto"/>
            <w:right w:val="none" w:sz="0" w:space="0" w:color="auto"/>
          </w:divBdr>
          <w:divsChild>
            <w:div w:id="357660770">
              <w:marLeft w:val="0"/>
              <w:marRight w:val="0"/>
              <w:marTop w:val="0"/>
              <w:marBottom w:val="0"/>
              <w:divBdr>
                <w:top w:val="none" w:sz="0" w:space="0" w:color="auto"/>
                <w:left w:val="none" w:sz="0" w:space="0" w:color="auto"/>
                <w:bottom w:val="none" w:sz="0" w:space="0" w:color="auto"/>
                <w:right w:val="none" w:sz="0" w:space="0" w:color="auto"/>
              </w:divBdr>
              <w:divsChild>
                <w:div w:id="90392441">
                  <w:marLeft w:val="0"/>
                  <w:marRight w:val="0"/>
                  <w:marTop w:val="0"/>
                  <w:marBottom w:val="0"/>
                  <w:divBdr>
                    <w:top w:val="none" w:sz="0" w:space="0" w:color="auto"/>
                    <w:left w:val="none" w:sz="0" w:space="0" w:color="auto"/>
                    <w:bottom w:val="none" w:sz="0" w:space="0" w:color="auto"/>
                    <w:right w:val="none" w:sz="0" w:space="0" w:color="auto"/>
                  </w:divBdr>
                  <w:divsChild>
                    <w:div w:id="1496455967">
                      <w:marLeft w:val="0"/>
                      <w:marRight w:val="0"/>
                      <w:marTop w:val="0"/>
                      <w:marBottom w:val="0"/>
                      <w:divBdr>
                        <w:top w:val="none" w:sz="0" w:space="0" w:color="auto"/>
                        <w:left w:val="none" w:sz="0" w:space="0" w:color="auto"/>
                        <w:bottom w:val="none" w:sz="0" w:space="0" w:color="auto"/>
                        <w:right w:val="none" w:sz="0" w:space="0" w:color="auto"/>
                      </w:divBdr>
                    </w:div>
                    <w:div w:id="1871840542">
                      <w:marLeft w:val="0"/>
                      <w:marRight w:val="0"/>
                      <w:marTop w:val="120"/>
                      <w:marBottom w:val="0"/>
                      <w:divBdr>
                        <w:top w:val="none" w:sz="0" w:space="0" w:color="auto"/>
                        <w:left w:val="none" w:sz="0" w:space="0" w:color="auto"/>
                        <w:bottom w:val="none" w:sz="0" w:space="0" w:color="auto"/>
                        <w:right w:val="none" w:sz="0" w:space="0" w:color="auto"/>
                      </w:divBdr>
                    </w:div>
                  </w:divsChild>
                </w:div>
                <w:div w:id="640965676">
                  <w:marLeft w:val="0"/>
                  <w:marRight w:val="0"/>
                  <w:marTop w:val="0"/>
                  <w:marBottom w:val="0"/>
                  <w:divBdr>
                    <w:top w:val="none" w:sz="0" w:space="0" w:color="auto"/>
                    <w:left w:val="none" w:sz="0" w:space="0" w:color="auto"/>
                    <w:bottom w:val="none" w:sz="0" w:space="0" w:color="auto"/>
                    <w:right w:val="none" w:sz="0" w:space="0" w:color="auto"/>
                  </w:divBdr>
                  <w:divsChild>
                    <w:div w:id="199824306">
                      <w:marLeft w:val="0"/>
                      <w:marRight w:val="0"/>
                      <w:marTop w:val="0"/>
                      <w:marBottom w:val="0"/>
                      <w:divBdr>
                        <w:top w:val="none" w:sz="0" w:space="0" w:color="auto"/>
                        <w:left w:val="none" w:sz="0" w:space="0" w:color="auto"/>
                        <w:bottom w:val="none" w:sz="0" w:space="0" w:color="auto"/>
                        <w:right w:val="none" w:sz="0" w:space="0" w:color="auto"/>
                      </w:divBdr>
                    </w:div>
                    <w:div w:id="1236742625">
                      <w:marLeft w:val="0"/>
                      <w:marRight w:val="0"/>
                      <w:marTop w:val="120"/>
                      <w:marBottom w:val="0"/>
                      <w:divBdr>
                        <w:top w:val="none" w:sz="0" w:space="0" w:color="auto"/>
                        <w:left w:val="none" w:sz="0" w:space="0" w:color="auto"/>
                        <w:bottom w:val="none" w:sz="0" w:space="0" w:color="auto"/>
                        <w:right w:val="none" w:sz="0" w:space="0" w:color="auto"/>
                      </w:divBdr>
                    </w:div>
                  </w:divsChild>
                </w:div>
                <w:div w:id="790396371">
                  <w:marLeft w:val="0"/>
                  <w:marRight w:val="0"/>
                  <w:marTop w:val="0"/>
                  <w:marBottom w:val="0"/>
                  <w:divBdr>
                    <w:top w:val="none" w:sz="0" w:space="0" w:color="auto"/>
                    <w:left w:val="none" w:sz="0" w:space="0" w:color="auto"/>
                    <w:bottom w:val="none" w:sz="0" w:space="0" w:color="auto"/>
                    <w:right w:val="none" w:sz="0" w:space="0" w:color="auto"/>
                  </w:divBdr>
                  <w:divsChild>
                    <w:div w:id="1220675930">
                      <w:marLeft w:val="0"/>
                      <w:marRight w:val="0"/>
                      <w:marTop w:val="120"/>
                      <w:marBottom w:val="0"/>
                      <w:divBdr>
                        <w:top w:val="none" w:sz="0" w:space="0" w:color="auto"/>
                        <w:left w:val="none" w:sz="0" w:space="0" w:color="auto"/>
                        <w:bottom w:val="none" w:sz="0" w:space="0" w:color="auto"/>
                        <w:right w:val="none" w:sz="0" w:space="0" w:color="auto"/>
                      </w:divBdr>
                    </w:div>
                    <w:div w:id="1271472925">
                      <w:marLeft w:val="0"/>
                      <w:marRight w:val="0"/>
                      <w:marTop w:val="0"/>
                      <w:marBottom w:val="0"/>
                      <w:divBdr>
                        <w:top w:val="none" w:sz="0" w:space="0" w:color="auto"/>
                        <w:left w:val="none" w:sz="0" w:space="0" w:color="auto"/>
                        <w:bottom w:val="none" w:sz="0" w:space="0" w:color="auto"/>
                        <w:right w:val="none" w:sz="0" w:space="0" w:color="auto"/>
                      </w:divBdr>
                    </w:div>
                  </w:divsChild>
                </w:div>
                <w:div w:id="876969307">
                  <w:marLeft w:val="0"/>
                  <w:marRight w:val="0"/>
                  <w:marTop w:val="0"/>
                  <w:marBottom w:val="0"/>
                  <w:divBdr>
                    <w:top w:val="none" w:sz="0" w:space="0" w:color="auto"/>
                    <w:left w:val="none" w:sz="0" w:space="0" w:color="auto"/>
                    <w:bottom w:val="none" w:sz="0" w:space="0" w:color="auto"/>
                    <w:right w:val="none" w:sz="0" w:space="0" w:color="auto"/>
                  </w:divBdr>
                  <w:divsChild>
                    <w:div w:id="766654143">
                      <w:marLeft w:val="0"/>
                      <w:marRight w:val="0"/>
                      <w:marTop w:val="120"/>
                      <w:marBottom w:val="0"/>
                      <w:divBdr>
                        <w:top w:val="none" w:sz="0" w:space="0" w:color="auto"/>
                        <w:left w:val="none" w:sz="0" w:space="0" w:color="auto"/>
                        <w:bottom w:val="none" w:sz="0" w:space="0" w:color="auto"/>
                        <w:right w:val="none" w:sz="0" w:space="0" w:color="auto"/>
                      </w:divBdr>
                    </w:div>
                    <w:div w:id="1239095586">
                      <w:marLeft w:val="0"/>
                      <w:marRight w:val="0"/>
                      <w:marTop w:val="0"/>
                      <w:marBottom w:val="0"/>
                      <w:divBdr>
                        <w:top w:val="none" w:sz="0" w:space="0" w:color="auto"/>
                        <w:left w:val="none" w:sz="0" w:space="0" w:color="auto"/>
                        <w:bottom w:val="none" w:sz="0" w:space="0" w:color="auto"/>
                        <w:right w:val="none" w:sz="0" w:space="0" w:color="auto"/>
                      </w:divBdr>
                    </w:div>
                  </w:divsChild>
                </w:div>
                <w:div w:id="934170069">
                  <w:marLeft w:val="0"/>
                  <w:marRight w:val="0"/>
                  <w:marTop w:val="0"/>
                  <w:marBottom w:val="0"/>
                  <w:divBdr>
                    <w:top w:val="none" w:sz="0" w:space="0" w:color="auto"/>
                    <w:left w:val="none" w:sz="0" w:space="0" w:color="auto"/>
                    <w:bottom w:val="none" w:sz="0" w:space="0" w:color="auto"/>
                    <w:right w:val="none" w:sz="0" w:space="0" w:color="auto"/>
                  </w:divBdr>
                  <w:divsChild>
                    <w:div w:id="243955788">
                      <w:marLeft w:val="0"/>
                      <w:marRight w:val="0"/>
                      <w:marTop w:val="0"/>
                      <w:marBottom w:val="0"/>
                      <w:divBdr>
                        <w:top w:val="none" w:sz="0" w:space="0" w:color="auto"/>
                        <w:left w:val="none" w:sz="0" w:space="0" w:color="auto"/>
                        <w:bottom w:val="none" w:sz="0" w:space="0" w:color="auto"/>
                        <w:right w:val="none" w:sz="0" w:space="0" w:color="auto"/>
                      </w:divBdr>
                    </w:div>
                    <w:div w:id="373386978">
                      <w:marLeft w:val="0"/>
                      <w:marRight w:val="0"/>
                      <w:marTop w:val="120"/>
                      <w:marBottom w:val="0"/>
                      <w:divBdr>
                        <w:top w:val="none" w:sz="0" w:space="0" w:color="auto"/>
                        <w:left w:val="none" w:sz="0" w:space="0" w:color="auto"/>
                        <w:bottom w:val="none" w:sz="0" w:space="0" w:color="auto"/>
                        <w:right w:val="none" w:sz="0" w:space="0" w:color="auto"/>
                      </w:divBdr>
                    </w:div>
                  </w:divsChild>
                </w:div>
                <w:div w:id="1482622624">
                  <w:marLeft w:val="0"/>
                  <w:marRight w:val="0"/>
                  <w:marTop w:val="0"/>
                  <w:marBottom w:val="0"/>
                  <w:divBdr>
                    <w:top w:val="none" w:sz="0" w:space="0" w:color="auto"/>
                    <w:left w:val="none" w:sz="0" w:space="0" w:color="auto"/>
                    <w:bottom w:val="none" w:sz="0" w:space="0" w:color="auto"/>
                    <w:right w:val="none" w:sz="0" w:space="0" w:color="auto"/>
                  </w:divBdr>
                  <w:divsChild>
                    <w:div w:id="1986354942">
                      <w:marLeft w:val="0"/>
                      <w:marRight w:val="0"/>
                      <w:marTop w:val="0"/>
                      <w:marBottom w:val="0"/>
                      <w:divBdr>
                        <w:top w:val="none" w:sz="0" w:space="0" w:color="auto"/>
                        <w:left w:val="none" w:sz="0" w:space="0" w:color="auto"/>
                        <w:bottom w:val="none" w:sz="0" w:space="0" w:color="auto"/>
                        <w:right w:val="none" w:sz="0" w:space="0" w:color="auto"/>
                      </w:divBdr>
                    </w:div>
                    <w:div w:id="2140493997">
                      <w:marLeft w:val="0"/>
                      <w:marRight w:val="0"/>
                      <w:marTop w:val="120"/>
                      <w:marBottom w:val="0"/>
                      <w:divBdr>
                        <w:top w:val="none" w:sz="0" w:space="0" w:color="auto"/>
                        <w:left w:val="none" w:sz="0" w:space="0" w:color="auto"/>
                        <w:bottom w:val="none" w:sz="0" w:space="0" w:color="auto"/>
                        <w:right w:val="none" w:sz="0" w:space="0" w:color="auto"/>
                      </w:divBdr>
                    </w:div>
                  </w:divsChild>
                </w:div>
                <w:div w:id="1622833917">
                  <w:marLeft w:val="0"/>
                  <w:marRight w:val="0"/>
                  <w:marTop w:val="0"/>
                  <w:marBottom w:val="0"/>
                  <w:divBdr>
                    <w:top w:val="none" w:sz="0" w:space="0" w:color="auto"/>
                    <w:left w:val="none" w:sz="0" w:space="0" w:color="auto"/>
                    <w:bottom w:val="none" w:sz="0" w:space="0" w:color="auto"/>
                    <w:right w:val="none" w:sz="0" w:space="0" w:color="auto"/>
                  </w:divBdr>
                  <w:divsChild>
                    <w:div w:id="1652708657">
                      <w:marLeft w:val="0"/>
                      <w:marRight w:val="0"/>
                      <w:marTop w:val="120"/>
                      <w:marBottom w:val="0"/>
                      <w:divBdr>
                        <w:top w:val="none" w:sz="0" w:space="0" w:color="auto"/>
                        <w:left w:val="none" w:sz="0" w:space="0" w:color="auto"/>
                        <w:bottom w:val="none" w:sz="0" w:space="0" w:color="auto"/>
                        <w:right w:val="none" w:sz="0" w:space="0" w:color="auto"/>
                      </w:divBdr>
                    </w:div>
                    <w:div w:id="1828814559">
                      <w:marLeft w:val="0"/>
                      <w:marRight w:val="0"/>
                      <w:marTop w:val="0"/>
                      <w:marBottom w:val="0"/>
                      <w:divBdr>
                        <w:top w:val="none" w:sz="0" w:space="0" w:color="auto"/>
                        <w:left w:val="none" w:sz="0" w:space="0" w:color="auto"/>
                        <w:bottom w:val="none" w:sz="0" w:space="0" w:color="auto"/>
                        <w:right w:val="none" w:sz="0" w:space="0" w:color="auto"/>
                      </w:divBdr>
                    </w:div>
                  </w:divsChild>
                </w:div>
                <w:div w:id="2125729515">
                  <w:marLeft w:val="0"/>
                  <w:marRight w:val="0"/>
                  <w:marTop w:val="0"/>
                  <w:marBottom w:val="0"/>
                  <w:divBdr>
                    <w:top w:val="none" w:sz="0" w:space="0" w:color="auto"/>
                    <w:left w:val="none" w:sz="0" w:space="0" w:color="auto"/>
                    <w:bottom w:val="none" w:sz="0" w:space="0" w:color="auto"/>
                    <w:right w:val="none" w:sz="0" w:space="0" w:color="auto"/>
                  </w:divBdr>
                  <w:divsChild>
                    <w:div w:id="579605732">
                      <w:marLeft w:val="0"/>
                      <w:marRight w:val="0"/>
                      <w:marTop w:val="0"/>
                      <w:marBottom w:val="0"/>
                      <w:divBdr>
                        <w:top w:val="none" w:sz="0" w:space="0" w:color="auto"/>
                        <w:left w:val="none" w:sz="0" w:space="0" w:color="auto"/>
                        <w:bottom w:val="none" w:sz="0" w:space="0" w:color="auto"/>
                        <w:right w:val="none" w:sz="0" w:space="0" w:color="auto"/>
                      </w:divBdr>
                    </w:div>
                    <w:div w:id="87400633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654457243">
      <w:bodyDiv w:val="1"/>
      <w:marLeft w:val="0"/>
      <w:marRight w:val="0"/>
      <w:marTop w:val="0"/>
      <w:marBottom w:val="0"/>
      <w:divBdr>
        <w:top w:val="none" w:sz="0" w:space="0" w:color="auto"/>
        <w:left w:val="none" w:sz="0" w:space="0" w:color="auto"/>
        <w:bottom w:val="none" w:sz="0" w:space="0" w:color="auto"/>
        <w:right w:val="none" w:sz="0" w:space="0" w:color="auto"/>
      </w:divBdr>
      <w:divsChild>
        <w:div w:id="1139222945">
          <w:marLeft w:val="0"/>
          <w:marRight w:val="0"/>
          <w:marTop w:val="0"/>
          <w:marBottom w:val="0"/>
          <w:divBdr>
            <w:top w:val="none" w:sz="0" w:space="0" w:color="auto"/>
            <w:left w:val="none" w:sz="0" w:space="0" w:color="auto"/>
            <w:bottom w:val="none" w:sz="0" w:space="0" w:color="auto"/>
            <w:right w:val="none" w:sz="0" w:space="0" w:color="auto"/>
          </w:divBdr>
          <w:divsChild>
            <w:div w:id="135421116">
              <w:marLeft w:val="0"/>
              <w:marRight w:val="0"/>
              <w:marTop w:val="0"/>
              <w:marBottom w:val="0"/>
              <w:divBdr>
                <w:top w:val="none" w:sz="0" w:space="0" w:color="auto"/>
                <w:left w:val="none" w:sz="0" w:space="0" w:color="auto"/>
                <w:bottom w:val="none" w:sz="0" w:space="0" w:color="auto"/>
                <w:right w:val="none" w:sz="0" w:space="0" w:color="auto"/>
              </w:divBdr>
              <w:divsChild>
                <w:div w:id="1099644553">
                  <w:marLeft w:val="0"/>
                  <w:marRight w:val="0"/>
                  <w:marTop w:val="0"/>
                  <w:marBottom w:val="0"/>
                  <w:divBdr>
                    <w:top w:val="none" w:sz="0" w:space="0" w:color="auto"/>
                    <w:left w:val="none" w:sz="0" w:space="0" w:color="auto"/>
                    <w:bottom w:val="none" w:sz="0" w:space="0" w:color="auto"/>
                    <w:right w:val="none" w:sz="0" w:space="0" w:color="auto"/>
                  </w:divBdr>
                  <w:divsChild>
                    <w:div w:id="702022301">
                      <w:marLeft w:val="0"/>
                      <w:marRight w:val="0"/>
                      <w:marTop w:val="120"/>
                      <w:marBottom w:val="0"/>
                      <w:divBdr>
                        <w:top w:val="none" w:sz="0" w:space="0" w:color="auto"/>
                        <w:left w:val="none" w:sz="0" w:space="0" w:color="auto"/>
                        <w:bottom w:val="none" w:sz="0" w:space="0" w:color="auto"/>
                        <w:right w:val="none" w:sz="0" w:space="0" w:color="auto"/>
                      </w:divBdr>
                    </w:div>
                    <w:div w:id="1083066915">
                      <w:marLeft w:val="0"/>
                      <w:marRight w:val="0"/>
                      <w:marTop w:val="0"/>
                      <w:marBottom w:val="0"/>
                      <w:divBdr>
                        <w:top w:val="none" w:sz="0" w:space="0" w:color="auto"/>
                        <w:left w:val="none" w:sz="0" w:space="0" w:color="auto"/>
                        <w:bottom w:val="none" w:sz="0" w:space="0" w:color="auto"/>
                        <w:right w:val="none" w:sz="0" w:space="0" w:color="auto"/>
                      </w:divBdr>
                    </w:div>
                  </w:divsChild>
                </w:div>
                <w:div w:id="1202009590">
                  <w:marLeft w:val="0"/>
                  <w:marRight w:val="0"/>
                  <w:marTop w:val="0"/>
                  <w:marBottom w:val="0"/>
                  <w:divBdr>
                    <w:top w:val="none" w:sz="0" w:space="0" w:color="auto"/>
                    <w:left w:val="none" w:sz="0" w:space="0" w:color="auto"/>
                    <w:bottom w:val="none" w:sz="0" w:space="0" w:color="auto"/>
                    <w:right w:val="none" w:sz="0" w:space="0" w:color="auto"/>
                  </w:divBdr>
                  <w:divsChild>
                    <w:div w:id="532231225">
                      <w:marLeft w:val="0"/>
                      <w:marRight w:val="0"/>
                      <w:marTop w:val="120"/>
                      <w:marBottom w:val="0"/>
                      <w:divBdr>
                        <w:top w:val="none" w:sz="0" w:space="0" w:color="auto"/>
                        <w:left w:val="none" w:sz="0" w:space="0" w:color="auto"/>
                        <w:bottom w:val="none" w:sz="0" w:space="0" w:color="auto"/>
                        <w:right w:val="none" w:sz="0" w:space="0" w:color="auto"/>
                      </w:divBdr>
                    </w:div>
                    <w:div w:id="2102407857">
                      <w:marLeft w:val="0"/>
                      <w:marRight w:val="0"/>
                      <w:marTop w:val="0"/>
                      <w:marBottom w:val="0"/>
                      <w:divBdr>
                        <w:top w:val="none" w:sz="0" w:space="0" w:color="auto"/>
                        <w:left w:val="none" w:sz="0" w:space="0" w:color="auto"/>
                        <w:bottom w:val="none" w:sz="0" w:space="0" w:color="auto"/>
                        <w:right w:val="none" w:sz="0" w:space="0" w:color="auto"/>
                      </w:divBdr>
                    </w:div>
                  </w:divsChild>
                </w:div>
                <w:div w:id="1783918300">
                  <w:marLeft w:val="0"/>
                  <w:marRight w:val="0"/>
                  <w:marTop w:val="0"/>
                  <w:marBottom w:val="0"/>
                  <w:divBdr>
                    <w:top w:val="none" w:sz="0" w:space="0" w:color="auto"/>
                    <w:left w:val="none" w:sz="0" w:space="0" w:color="auto"/>
                    <w:bottom w:val="none" w:sz="0" w:space="0" w:color="auto"/>
                    <w:right w:val="none" w:sz="0" w:space="0" w:color="auto"/>
                  </w:divBdr>
                  <w:divsChild>
                    <w:div w:id="357781452">
                      <w:marLeft w:val="0"/>
                      <w:marRight w:val="0"/>
                      <w:marTop w:val="120"/>
                      <w:marBottom w:val="0"/>
                      <w:divBdr>
                        <w:top w:val="none" w:sz="0" w:space="0" w:color="auto"/>
                        <w:left w:val="none" w:sz="0" w:space="0" w:color="auto"/>
                        <w:bottom w:val="none" w:sz="0" w:space="0" w:color="auto"/>
                        <w:right w:val="none" w:sz="0" w:space="0" w:color="auto"/>
                      </w:divBdr>
                    </w:div>
                    <w:div w:id="1664159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80986169">
          <w:marLeft w:val="0"/>
          <w:marRight w:val="0"/>
          <w:marTop w:val="0"/>
          <w:marBottom w:val="0"/>
          <w:divBdr>
            <w:top w:val="none" w:sz="0" w:space="0" w:color="auto"/>
            <w:left w:val="none" w:sz="0" w:space="0" w:color="auto"/>
            <w:bottom w:val="none" w:sz="0" w:space="0" w:color="auto"/>
            <w:right w:val="none" w:sz="0" w:space="0" w:color="auto"/>
          </w:divBdr>
          <w:divsChild>
            <w:div w:id="309293836">
              <w:marLeft w:val="0"/>
              <w:marRight w:val="0"/>
              <w:marTop w:val="0"/>
              <w:marBottom w:val="0"/>
              <w:divBdr>
                <w:top w:val="none" w:sz="0" w:space="0" w:color="auto"/>
                <w:left w:val="none" w:sz="0" w:space="0" w:color="auto"/>
                <w:bottom w:val="none" w:sz="0" w:space="0" w:color="auto"/>
                <w:right w:val="none" w:sz="0" w:space="0" w:color="auto"/>
              </w:divBdr>
            </w:div>
          </w:divsChild>
        </w:div>
        <w:div w:id="1336569100">
          <w:marLeft w:val="0"/>
          <w:marRight w:val="0"/>
          <w:marTop w:val="0"/>
          <w:marBottom w:val="0"/>
          <w:divBdr>
            <w:top w:val="none" w:sz="0" w:space="0" w:color="auto"/>
            <w:left w:val="none" w:sz="0" w:space="0" w:color="auto"/>
            <w:bottom w:val="none" w:sz="0" w:space="0" w:color="auto"/>
            <w:right w:val="none" w:sz="0" w:space="0" w:color="auto"/>
          </w:divBdr>
          <w:divsChild>
            <w:div w:id="748770439">
              <w:marLeft w:val="0"/>
              <w:marRight w:val="0"/>
              <w:marTop w:val="0"/>
              <w:marBottom w:val="0"/>
              <w:divBdr>
                <w:top w:val="none" w:sz="0" w:space="0" w:color="auto"/>
                <w:left w:val="none" w:sz="0" w:space="0" w:color="auto"/>
                <w:bottom w:val="none" w:sz="0" w:space="0" w:color="auto"/>
                <w:right w:val="none" w:sz="0" w:space="0" w:color="auto"/>
              </w:divBdr>
            </w:div>
          </w:divsChild>
        </w:div>
        <w:div w:id="1692683387">
          <w:marLeft w:val="0"/>
          <w:marRight w:val="0"/>
          <w:marTop w:val="0"/>
          <w:marBottom w:val="0"/>
          <w:divBdr>
            <w:top w:val="none" w:sz="0" w:space="0" w:color="auto"/>
            <w:left w:val="none" w:sz="0" w:space="0" w:color="auto"/>
            <w:bottom w:val="none" w:sz="0" w:space="0" w:color="auto"/>
            <w:right w:val="none" w:sz="0" w:space="0" w:color="auto"/>
          </w:divBdr>
          <w:divsChild>
            <w:div w:id="1349720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3970103">
      <w:bodyDiv w:val="1"/>
      <w:marLeft w:val="0"/>
      <w:marRight w:val="0"/>
      <w:marTop w:val="0"/>
      <w:marBottom w:val="0"/>
      <w:divBdr>
        <w:top w:val="none" w:sz="0" w:space="0" w:color="auto"/>
        <w:left w:val="none" w:sz="0" w:space="0" w:color="auto"/>
        <w:bottom w:val="none" w:sz="0" w:space="0" w:color="auto"/>
        <w:right w:val="none" w:sz="0" w:space="0" w:color="auto"/>
      </w:divBdr>
      <w:divsChild>
        <w:div w:id="1177185258">
          <w:marLeft w:val="0"/>
          <w:marRight w:val="0"/>
          <w:marTop w:val="0"/>
          <w:marBottom w:val="0"/>
          <w:divBdr>
            <w:top w:val="none" w:sz="0" w:space="0" w:color="auto"/>
            <w:left w:val="none" w:sz="0" w:space="0" w:color="auto"/>
            <w:bottom w:val="none" w:sz="0" w:space="0" w:color="auto"/>
            <w:right w:val="none" w:sz="0" w:space="0" w:color="auto"/>
          </w:divBdr>
          <w:divsChild>
            <w:div w:id="786043323">
              <w:marLeft w:val="0"/>
              <w:marRight w:val="0"/>
              <w:marTop w:val="0"/>
              <w:marBottom w:val="0"/>
              <w:divBdr>
                <w:top w:val="none" w:sz="0" w:space="0" w:color="auto"/>
                <w:left w:val="none" w:sz="0" w:space="0" w:color="auto"/>
                <w:bottom w:val="none" w:sz="0" w:space="0" w:color="auto"/>
                <w:right w:val="none" w:sz="0" w:space="0" w:color="auto"/>
              </w:divBdr>
              <w:divsChild>
                <w:div w:id="621502839">
                  <w:marLeft w:val="0"/>
                  <w:marRight w:val="0"/>
                  <w:marTop w:val="0"/>
                  <w:marBottom w:val="0"/>
                  <w:divBdr>
                    <w:top w:val="none" w:sz="0" w:space="0" w:color="auto"/>
                    <w:left w:val="none" w:sz="0" w:space="0" w:color="auto"/>
                    <w:bottom w:val="none" w:sz="0" w:space="0" w:color="auto"/>
                    <w:right w:val="none" w:sz="0" w:space="0" w:color="auto"/>
                  </w:divBdr>
                  <w:divsChild>
                    <w:div w:id="552232484">
                      <w:marLeft w:val="0"/>
                      <w:marRight w:val="0"/>
                      <w:marTop w:val="0"/>
                      <w:marBottom w:val="0"/>
                      <w:divBdr>
                        <w:top w:val="none" w:sz="0" w:space="0" w:color="auto"/>
                        <w:left w:val="none" w:sz="0" w:space="0" w:color="auto"/>
                        <w:bottom w:val="none" w:sz="0" w:space="0" w:color="auto"/>
                        <w:right w:val="none" w:sz="0" w:space="0" w:color="auto"/>
                      </w:divBdr>
                    </w:div>
                    <w:div w:id="1879656864">
                      <w:marLeft w:val="0"/>
                      <w:marRight w:val="0"/>
                      <w:marTop w:val="120"/>
                      <w:marBottom w:val="0"/>
                      <w:divBdr>
                        <w:top w:val="none" w:sz="0" w:space="0" w:color="auto"/>
                        <w:left w:val="none" w:sz="0" w:space="0" w:color="auto"/>
                        <w:bottom w:val="none" w:sz="0" w:space="0" w:color="auto"/>
                        <w:right w:val="none" w:sz="0" w:space="0" w:color="auto"/>
                      </w:divBdr>
                    </w:div>
                  </w:divsChild>
                </w:div>
                <w:div w:id="964384900">
                  <w:marLeft w:val="0"/>
                  <w:marRight w:val="0"/>
                  <w:marTop w:val="0"/>
                  <w:marBottom w:val="0"/>
                  <w:divBdr>
                    <w:top w:val="none" w:sz="0" w:space="0" w:color="auto"/>
                    <w:left w:val="none" w:sz="0" w:space="0" w:color="auto"/>
                    <w:bottom w:val="none" w:sz="0" w:space="0" w:color="auto"/>
                    <w:right w:val="none" w:sz="0" w:space="0" w:color="auto"/>
                  </w:divBdr>
                  <w:divsChild>
                    <w:div w:id="1283610398">
                      <w:marLeft w:val="0"/>
                      <w:marRight w:val="0"/>
                      <w:marTop w:val="0"/>
                      <w:marBottom w:val="0"/>
                      <w:divBdr>
                        <w:top w:val="none" w:sz="0" w:space="0" w:color="auto"/>
                        <w:left w:val="none" w:sz="0" w:space="0" w:color="auto"/>
                        <w:bottom w:val="none" w:sz="0" w:space="0" w:color="auto"/>
                        <w:right w:val="none" w:sz="0" w:space="0" w:color="auto"/>
                      </w:divBdr>
                    </w:div>
                    <w:div w:id="181109524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669064445">
      <w:bodyDiv w:val="1"/>
      <w:marLeft w:val="0"/>
      <w:marRight w:val="0"/>
      <w:marTop w:val="0"/>
      <w:marBottom w:val="0"/>
      <w:divBdr>
        <w:top w:val="none" w:sz="0" w:space="0" w:color="auto"/>
        <w:left w:val="none" w:sz="0" w:space="0" w:color="auto"/>
        <w:bottom w:val="none" w:sz="0" w:space="0" w:color="auto"/>
        <w:right w:val="none" w:sz="0" w:space="0" w:color="auto"/>
      </w:divBdr>
      <w:divsChild>
        <w:div w:id="1155489619">
          <w:marLeft w:val="0"/>
          <w:marRight w:val="0"/>
          <w:marTop w:val="0"/>
          <w:marBottom w:val="0"/>
          <w:divBdr>
            <w:top w:val="none" w:sz="0" w:space="0" w:color="auto"/>
            <w:left w:val="none" w:sz="0" w:space="0" w:color="auto"/>
            <w:bottom w:val="none" w:sz="0" w:space="0" w:color="auto"/>
            <w:right w:val="none" w:sz="0" w:space="0" w:color="auto"/>
          </w:divBdr>
          <w:divsChild>
            <w:div w:id="1400710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87516">
      <w:bodyDiv w:val="1"/>
      <w:marLeft w:val="0"/>
      <w:marRight w:val="0"/>
      <w:marTop w:val="0"/>
      <w:marBottom w:val="0"/>
      <w:divBdr>
        <w:top w:val="none" w:sz="0" w:space="0" w:color="auto"/>
        <w:left w:val="none" w:sz="0" w:space="0" w:color="auto"/>
        <w:bottom w:val="none" w:sz="0" w:space="0" w:color="auto"/>
        <w:right w:val="none" w:sz="0" w:space="0" w:color="auto"/>
      </w:divBdr>
    </w:div>
    <w:div w:id="676616584">
      <w:bodyDiv w:val="1"/>
      <w:marLeft w:val="0"/>
      <w:marRight w:val="0"/>
      <w:marTop w:val="0"/>
      <w:marBottom w:val="0"/>
      <w:divBdr>
        <w:top w:val="none" w:sz="0" w:space="0" w:color="auto"/>
        <w:left w:val="none" w:sz="0" w:space="0" w:color="auto"/>
        <w:bottom w:val="none" w:sz="0" w:space="0" w:color="auto"/>
        <w:right w:val="none" w:sz="0" w:space="0" w:color="auto"/>
      </w:divBdr>
      <w:divsChild>
        <w:div w:id="281420220">
          <w:marLeft w:val="0"/>
          <w:marRight w:val="0"/>
          <w:marTop w:val="0"/>
          <w:marBottom w:val="0"/>
          <w:divBdr>
            <w:top w:val="none" w:sz="0" w:space="0" w:color="auto"/>
            <w:left w:val="none" w:sz="0" w:space="0" w:color="auto"/>
            <w:bottom w:val="none" w:sz="0" w:space="0" w:color="auto"/>
            <w:right w:val="none" w:sz="0" w:space="0" w:color="auto"/>
          </w:divBdr>
        </w:div>
      </w:divsChild>
    </w:div>
    <w:div w:id="681788012">
      <w:bodyDiv w:val="1"/>
      <w:marLeft w:val="0"/>
      <w:marRight w:val="0"/>
      <w:marTop w:val="0"/>
      <w:marBottom w:val="0"/>
      <w:divBdr>
        <w:top w:val="none" w:sz="0" w:space="0" w:color="auto"/>
        <w:left w:val="none" w:sz="0" w:space="0" w:color="auto"/>
        <w:bottom w:val="none" w:sz="0" w:space="0" w:color="auto"/>
        <w:right w:val="none" w:sz="0" w:space="0" w:color="auto"/>
      </w:divBdr>
      <w:divsChild>
        <w:div w:id="1501234237">
          <w:marLeft w:val="0"/>
          <w:marRight w:val="0"/>
          <w:marTop w:val="0"/>
          <w:marBottom w:val="0"/>
          <w:divBdr>
            <w:top w:val="none" w:sz="0" w:space="0" w:color="auto"/>
            <w:left w:val="none" w:sz="0" w:space="0" w:color="auto"/>
            <w:bottom w:val="none" w:sz="0" w:space="0" w:color="auto"/>
            <w:right w:val="none" w:sz="0" w:space="0" w:color="auto"/>
          </w:divBdr>
          <w:divsChild>
            <w:div w:id="237178435">
              <w:marLeft w:val="0"/>
              <w:marRight w:val="0"/>
              <w:marTop w:val="0"/>
              <w:marBottom w:val="0"/>
              <w:divBdr>
                <w:top w:val="none" w:sz="0" w:space="0" w:color="auto"/>
                <w:left w:val="none" w:sz="0" w:space="0" w:color="auto"/>
                <w:bottom w:val="none" w:sz="0" w:space="0" w:color="auto"/>
                <w:right w:val="none" w:sz="0" w:space="0" w:color="auto"/>
              </w:divBdr>
              <w:divsChild>
                <w:div w:id="224996222">
                  <w:marLeft w:val="0"/>
                  <w:marRight w:val="0"/>
                  <w:marTop w:val="120"/>
                  <w:marBottom w:val="0"/>
                  <w:divBdr>
                    <w:top w:val="none" w:sz="0" w:space="0" w:color="auto"/>
                    <w:left w:val="none" w:sz="0" w:space="0" w:color="auto"/>
                    <w:bottom w:val="none" w:sz="0" w:space="0" w:color="auto"/>
                    <w:right w:val="none" w:sz="0" w:space="0" w:color="auto"/>
                  </w:divBdr>
                </w:div>
                <w:div w:id="390546070">
                  <w:marLeft w:val="0"/>
                  <w:marRight w:val="0"/>
                  <w:marTop w:val="0"/>
                  <w:marBottom w:val="0"/>
                  <w:divBdr>
                    <w:top w:val="none" w:sz="0" w:space="0" w:color="auto"/>
                    <w:left w:val="none" w:sz="0" w:space="0" w:color="auto"/>
                    <w:bottom w:val="none" w:sz="0" w:space="0" w:color="auto"/>
                    <w:right w:val="none" w:sz="0" w:space="0" w:color="auto"/>
                  </w:divBdr>
                </w:div>
              </w:divsChild>
            </w:div>
            <w:div w:id="272904758">
              <w:marLeft w:val="0"/>
              <w:marRight w:val="0"/>
              <w:marTop w:val="0"/>
              <w:marBottom w:val="0"/>
              <w:divBdr>
                <w:top w:val="none" w:sz="0" w:space="0" w:color="auto"/>
                <w:left w:val="none" w:sz="0" w:space="0" w:color="auto"/>
                <w:bottom w:val="none" w:sz="0" w:space="0" w:color="auto"/>
                <w:right w:val="none" w:sz="0" w:space="0" w:color="auto"/>
              </w:divBdr>
              <w:divsChild>
                <w:div w:id="657998921">
                  <w:marLeft w:val="0"/>
                  <w:marRight w:val="0"/>
                  <w:marTop w:val="120"/>
                  <w:marBottom w:val="0"/>
                  <w:divBdr>
                    <w:top w:val="none" w:sz="0" w:space="0" w:color="auto"/>
                    <w:left w:val="none" w:sz="0" w:space="0" w:color="auto"/>
                    <w:bottom w:val="none" w:sz="0" w:space="0" w:color="auto"/>
                    <w:right w:val="none" w:sz="0" w:space="0" w:color="auto"/>
                  </w:divBdr>
                </w:div>
                <w:div w:id="1139110914">
                  <w:marLeft w:val="0"/>
                  <w:marRight w:val="0"/>
                  <w:marTop w:val="0"/>
                  <w:marBottom w:val="0"/>
                  <w:divBdr>
                    <w:top w:val="none" w:sz="0" w:space="0" w:color="auto"/>
                    <w:left w:val="none" w:sz="0" w:space="0" w:color="auto"/>
                    <w:bottom w:val="none" w:sz="0" w:space="0" w:color="auto"/>
                    <w:right w:val="none" w:sz="0" w:space="0" w:color="auto"/>
                  </w:divBdr>
                </w:div>
              </w:divsChild>
            </w:div>
            <w:div w:id="1755541504">
              <w:marLeft w:val="0"/>
              <w:marRight w:val="0"/>
              <w:marTop w:val="0"/>
              <w:marBottom w:val="0"/>
              <w:divBdr>
                <w:top w:val="none" w:sz="0" w:space="0" w:color="auto"/>
                <w:left w:val="none" w:sz="0" w:space="0" w:color="auto"/>
                <w:bottom w:val="none" w:sz="0" w:space="0" w:color="auto"/>
                <w:right w:val="none" w:sz="0" w:space="0" w:color="auto"/>
              </w:divBdr>
              <w:divsChild>
                <w:div w:id="364671630">
                  <w:marLeft w:val="0"/>
                  <w:marRight w:val="0"/>
                  <w:marTop w:val="0"/>
                  <w:marBottom w:val="0"/>
                  <w:divBdr>
                    <w:top w:val="none" w:sz="0" w:space="0" w:color="auto"/>
                    <w:left w:val="none" w:sz="0" w:space="0" w:color="auto"/>
                    <w:bottom w:val="none" w:sz="0" w:space="0" w:color="auto"/>
                    <w:right w:val="none" w:sz="0" w:space="0" w:color="auto"/>
                  </w:divBdr>
                </w:div>
                <w:div w:id="1271232417">
                  <w:marLeft w:val="0"/>
                  <w:marRight w:val="0"/>
                  <w:marTop w:val="120"/>
                  <w:marBottom w:val="0"/>
                  <w:divBdr>
                    <w:top w:val="none" w:sz="0" w:space="0" w:color="auto"/>
                    <w:left w:val="none" w:sz="0" w:space="0" w:color="auto"/>
                    <w:bottom w:val="none" w:sz="0" w:space="0" w:color="auto"/>
                    <w:right w:val="none" w:sz="0" w:space="0" w:color="auto"/>
                  </w:divBdr>
                </w:div>
              </w:divsChild>
            </w:div>
            <w:div w:id="1775244006">
              <w:marLeft w:val="0"/>
              <w:marRight w:val="0"/>
              <w:marTop w:val="0"/>
              <w:marBottom w:val="0"/>
              <w:divBdr>
                <w:top w:val="none" w:sz="0" w:space="0" w:color="auto"/>
                <w:left w:val="none" w:sz="0" w:space="0" w:color="auto"/>
                <w:bottom w:val="none" w:sz="0" w:space="0" w:color="auto"/>
                <w:right w:val="none" w:sz="0" w:space="0" w:color="auto"/>
              </w:divBdr>
              <w:divsChild>
                <w:div w:id="290402959">
                  <w:marLeft w:val="0"/>
                  <w:marRight w:val="0"/>
                  <w:marTop w:val="120"/>
                  <w:marBottom w:val="0"/>
                  <w:divBdr>
                    <w:top w:val="none" w:sz="0" w:space="0" w:color="auto"/>
                    <w:left w:val="none" w:sz="0" w:space="0" w:color="auto"/>
                    <w:bottom w:val="none" w:sz="0" w:space="0" w:color="auto"/>
                    <w:right w:val="none" w:sz="0" w:space="0" w:color="auto"/>
                  </w:divBdr>
                </w:div>
                <w:div w:id="1082484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3090366">
      <w:bodyDiv w:val="1"/>
      <w:marLeft w:val="0"/>
      <w:marRight w:val="0"/>
      <w:marTop w:val="0"/>
      <w:marBottom w:val="0"/>
      <w:divBdr>
        <w:top w:val="none" w:sz="0" w:space="0" w:color="auto"/>
        <w:left w:val="none" w:sz="0" w:space="0" w:color="auto"/>
        <w:bottom w:val="none" w:sz="0" w:space="0" w:color="auto"/>
        <w:right w:val="none" w:sz="0" w:space="0" w:color="auto"/>
      </w:divBdr>
      <w:divsChild>
        <w:div w:id="338508088">
          <w:marLeft w:val="0"/>
          <w:marRight w:val="0"/>
          <w:marTop w:val="0"/>
          <w:marBottom w:val="0"/>
          <w:divBdr>
            <w:top w:val="none" w:sz="0" w:space="0" w:color="auto"/>
            <w:left w:val="none" w:sz="0" w:space="0" w:color="auto"/>
            <w:bottom w:val="none" w:sz="0" w:space="0" w:color="auto"/>
            <w:right w:val="none" w:sz="0" w:space="0" w:color="auto"/>
          </w:divBdr>
          <w:divsChild>
            <w:div w:id="112192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999511">
      <w:bodyDiv w:val="1"/>
      <w:marLeft w:val="0"/>
      <w:marRight w:val="0"/>
      <w:marTop w:val="0"/>
      <w:marBottom w:val="0"/>
      <w:divBdr>
        <w:top w:val="none" w:sz="0" w:space="0" w:color="auto"/>
        <w:left w:val="none" w:sz="0" w:space="0" w:color="auto"/>
        <w:bottom w:val="none" w:sz="0" w:space="0" w:color="auto"/>
        <w:right w:val="none" w:sz="0" w:space="0" w:color="auto"/>
      </w:divBdr>
    </w:div>
    <w:div w:id="694115585">
      <w:bodyDiv w:val="1"/>
      <w:marLeft w:val="0"/>
      <w:marRight w:val="0"/>
      <w:marTop w:val="0"/>
      <w:marBottom w:val="0"/>
      <w:divBdr>
        <w:top w:val="none" w:sz="0" w:space="0" w:color="auto"/>
        <w:left w:val="none" w:sz="0" w:space="0" w:color="auto"/>
        <w:bottom w:val="none" w:sz="0" w:space="0" w:color="auto"/>
        <w:right w:val="none" w:sz="0" w:space="0" w:color="auto"/>
      </w:divBdr>
    </w:div>
    <w:div w:id="694383362">
      <w:bodyDiv w:val="1"/>
      <w:marLeft w:val="0"/>
      <w:marRight w:val="0"/>
      <w:marTop w:val="0"/>
      <w:marBottom w:val="0"/>
      <w:divBdr>
        <w:top w:val="none" w:sz="0" w:space="0" w:color="auto"/>
        <w:left w:val="none" w:sz="0" w:space="0" w:color="auto"/>
        <w:bottom w:val="none" w:sz="0" w:space="0" w:color="auto"/>
        <w:right w:val="none" w:sz="0" w:space="0" w:color="auto"/>
      </w:divBdr>
      <w:divsChild>
        <w:div w:id="135150368">
          <w:marLeft w:val="0"/>
          <w:marRight w:val="0"/>
          <w:marTop w:val="0"/>
          <w:marBottom w:val="0"/>
          <w:divBdr>
            <w:top w:val="none" w:sz="0" w:space="0" w:color="auto"/>
            <w:left w:val="none" w:sz="0" w:space="0" w:color="auto"/>
            <w:bottom w:val="none" w:sz="0" w:space="0" w:color="auto"/>
            <w:right w:val="none" w:sz="0" w:space="0" w:color="auto"/>
          </w:divBdr>
          <w:divsChild>
            <w:div w:id="279457195">
              <w:marLeft w:val="0"/>
              <w:marRight w:val="0"/>
              <w:marTop w:val="0"/>
              <w:marBottom w:val="0"/>
              <w:divBdr>
                <w:top w:val="none" w:sz="0" w:space="0" w:color="auto"/>
                <w:left w:val="none" w:sz="0" w:space="0" w:color="auto"/>
                <w:bottom w:val="none" w:sz="0" w:space="0" w:color="auto"/>
                <w:right w:val="none" w:sz="0" w:space="0" w:color="auto"/>
              </w:divBdr>
            </w:div>
          </w:divsChild>
        </w:div>
        <w:div w:id="426006477">
          <w:marLeft w:val="0"/>
          <w:marRight w:val="0"/>
          <w:marTop w:val="0"/>
          <w:marBottom w:val="0"/>
          <w:divBdr>
            <w:top w:val="none" w:sz="0" w:space="0" w:color="auto"/>
            <w:left w:val="none" w:sz="0" w:space="0" w:color="auto"/>
            <w:bottom w:val="none" w:sz="0" w:space="0" w:color="auto"/>
            <w:right w:val="none" w:sz="0" w:space="0" w:color="auto"/>
          </w:divBdr>
          <w:divsChild>
            <w:div w:id="1651473894">
              <w:marLeft w:val="0"/>
              <w:marRight w:val="0"/>
              <w:marTop w:val="0"/>
              <w:marBottom w:val="0"/>
              <w:divBdr>
                <w:top w:val="none" w:sz="0" w:space="0" w:color="auto"/>
                <w:left w:val="none" w:sz="0" w:space="0" w:color="auto"/>
                <w:bottom w:val="none" w:sz="0" w:space="0" w:color="auto"/>
                <w:right w:val="none" w:sz="0" w:space="0" w:color="auto"/>
              </w:divBdr>
            </w:div>
          </w:divsChild>
        </w:div>
        <w:div w:id="957637785">
          <w:marLeft w:val="0"/>
          <w:marRight w:val="0"/>
          <w:marTop w:val="0"/>
          <w:marBottom w:val="0"/>
          <w:divBdr>
            <w:top w:val="none" w:sz="0" w:space="0" w:color="auto"/>
            <w:left w:val="none" w:sz="0" w:space="0" w:color="auto"/>
            <w:bottom w:val="none" w:sz="0" w:space="0" w:color="auto"/>
            <w:right w:val="none" w:sz="0" w:space="0" w:color="auto"/>
          </w:divBdr>
          <w:divsChild>
            <w:div w:id="957369014">
              <w:marLeft w:val="0"/>
              <w:marRight w:val="0"/>
              <w:marTop w:val="0"/>
              <w:marBottom w:val="0"/>
              <w:divBdr>
                <w:top w:val="none" w:sz="0" w:space="0" w:color="auto"/>
                <w:left w:val="none" w:sz="0" w:space="0" w:color="auto"/>
                <w:bottom w:val="none" w:sz="0" w:space="0" w:color="auto"/>
                <w:right w:val="none" w:sz="0" w:space="0" w:color="auto"/>
              </w:divBdr>
            </w:div>
          </w:divsChild>
        </w:div>
        <w:div w:id="993529714">
          <w:marLeft w:val="0"/>
          <w:marRight w:val="0"/>
          <w:marTop w:val="0"/>
          <w:marBottom w:val="0"/>
          <w:divBdr>
            <w:top w:val="none" w:sz="0" w:space="0" w:color="auto"/>
            <w:left w:val="none" w:sz="0" w:space="0" w:color="auto"/>
            <w:bottom w:val="none" w:sz="0" w:space="0" w:color="auto"/>
            <w:right w:val="none" w:sz="0" w:space="0" w:color="auto"/>
          </w:divBdr>
          <w:divsChild>
            <w:div w:id="1658146666">
              <w:marLeft w:val="0"/>
              <w:marRight w:val="0"/>
              <w:marTop w:val="0"/>
              <w:marBottom w:val="0"/>
              <w:divBdr>
                <w:top w:val="none" w:sz="0" w:space="0" w:color="auto"/>
                <w:left w:val="none" w:sz="0" w:space="0" w:color="auto"/>
                <w:bottom w:val="none" w:sz="0" w:space="0" w:color="auto"/>
                <w:right w:val="none" w:sz="0" w:space="0" w:color="auto"/>
              </w:divBdr>
            </w:div>
          </w:divsChild>
        </w:div>
        <w:div w:id="1617448246">
          <w:marLeft w:val="0"/>
          <w:marRight w:val="0"/>
          <w:marTop w:val="0"/>
          <w:marBottom w:val="0"/>
          <w:divBdr>
            <w:top w:val="none" w:sz="0" w:space="0" w:color="auto"/>
            <w:left w:val="none" w:sz="0" w:space="0" w:color="auto"/>
            <w:bottom w:val="none" w:sz="0" w:space="0" w:color="auto"/>
            <w:right w:val="none" w:sz="0" w:space="0" w:color="auto"/>
          </w:divBdr>
          <w:divsChild>
            <w:div w:id="1682656824">
              <w:marLeft w:val="0"/>
              <w:marRight w:val="0"/>
              <w:marTop w:val="0"/>
              <w:marBottom w:val="0"/>
              <w:divBdr>
                <w:top w:val="none" w:sz="0" w:space="0" w:color="auto"/>
                <w:left w:val="none" w:sz="0" w:space="0" w:color="auto"/>
                <w:bottom w:val="none" w:sz="0" w:space="0" w:color="auto"/>
                <w:right w:val="none" w:sz="0" w:space="0" w:color="auto"/>
              </w:divBdr>
            </w:div>
          </w:divsChild>
        </w:div>
        <w:div w:id="1992368305">
          <w:marLeft w:val="0"/>
          <w:marRight w:val="0"/>
          <w:marTop w:val="0"/>
          <w:marBottom w:val="0"/>
          <w:divBdr>
            <w:top w:val="none" w:sz="0" w:space="0" w:color="auto"/>
            <w:left w:val="none" w:sz="0" w:space="0" w:color="auto"/>
            <w:bottom w:val="none" w:sz="0" w:space="0" w:color="auto"/>
            <w:right w:val="none" w:sz="0" w:space="0" w:color="auto"/>
          </w:divBdr>
          <w:divsChild>
            <w:div w:id="142803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8724616">
      <w:bodyDiv w:val="1"/>
      <w:marLeft w:val="0"/>
      <w:marRight w:val="0"/>
      <w:marTop w:val="0"/>
      <w:marBottom w:val="0"/>
      <w:divBdr>
        <w:top w:val="none" w:sz="0" w:space="0" w:color="auto"/>
        <w:left w:val="none" w:sz="0" w:space="0" w:color="auto"/>
        <w:bottom w:val="none" w:sz="0" w:space="0" w:color="auto"/>
        <w:right w:val="none" w:sz="0" w:space="0" w:color="auto"/>
      </w:divBdr>
    </w:div>
    <w:div w:id="718474126">
      <w:bodyDiv w:val="1"/>
      <w:marLeft w:val="0"/>
      <w:marRight w:val="0"/>
      <w:marTop w:val="0"/>
      <w:marBottom w:val="0"/>
      <w:divBdr>
        <w:top w:val="none" w:sz="0" w:space="0" w:color="auto"/>
        <w:left w:val="none" w:sz="0" w:space="0" w:color="auto"/>
        <w:bottom w:val="none" w:sz="0" w:space="0" w:color="auto"/>
        <w:right w:val="none" w:sz="0" w:space="0" w:color="auto"/>
      </w:divBdr>
    </w:div>
    <w:div w:id="720709261">
      <w:bodyDiv w:val="1"/>
      <w:marLeft w:val="0"/>
      <w:marRight w:val="0"/>
      <w:marTop w:val="0"/>
      <w:marBottom w:val="0"/>
      <w:divBdr>
        <w:top w:val="none" w:sz="0" w:space="0" w:color="auto"/>
        <w:left w:val="none" w:sz="0" w:space="0" w:color="auto"/>
        <w:bottom w:val="none" w:sz="0" w:space="0" w:color="auto"/>
        <w:right w:val="none" w:sz="0" w:space="0" w:color="auto"/>
      </w:divBdr>
    </w:div>
    <w:div w:id="722599975">
      <w:bodyDiv w:val="1"/>
      <w:marLeft w:val="0"/>
      <w:marRight w:val="0"/>
      <w:marTop w:val="0"/>
      <w:marBottom w:val="0"/>
      <w:divBdr>
        <w:top w:val="none" w:sz="0" w:space="0" w:color="auto"/>
        <w:left w:val="none" w:sz="0" w:space="0" w:color="auto"/>
        <w:bottom w:val="none" w:sz="0" w:space="0" w:color="auto"/>
        <w:right w:val="none" w:sz="0" w:space="0" w:color="auto"/>
      </w:divBdr>
    </w:div>
    <w:div w:id="736317177">
      <w:bodyDiv w:val="1"/>
      <w:marLeft w:val="0"/>
      <w:marRight w:val="0"/>
      <w:marTop w:val="0"/>
      <w:marBottom w:val="0"/>
      <w:divBdr>
        <w:top w:val="none" w:sz="0" w:space="0" w:color="auto"/>
        <w:left w:val="none" w:sz="0" w:space="0" w:color="auto"/>
        <w:bottom w:val="none" w:sz="0" w:space="0" w:color="auto"/>
        <w:right w:val="none" w:sz="0" w:space="0" w:color="auto"/>
      </w:divBdr>
      <w:divsChild>
        <w:div w:id="606304811">
          <w:marLeft w:val="0"/>
          <w:marRight w:val="0"/>
          <w:marTop w:val="0"/>
          <w:marBottom w:val="0"/>
          <w:divBdr>
            <w:top w:val="none" w:sz="0" w:space="0" w:color="auto"/>
            <w:left w:val="none" w:sz="0" w:space="0" w:color="auto"/>
            <w:bottom w:val="none" w:sz="0" w:space="0" w:color="auto"/>
            <w:right w:val="none" w:sz="0" w:space="0" w:color="auto"/>
          </w:divBdr>
          <w:divsChild>
            <w:div w:id="50230776">
              <w:marLeft w:val="0"/>
              <w:marRight w:val="0"/>
              <w:marTop w:val="120"/>
              <w:marBottom w:val="0"/>
              <w:divBdr>
                <w:top w:val="none" w:sz="0" w:space="0" w:color="auto"/>
                <w:left w:val="none" w:sz="0" w:space="0" w:color="auto"/>
                <w:bottom w:val="none" w:sz="0" w:space="0" w:color="auto"/>
                <w:right w:val="none" w:sz="0" w:space="0" w:color="auto"/>
              </w:divBdr>
            </w:div>
            <w:div w:id="1591505535">
              <w:marLeft w:val="0"/>
              <w:marRight w:val="0"/>
              <w:marTop w:val="0"/>
              <w:marBottom w:val="0"/>
              <w:divBdr>
                <w:top w:val="none" w:sz="0" w:space="0" w:color="auto"/>
                <w:left w:val="none" w:sz="0" w:space="0" w:color="auto"/>
                <w:bottom w:val="none" w:sz="0" w:space="0" w:color="auto"/>
                <w:right w:val="none" w:sz="0" w:space="0" w:color="auto"/>
              </w:divBdr>
            </w:div>
          </w:divsChild>
        </w:div>
        <w:div w:id="1029139585">
          <w:marLeft w:val="0"/>
          <w:marRight w:val="0"/>
          <w:marTop w:val="0"/>
          <w:marBottom w:val="0"/>
          <w:divBdr>
            <w:top w:val="none" w:sz="0" w:space="0" w:color="auto"/>
            <w:left w:val="none" w:sz="0" w:space="0" w:color="auto"/>
            <w:bottom w:val="none" w:sz="0" w:space="0" w:color="auto"/>
            <w:right w:val="none" w:sz="0" w:space="0" w:color="auto"/>
          </w:divBdr>
          <w:divsChild>
            <w:div w:id="1239514457">
              <w:marLeft w:val="0"/>
              <w:marRight w:val="0"/>
              <w:marTop w:val="120"/>
              <w:marBottom w:val="0"/>
              <w:divBdr>
                <w:top w:val="none" w:sz="0" w:space="0" w:color="auto"/>
                <w:left w:val="none" w:sz="0" w:space="0" w:color="auto"/>
                <w:bottom w:val="none" w:sz="0" w:space="0" w:color="auto"/>
                <w:right w:val="none" w:sz="0" w:space="0" w:color="auto"/>
              </w:divBdr>
            </w:div>
            <w:div w:id="1777285839">
              <w:marLeft w:val="0"/>
              <w:marRight w:val="0"/>
              <w:marTop w:val="0"/>
              <w:marBottom w:val="0"/>
              <w:divBdr>
                <w:top w:val="none" w:sz="0" w:space="0" w:color="auto"/>
                <w:left w:val="none" w:sz="0" w:space="0" w:color="auto"/>
                <w:bottom w:val="none" w:sz="0" w:space="0" w:color="auto"/>
                <w:right w:val="none" w:sz="0" w:space="0" w:color="auto"/>
              </w:divBdr>
            </w:div>
          </w:divsChild>
        </w:div>
        <w:div w:id="1532107937">
          <w:marLeft w:val="0"/>
          <w:marRight w:val="0"/>
          <w:marTop w:val="0"/>
          <w:marBottom w:val="0"/>
          <w:divBdr>
            <w:top w:val="none" w:sz="0" w:space="0" w:color="auto"/>
            <w:left w:val="none" w:sz="0" w:space="0" w:color="auto"/>
            <w:bottom w:val="none" w:sz="0" w:space="0" w:color="auto"/>
            <w:right w:val="none" w:sz="0" w:space="0" w:color="auto"/>
          </w:divBdr>
          <w:divsChild>
            <w:div w:id="1721712330">
              <w:marLeft w:val="0"/>
              <w:marRight w:val="0"/>
              <w:marTop w:val="120"/>
              <w:marBottom w:val="0"/>
              <w:divBdr>
                <w:top w:val="none" w:sz="0" w:space="0" w:color="auto"/>
                <w:left w:val="none" w:sz="0" w:space="0" w:color="auto"/>
                <w:bottom w:val="none" w:sz="0" w:space="0" w:color="auto"/>
                <w:right w:val="none" w:sz="0" w:space="0" w:color="auto"/>
              </w:divBdr>
            </w:div>
            <w:div w:id="195639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566209">
      <w:bodyDiv w:val="1"/>
      <w:marLeft w:val="0"/>
      <w:marRight w:val="0"/>
      <w:marTop w:val="0"/>
      <w:marBottom w:val="0"/>
      <w:divBdr>
        <w:top w:val="none" w:sz="0" w:space="0" w:color="auto"/>
        <w:left w:val="none" w:sz="0" w:space="0" w:color="auto"/>
        <w:bottom w:val="none" w:sz="0" w:space="0" w:color="auto"/>
        <w:right w:val="none" w:sz="0" w:space="0" w:color="auto"/>
      </w:divBdr>
      <w:divsChild>
        <w:div w:id="1174800977">
          <w:marLeft w:val="0"/>
          <w:marRight w:val="0"/>
          <w:marTop w:val="120"/>
          <w:marBottom w:val="0"/>
          <w:divBdr>
            <w:top w:val="none" w:sz="0" w:space="0" w:color="auto"/>
            <w:left w:val="none" w:sz="0" w:space="0" w:color="auto"/>
            <w:bottom w:val="none" w:sz="0" w:space="0" w:color="auto"/>
            <w:right w:val="none" w:sz="0" w:space="0" w:color="auto"/>
          </w:divBdr>
        </w:div>
        <w:div w:id="1661303547">
          <w:marLeft w:val="0"/>
          <w:marRight w:val="0"/>
          <w:marTop w:val="0"/>
          <w:marBottom w:val="0"/>
          <w:divBdr>
            <w:top w:val="none" w:sz="0" w:space="0" w:color="auto"/>
            <w:left w:val="none" w:sz="0" w:space="0" w:color="auto"/>
            <w:bottom w:val="none" w:sz="0" w:space="0" w:color="auto"/>
            <w:right w:val="none" w:sz="0" w:space="0" w:color="auto"/>
          </w:divBdr>
        </w:div>
      </w:divsChild>
    </w:div>
    <w:div w:id="745959183">
      <w:bodyDiv w:val="1"/>
      <w:marLeft w:val="0"/>
      <w:marRight w:val="0"/>
      <w:marTop w:val="0"/>
      <w:marBottom w:val="0"/>
      <w:divBdr>
        <w:top w:val="none" w:sz="0" w:space="0" w:color="auto"/>
        <w:left w:val="none" w:sz="0" w:space="0" w:color="auto"/>
        <w:bottom w:val="none" w:sz="0" w:space="0" w:color="auto"/>
        <w:right w:val="none" w:sz="0" w:space="0" w:color="auto"/>
      </w:divBdr>
      <w:divsChild>
        <w:div w:id="516384673">
          <w:marLeft w:val="0"/>
          <w:marRight w:val="0"/>
          <w:marTop w:val="0"/>
          <w:marBottom w:val="0"/>
          <w:divBdr>
            <w:top w:val="none" w:sz="0" w:space="0" w:color="auto"/>
            <w:left w:val="none" w:sz="0" w:space="0" w:color="auto"/>
            <w:bottom w:val="none" w:sz="0" w:space="0" w:color="auto"/>
            <w:right w:val="none" w:sz="0" w:space="0" w:color="auto"/>
          </w:divBdr>
          <w:divsChild>
            <w:div w:id="503476603">
              <w:marLeft w:val="0"/>
              <w:marRight w:val="0"/>
              <w:marTop w:val="0"/>
              <w:marBottom w:val="0"/>
              <w:divBdr>
                <w:top w:val="none" w:sz="0" w:space="0" w:color="auto"/>
                <w:left w:val="none" w:sz="0" w:space="0" w:color="auto"/>
                <w:bottom w:val="none" w:sz="0" w:space="0" w:color="auto"/>
                <w:right w:val="none" w:sz="0" w:space="0" w:color="auto"/>
              </w:divBdr>
            </w:div>
          </w:divsChild>
        </w:div>
        <w:div w:id="1154375217">
          <w:marLeft w:val="0"/>
          <w:marRight w:val="0"/>
          <w:marTop w:val="0"/>
          <w:marBottom w:val="0"/>
          <w:divBdr>
            <w:top w:val="none" w:sz="0" w:space="0" w:color="auto"/>
            <w:left w:val="none" w:sz="0" w:space="0" w:color="auto"/>
            <w:bottom w:val="none" w:sz="0" w:space="0" w:color="auto"/>
            <w:right w:val="none" w:sz="0" w:space="0" w:color="auto"/>
          </w:divBdr>
          <w:divsChild>
            <w:div w:id="566847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714654">
      <w:bodyDiv w:val="1"/>
      <w:marLeft w:val="0"/>
      <w:marRight w:val="0"/>
      <w:marTop w:val="0"/>
      <w:marBottom w:val="0"/>
      <w:divBdr>
        <w:top w:val="none" w:sz="0" w:space="0" w:color="auto"/>
        <w:left w:val="none" w:sz="0" w:space="0" w:color="auto"/>
        <w:bottom w:val="none" w:sz="0" w:space="0" w:color="auto"/>
        <w:right w:val="none" w:sz="0" w:space="0" w:color="auto"/>
      </w:divBdr>
    </w:div>
    <w:div w:id="761680209">
      <w:bodyDiv w:val="1"/>
      <w:marLeft w:val="0"/>
      <w:marRight w:val="0"/>
      <w:marTop w:val="0"/>
      <w:marBottom w:val="0"/>
      <w:divBdr>
        <w:top w:val="none" w:sz="0" w:space="0" w:color="auto"/>
        <w:left w:val="none" w:sz="0" w:space="0" w:color="auto"/>
        <w:bottom w:val="none" w:sz="0" w:space="0" w:color="auto"/>
        <w:right w:val="none" w:sz="0" w:space="0" w:color="auto"/>
      </w:divBdr>
      <w:divsChild>
        <w:div w:id="1442920570">
          <w:marLeft w:val="0"/>
          <w:marRight w:val="0"/>
          <w:marTop w:val="0"/>
          <w:marBottom w:val="0"/>
          <w:divBdr>
            <w:top w:val="none" w:sz="0" w:space="0" w:color="auto"/>
            <w:left w:val="none" w:sz="0" w:space="0" w:color="auto"/>
            <w:bottom w:val="none" w:sz="0" w:space="0" w:color="auto"/>
            <w:right w:val="none" w:sz="0" w:space="0" w:color="auto"/>
          </w:divBdr>
          <w:divsChild>
            <w:div w:id="1705591909">
              <w:marLeft w:val="0"/>
              <w:marRight w:val="0"/>
              <w:marTop w:val="0"/>
              <w:marBottom w:val="0"/>
              <w:divBdr>
                <w:top w:val="none" w:sz="0" w:space="0" w:color="auto"/>
                <w:left w:val="none" w:sz="0" w:space="0" w:color="auto"/>
                <w:bottom w:val="none" w:sz="0" w:space="0" w:color="auto"/>
                <w:right w:val="none" w:sz="0" w:space="0" w:color="auto"/>
              </w:divBdr>
              <w:divsChild>
                <w:div w:id="406269123">
                  <w:marLeft w:val="0"/>
                  <w:marRight w:val="0"/>
                  <w:marTop w:val="120"/>
                  <w:marBottom w:val="0"/>
                  <w:divBdr>
                    <w:top w:val="none" w:sz="0" w:space="0" w:color="auto"/>
                    <w:left w:val="none" w:sz="0" w:space="0" w:color="auto"/>
                    <w:bottom w:val="none" w:sz="0" w:space="0" w:color="auto"/>
                    <w:right w:val="none" w:sz="0" w:space="0" w:color="auto"/>
                  </w:divBdr>
                </w:div>
                <w:div w:id="1436291593">
                  <w:marLeft w:val="0"/>
                  <w:marRight w:val="0"/>
                  <w:marTop w:val="0"/>
                  <w:marBottom w:val="0"/>
                  <w:divBdr>
                    <w:top w:val="none" w:sz="0" w:space="0" w:color="auto"/>
                    <w:left w:val="none" w:sz="0" w:space="0" w:color="auto"/>
                    <w:bottom w:val="none" w:sz="0" w:space="0" w:color="auto"/>
                    <w:right w:val="none" w:sz="0" w:space="0" w:color="auto"/>
                  </w:divBdr>
                </w:div>
              </w:divsChild>
            </w:div>
            <w:div w:id="2004115489">
              <w:marLeft w:val="0"/>
              <w:marRight w:val="0"/>
              <w:marTop w:val="0"/>
              <w:marBottom w:val="0"/>
              <w:divBdr>
                <w:top w:val="none" w:sz="0" w:space="0" w:color="auto"/>
                <w:left w:val="none" w:sz="0" w:space="0" w:color="auto"/>
                <w:bottom w:val="none" w:sz="0" w:space="0" w:color="auto"/>
                <w:right w:val="none" w:sz="0" w:space="0" w:color="auto"/>
              </w:divBdr>
              <w:divsChild>
                <w:div w:id="64424428">
                  <w:marLeft w:val="0"/>
                  <w:marRight w:val="0"/>
                  <w:marTop w:val="120"/>
                  <w:marBottom w:val="0"/>
                  <w:divBdr>
                    <w:top w:val="none" w:sz="0" w:space="0" w:color="auto"/>
                    <w:left w:val="none" w:sz="0" w:space="0" w:color="auto"/>
                    <w:bottom w:val="none" w:sz="0" w:space="0" w:color="auto"/>
                    <w:right w:val="none" w:sz="0" w:space="0" w:color="auto"/>
                  </w:divBdr>
                </w:div>
                <w:div w:id="1016149212">
                  <w:marLeft w:val="0"/>
                  <w:marRight w:val="0"/>
                  <w:marTop w:val="0"/>
                  <w:marBottom w:val="0"/>
                  <w:divBdr>
                    <w:top w:val="none" w:sz="0" w:space="0" w:color="auto"/>
                    <w:left w:val="none" w:sz="0" w:space="0" w:color="auto"/>
                    <w:bottom w:val="none" w:sz="0" w:space="0" w:color="auto"/>
                    <w:right w:val="none" w:sz="0" w:space="0" w:color="auto"/>
                  </w:divBdr>
                </w:div>
              </w:divsChild>
            </w:div>
            <w:div w:id="2059817688">
              <w:marLeft w:val="0"/>
              <w:marRight w:val="0"/>
              <w:marTop w:val="0"/>
              <w:marBottom w:val="0"/>
              <w:divBdr>
                <w:top w:val="none" w:sz="0" w:space="0" w:color="auto"/>
                <w:left w:val="none" w:sz="0" w:space="0" w:color="auto"/>
                <w:bottom w:val="none" w:sz="0" w:space="0" w:color="auto"/>
                <w:right w:val="none" w:sz="0" w:space="0" w:color="auto"/>
              </w:divBdr>
              <w:divsChild>
                <w:div w:id="519316702">
                  <w:marLeft w:val="0"/>
                  <w:marRight w:val="0"/>
                  <w:marTop w:val="0"/>
                  <w:marBottom w:val="0"/>
                  <w:divBdr>
                    <w:top w:val="none" w:sz="0" w:space="0" w:color="auto"/>
                    <w:left w:val="none" w:sz="0" w:space="0" w:color="auto"/>
                    <w:bottom w:val="none" w:sz="0" w:space="0" w:color="auto"/>
                    <w:right w:val="none" w:sz="0" w:space="0" w:color="auto"/>
                  </w:divBdr>
                </w:div>
                <w:div w:id="1841308969">
                  <w:marLeft w:val="0"/>
                  <w:marRight w:val="0"/>
                  <w:marTop w:val="120"/>
                  <w:marBottom w:val="0"/>
                  <w:divBdr>
                    <w:top w:val="none" w:sz="0" w:space="0" w:color="auto"/>
                    <w:left w:val="none" w:sz="0" w:space="0" w:color="auto"/>
                    <w:bottom w:val="none" w:sz="0" w:space="0" w:color="auto"/>
                    <w:right w:val="none" w:sz="0" w:space="0" w:color="auto"/>
                  </w:divBdr>
                </w:div>
              </w:divsChild>
            </w:div>
            <w:div w:id="2061047886">
              <w:marLeft w:val="0"/>
              <w:marRight w:val="0"/>
              <w:marTop w:val="0"/>
              <w:marBottom w:val="0"/>
              <w:divBdr>
                <w:top w:val="none" w:sz="0" w:space="0" w:color="auto"/>
                <w:left w:val="none" w:sz="0" w:space="0" w:color="auto"/>
                <w:bottom w:val="none" w:sz="0" w:space="0" w:color="auto"/>
                <w:right w:val="none" w:sz="0" w:space="0" w:color="auto"/>
              </w:divBdr>
              <w:divsChild>
                <w:div w:id="1817911945">
                  <w:marLeft w:val="0"/>
                  <w:marRight w:val="0"/>
                  <w:marTop w:val="0"/>
                  <w:marBottom w:val="0"/>
                  <w:divBdr>
                    <w:top w:val="none" w:sz="0" w:space="0" w:color="auto"/>
                    <w:left w:val="none" w:sz="0" w:space="0" w:color="auto"/>
                    <w:bottom w:val="none" w:sz="0" w:space="0" w:color="auto"/>
                    <w:right w:val="none" w:sz="0" w:space="0" w:color="auto"/>
                  </w:divBdr>
                </w:div>
                <w:div w:id="18496324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87723304">
          <w:marLeft w:val="0"/>
          <w:marRight w:val="0"/>
          <w:marTop w:val="120"/>
          <w:marBottom w:val="0"/>
          <w:divBdr>
            <w:top w:val="none" w:sz="0" w:space="0" w:color="auto"/>
            <w:left w:val="none" w:sz="0" w:space="0" w:color="auto"/>
            <w:bottom w:val="none" w:sz="0" w:space="0" w:color="auto"/>
            <w:right w:val="none" w:sz="0" w:space="0" w:color="auto"/>
          </w:divBdr>
        </w:div>
      </w:divsChild>
    </w:div>
    <w:div w:id="767891447">
      <w:bodyDiv w:val="1"/>
      <w:marLeft w:val="0"/>
      <w:marRight w:val="0"/>
      <w:marTop w:val="0"/>
      <w:marBottom w:val="0"/>
      <w:divBdr>
        <w:top w:val="none" w:sz="0" w:space="0" w:color="auto"/>
        <w:left w:val="none" w:sz="0" w:space="0" w:color="auto"/>
        <w:bottom w:val="none" w:sz="0" w:space="0" w:color="auto"/>
        <w:right w:val="none" w:sz="0" w:space="0" w:color="auto"/>
      </w:divBdr>
    </w:div>
    <w:div w:id="786192519">
      <w:bodyDiv w:val="1"/>
      <w:marLeft w:val="0"/>
      <w:marRight w:val="0"/>
      <w:marTop w:val="0"/>
      <w:marBottom w:val="0"/>
      <w:divBdr>
        <w:top w:val="none" w:sz="0" w:space="0" w:color="auto"/>
        <w:left w:val="none" w:sz="0" w:space="0" w:color="auto"/>
        <w:bottom w:val="none" w:sz="0" w:space="0" w:color="auto"/>
        <w:right w:val="none" w:sz="0" w:space="0" w:color="auto"/>
      </w:divBdr>
      <w:divsChild>
        <w:div w:id="1735078973">
          <w:marLeft w:val="0"/>
          <w:marRight w:val="0"/>
          <w:marTop w:val="0"/>
          <w:marBottom w:val="0"/>
          <w:divBdr>
            <w:top w:val="none" w:sz="0" w:space="0" w:color="auto"/>
            <w:left w:val="none" w:sz="0" w:space="0" w:color="auto"/>
            <w:bottom w:val="none" w:sz="0" w:space="0" w:color="auto"/>
            <w:right w:val="none" w:sz="0" w:space="0" w:color="auto"/>
          </w:divBdr>
          <w:divsChild>
            <w:div w:id="346563197">
              <w:marLeft w:val="0"/>
              <w:marRight w:val="0"/>
              <w:marTop w:val="0"/>
              <w:marBottom w:val="0"/>
              <w:divBdr>
                <w:top w:val="none" w:sz="0" w:space="0" w:color="auto"/>
                <w:left w:val="none" w:sz="0" w:space="0" w:color="auto"/>
                <w:bottom w:val="none" w:sz="0" w:space="0" w:color="auto"/>
                <w:right w:val="none" w:sz="0" w:space="0" w:color="auto"/>
              </w:divBdr>
              <w:divsChild>
                <w:div w:id="1262372509">
                  <w:marLeft w:val="0"/>
                  <w:marRight w:val="0"/>
                  <w:marTop w:val="0"/>
                  <w:marBottom w:val="0"/>
                  <w:divBdr>
                    <w:top w:val="none" w:sz="0" w:space="0" w:color="auto"/>
                    <w:left w:val="none" w:sz="0" w:space="0" w:color="auto"/>
                    <w:bottom w:val="none" w:sz="0" w:space="0" w:color="auto"/>
                    <w:right w:val="none" w:sz="0" w:space="0" w:color="auto"/>
                  </w:divBdr>
                </w:div>
                <w:div w:id="1758867241">
                  <w:marLeft w:val="0"/>
                  <w:marRight w:val="0"/>
                  <w:marTop w:val="120"/>
                  <w:marBottom w:val="0"/>
                  <w:divBdr>
                    <w:top w:val="none" w:sz="0" w:space="0" w:color="auto"/>
                    <w:left w:val="none" w:sz="0" w:space="0" w:color="auto"/>
                    <w:bottom w:val="none" w:sz="0" w:space="0" w:color="auto"/>
                    <w:right w:val="none" w:sz="0" w:space="0" w:color="auto"/>
                  </w:divBdr>
                </w:div>
              </w:divsChild>
            </w:div>
            <w:div w:id="582690608">
              <w:marLeft w:val="0"/>
              <w:marRight w:val="0"/>
              <w:marTop w:val="0"/>
              <w:marBottom w:val="0"/>
              <w:divBdr>
                <w:top w:val="none" w:sz="0" w:space="0" w:color="auto"/>
                <w:left w:val="none" w:sz="0" w:space="0" w:color="auto"/>
                <w:bottom w:val="none" w:sz="0" w:space="0" w:color="auto"/>
                <w:right w:val="none" w:sz="0" w:space="0" w:color="auto"/>
              </w:divBdr>
              <w:divsChild>
                <w:div w:id="411397469">
                  <w:marLeft w:val="0"/>
                  <w:marRight w:val="0"/>
                  <w:marTop w:val="0"/>
                  <w:marBottom w:val="0"/>
                  <w:divBdr>
                    <w:top w:val="none" w:sz="0" w:space="0" w:color="auto"/>
                    <w:left w:val="none" w:sz="0" w:space="0" w:color="auto"/>
                    <w:bottom w:val="none" w:sz="0" w:space="0" w:color="auto"/>
                    <w:right w:val="none" w:sz="0" w:space="0" w:color="auto"/>
                  </w:divBdr>
                </w:div>
                <w:div w:id="1104960365">
                  <w:marLeft w:val="0"/>
                  <w:marRight w:val="0"/>
                  <w:marTop w:val="120"/>
                  <w:marBottom w:val="0"/>
                  <w:divBdr>
                    <w:top w:val="none" w:sz="0" w:space="0" w:color="auto"/>
                    <w:left w:val="none" w:sz="0" w:space="0" w:color="auto"/>
                    <w:bottom w:val="none" w:sz="0" w:space="0" w:color="auto"/>
                    <w:right w:val="none" w:sz="0" w:space="0" w:color="auto"/>
                  </w:divBdr>
                </w:div>
              </w:divsChild>
            </w:div>
            <w:div w:id="1793597027">
              <w:marLeft w:val="0"/>
              <w:marRight w:val="0"/>
              <w:marTop w:val="0"/>
              <w:marBottom w:val="0"/>
              <w:divBdr>
                <w:top w:val="none" w:sz="0" w:space="0" w:color="auto"/>
                <w:left w:val="none" w:sz="0" w:space="0" w:color="auto"/>
                <w:bottom w:val="none" w:sz="0" w:space="0" w:color="auto"/>
                <w:right w:val="none" w:sz="0" w:space="0" w:color="auto"/>
              </w:divBdr>
              <w:divsChild>
                <w:div w:id="372388717">
                  <w:marLeft w:val="0"/>
                  <w:marRight w:val="0"/>
                  <w:marTop w:val="120"/>
                  <w:marBottom w:val="0"/>
                  <w:divBdr>
                    <w:top w:val="none" w:sz="0" w:space="0" w:color="auto"/>
                    <w:left w:val="none" w:sz="0" w:space="0" w:color="auto"/>
                    <w:bottom w:val="none" w:sz="0" w:space="0" w:color="auto"/>
                    <w:right w:val="none" w:sz="0" w:space="0" w:color="auto"/>
                  </w:divBdr>
                </w:div>
                <w:div w:id="1885755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6850446">
      <w:bodyDiv w:val="1"/>
      <w:marLeft w:val="0"/>
      <w:marRight w:val="0"/>
      <w:marTop w:val="0"/>
      <w:marBottom w:val="0"/>
      <w:divBdr>
        <w:top w:val="none" w:sz="0" w:space="0" w:color="auto"/>
        <w:left w:val="none" w:sz="0" w:space="0" w:color="auto"/>
        <w:bottom w:val="none" w:sz="0" w:space="0" w:color="auto"/>
        <w:right w:val="none" w:sz="0" w:space="0" w:color="auto"/>
      </w:divBdr>
    </w:div>
    <w:div w:id="787511068">
      <w:bodyDiv w:val="1"/>
      <w:marLeft w:val="0"/>
      <w:marRight w:val="0"/>
      <w:marTop w:val="0"/>
      <w:marBottom w:val="0"/>
      <w:divBdr>
        <w:top w:val="none" w:sz="0" w:space="0" w:color="auto"/>
        <w:left w:val="none" w:sz="0" w:space="0" w:color="auto"/>
        <w:bottom w:val="none" w:sz="0" w:space="0" w:color="auto"/>
        <w:right w:val="none" w:sz="0" w:space="0" w:color="auto"/>
      </w:divBdr>
      <w:divsChild>
        <w:div w:id="695427343">
          <w:marLeft w:val="0"/>
          <w:marRight w:val="0"/>
          <w:marTop w:val="0"/>
          <w:marBottom w:val="0"/>
          <w:divBdr>
            <w:top w:val="none" w:sz="0" w:space="0" w:color="auto"/>
            <w:left w:val="none" w:sz="0" w:space="0" w:color="auto"/>
            <w:bottom w:val="none" w:sz="0" w:space="0" w:color="auto"/>
            <w:right w:val="none" w:sz="0" w:space="0" w:color="auto"/>
          </w:divBdr>
        </w:div>
      </w:divsChild>
    </w:div>
    <w:div w:id="803427930">
      <w:bodyDiv w:val="1"/>
      <w:marLeft w:val="0"/>
      <w:marRight w:val="0"/>
      <w:marTop w:val="0"/>
      <w:marBottom w:val="0"/>
      <w:divBdr>
        <w:top w:val="none" w:sz="0" w:space="0" w:color="auto"/>
        <w:left w:val="none" w:sz="0" w:space="0" w:color="auto"/>
        <w:bottom w:val="none" w:sz="0" w:space="0" w:color="auto"/>
        <w:right w:val="none" w:sz="0" w:space="0" w:color="auto"/>
      </w:divBdr>
    </w:div>
    <w:div w:id="805975102">
      <w:bodyDiv w:val="1"/>
      <w:marLeft w:val="0"/>
      <w:marRight w:val="0"/>
      <w:marTop w:val="0"/>
      <w:marBottom w:val="0"/>
      <w:divBdr>
        <w:top w:val="none" w:sz="0" w:space="0" w:color="auto"/>
        <w:left w:val="none" w:sz="0" w:space="0" w:color="auto"/>
        <w:bottom w:val="none" w:sz="0" w:space="0" w:color="auto"/>
        <w:right w:val="none" w:sz="0" w:space="0" w:color="auto"/>
      </w:divBdr>
      <w:divsChild>
        <w:div w:id="2048949898">
          <w:marLeft w:val="0"/>
          <w:marRight w:val="0"/>
          <w:marTop w:val="0"/>
          <w:marBottom w:val="0"/>
          <w:divBdr>
            <w:top w:val="none" w:sz="0" w:space="0" w:color="auto"/>
            <w:left w:val="none" w:sz="0" w:space="0" w:color="auto"/>
            <w:bottom w:val="none" w:sz="0" w:space="0" w:color="auto"/>
            <w:right w:val="none" w:sz="0" w:space="0" w:color="auto"/>
          </w:divBdr>
          <w:divsChild>
            <w:div w:id="1122772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714565">
      <w:bodyDiv w:val="1"/>
      <w:marLeft w:val="0"/>
      <w:marRight w:val="0"/>
      <w:marTop w:val="0"/>
      <w:marBottom w:val="0"/>
      <w:divBdr>
        <w:top w:val="none" w:sz="0" w:space="0" w:color="auto"/>
        <w:left w:val="none" w:sz="0" w:space="0" w:color="auto"/>
        <w:bottom w:val="none" w:sz="0" w:space="0" w:color="auto"/>
        <w:right w:val="none" w:sz="0" w:space="0" w:color="auto"/>
      </w:divBdr>
      <w:divsChild>
        <w:div w:id="2016498962">
          <w:marLeft w:val="0"/>
          <w:marRight w:val="0"/>
          <w:marTop w:val="0"/>
          <w:marBottom w:val="0"/>
          <w:divBdr>
            <w:top w:val="none" w:sz="0" w:space="0" w:color="auto"/>
            <w:left w:val="none" w:sz="0" w:space="0" w:color="auto"/>
            <w:bottom w:val="none" w:sz="0" w:space="0" w:color="auto"/>
            <w:right w:val="none" w:sz="0" w:space="0" w:color="auto"/>
          </w:divBdr>
        </w:div>
      </w:divsChild>
    </w:div>
    <w:div w:id="855273056">
      <w:bodyDiv w:val="1"/>
      <w:marLeft w:val="0"/>
      <w:marRight w:val="0"/>
      <w:marTop w:val="0"/>
      <w:marBottom w:val="0"/>
      <w:divBdr>
        <w:top w:val="none" w:sz="0" w:space="0" w:color="auto"/>
        <w:left w:val="none" w:sz="0" w:space="0" w:color="auto"/>
        <w:bottom w:val="none" w:sz="0" w:space="0" w:color="auto"/>
        <w:right w:val="none" w:sz="0" w:space="0" w:color="auto"/>
      </w:divBdr>
      <w:divsChild>
        <w:div w:id="1699548132">
          <w:marLeft w:val="0"/>
          <w:marRight w:val="0"/>
          <w:marTop w:val="0"/>
          <w:marBottom w:val="0"/>
          <w:divBdr>
            <w:top w:val="none" w:sz="0" w:space="0" w:color="auto"/>
            <w:left w:val="none" w:sz="0" w:space="0" w:color="auto"/>
            <w:bottom w:val="none" w:sz="0" w:space="0" w:color="auto"/>
            <w:right w:val="none" w:sz="0" w:space="0" w:color="auto"/>
          </w:divBdr>
          <w:divsChild>
            <w:div w:id="1707753012">
              <w:marLeft w:val="0"/>
              <w:marRight w:val="0"/>
              <w:marTop w:val="0"/>
              <w:marBottom w:val="0"/>
              <w:divBdr>
                <w:top w:val="none" w:sz="0" w:space="0" w:color="auto"/>
                <w:left w:val="none" w:sz="0" w:space="0" w:color="auto"/>
                <w:bottom w:val="none" w:sz="0" w:space="0" w:color="auto"/>
                <w:right w:val="none" w:sz="0" w:space="0" w:color="auto"/>
              </w:divBdr>
            </w:div>
          </w:divsChild>
        </w:div>
        <w:div w:id="1724480418">
          <w:marLeft w:val="0"/>
          <w:marRight w:val="0"/>
          <w:marTop w:val="0"/>
          <w:marBottom w:val="0"/>
          <w:divBdr>
            <w:top w:val="none" w:sz="0" w:space="0" w:color="auto"/>
            <w:left w:val="none" w:sz="0" w:space="0" w:color="auto"/>
            <w:bottom w:val="none" w:sz="0" w:space="0" w:color="auto"/>
            <w:right w:val="none" w:sz="0" w:space="0" w:color="auto"/>
          </w:divBdr>
          <w:divsChild>
            <w:div w:id="918365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699773">
      <w:bodyDiv w:val="1"/>
      <w:marLeft w:val="0"/>
      <w:marRight w:val="0"/>
      <w:marTop w:val="0"/>
      <w:marBottom w:val="0"/>
      <w:divBdr>
        <w:top w:val="none" w:sz="0" w:space="0" w:color="auto"/>
        <w:left w:val="none" w:sz="0" w:space="0" w:color="auto"/>
        <w:bottom w:val="none" w:sz="0" w:space="0" w:color="auto"/>
        <w:right w:val="none" w:sz="0" w:space="0" w:color="auto"/>
      </w:divBdr>
    </w:div>
    <w:div w:id="886382468">
      <w:bodyDiv w:val="1"/>
      <w:marLeft w:val="0"/>
      <w:marRight w:val="0"/>
      <w:marTop w:val="0"/>
      <w:marBottom w:val="0"/>
      <w:divBdr>
        <w:top w:val="none" w:sz="0" w:space="0" w:color="auto"/>
        <w:left w:val="none" w:sz="0" w:space="0" w:color="auto"/>
        <w:bottom w:val="none" w:sz="0" w:space="0" w:color="auto"/>
        <w:right w:val="none" w:sz="0" w:space="0" w:color="auto"/>
      </w:divBdr>
    </w:div>
    <w:div w:id="895746529">
      <w:bodyDiv w:val="1"/>
      <w:marLeft w:val="0"/>
      <w:marRight w:val="0"/>
      <w:marTop w:val="0"/>
      <w:marBottom w:val="0"/>
      <w:divBdr>
        <w:top w:val="none" w:sz="0" w:space="0" w:color="auto"/>
        <w:left w:val="none" w:sz="0" w:space="0" w:color="auto"/>
        <w:bottom w:val="none" w:sz="0" w:space="0" w:color="auto"/>
        <w:right w:val="none" w:sz="0" w:space="0" w:color="auto"/>
      </w:divBdr>
      <w:divsChild>
        <w:div w:id="356275217">
          <w:marLeft w:val="0"/>
          <w:marRight w:val="0"/>
          <w:marTop w:val="0"/>
          <w:marBottom w:val="0"/>
          <w:divBdr>
            <w:top w:val="none" w:sz="0" w:space="0" w:color="auto"/>
            <w:left w:val="none" w:sz="0" w:space="0" w:color="auto"/>
            <w:bottom w:val="none" w:sz="0" w:space="0" w:color="auto"/>
            <w:right w:val="none" w:sz="0" w:space="0" w:color="auto"/>
          </w:divBdr>
          <w:divsChild>
            <w:div w:id="1790664734">
              <w:marLeft w:val="0"/>
              <w:marRight w:val="0"/>
              <w:marTop w:val="0"/>
              <w:marBottom w:val="0"/>
              <w:divBdr>
                <w:top w:val="none" w:sz="0" w:space="0" w:color="auto"/>
                <w:left w:val="none" w:sz="0" w:space="0" w:color="auto"/>
                <w:bottom w:val="none" w:sz="0" w:space="0" w:color="auto"/>
                <w:right w:val="none" w:sz="0" w:space="0" w:color="auto"/>
              </w:divBdr>
            </w:div>
          </w:divsChild>
        </w:div>
        <w:div w:id="426074871">
          <w:marLeft w:val="0"/>
          <w:marRight w:val="0"/>
          <w:marTop w:val="0"/>
          <w:marBottom w:val="0"/>
          <w:divBdr>
            <w:top w:val="none" w:sz="0" w:space="0" w:color="auto"/>
            <w:left w:val="none" w:sz="0" w:space="0" w:color="auto"/>
            <w:bottom w:val="none" w:sz="0" w:space="0" w:color="auto"/>
            <w:right w:val="none" w:sz="0" w:space="0" w:color="auto"/>
          </w:divBdr>
          <w:divsChild>
            <w:div w:id="1115170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477106">
      <w:bodyDiv w:val="1"/>
      <w:marLeft w:val="0"/>
      <w:marRight w:val="0"/>
      <w:marTop w:val="0"/>
      <w:marBottom w:val="0"/>
      <w:divBdr>
        <w:top w:val="none" w:sz="0" w:space="0" w:color="auto"/>
        <w:left w:val="none" w:sz="0" w:space="0" w:color="auto"/>
        <w:bottom w:val="none" w:sz="0" w:space="0" w:color="auto"/>
        <w:right w:val="none" w:sz="0" w:space="0" w:color="auto"/>
      </w:divBdr>
      <w:divsChild>
        <w:div w:id="38013921">
          <w:marLeft w:val="0"/>
          <w:marRight w:val="0"/>
          <w:marTop w:val="0"/>
          <w:marBottom w:val="0"/>
          <w:divBdr>
            <w:top w:val="none" w:sz="0" w:space="0" w:color="auto"/>
            <w:left w:val="none" w:sz="0" w:space="0" w:color="auto"/>
            <w:bottom w:val="none" w:sz="0" w:space="0" w:color="auto"/>
            <w:right w:val="none" w:sz="0" w:space="0" w:color="auto"/>
          </w:divBdr>
        </w:div>
      </w:divsChild>
    </w:div>
    <w:div w:id="897477639">
      <w:bodyDiv w:val="1"/>
      <w:marLeft w:val="0"/>
      <w:marRight w:val="0"/>
      <w:marTop w:val="0"/>
      <w:marBottom w:val="0"/>
      <w:divBdr>
        <w:top w:val="none" w:sz="0" w:space="0" w:color="auto"/>
        <w:left w:val="none" w:sz="0" w:space="0" w:color="auto"/>
        <w:bottom w:val="none" w:sz="0" w:space="0" w:color="auto"/>
        <w:right w:val="none" w:sz="0" w:space="0" w:color="auto"/>
      </w:divBdr>
      <w:divsChild>
        <w:div w:id="695741561">
          <w:marLeft w:val="0"/>
          <w:marRight w:val="0"/>
          <w:marTop w:val="0"/>
          <w:marBottom w:val="0"/>
          <w:divBdr>
            <w:top w:val="none" w:sz="0" w:space="0" w:color="auto"/>
            <w:left w:val="none" w:sz="0" w:space="0" w:color="auto"/>
            <w:bottom w:val="none" w:sz="0" w:space="0" w:color="auto"/>
            <w:right w:val="none" w:sz="0" w:space="0" w:color="auto"/>
          </w:divBdr>
          <w:divsChild>
            <w:div w:id="986401595">
              <w:marLeft w:val="0"/>
              <w:marRight w:val="0"/>
              <w:marTop w:val="0"/>
              <w:marBottom w:val="0"/>
              <w:divBdr>
                <w:top w:val="none" w:sz="0" w:space="0" w:color="auto"/>
                <w:left w:val="none" w:sz="0" w:space="0" w:color="auto"/>
                <w:bottom w:val="none" w:sz="0" w:space="0" w:color="auto"/>
                <w:right w:val="none" w:sz="0" w:space="0" w:color="auto"/>
              </w:divBdr>
            </w:div>
          </w:divsChild>
        </w:div>
        <w:div w:id="1932540026">
          <w:marLeft w:val="0"/>
          <w:marRight w:val="0"/>
          <w:marTop w:val="0"/>
          <w:marBottom w:val="0"/>
          <w:divBdr>
            <w:top w:val="none" w:sz="0" w:space="0" w:color="auto"/>
            <w:left w:val="none" w:sz="0" w:space="0" w:color="auto"/>
            <w:bottom w:val="none" w:sz="0" w:space="0" w:color="auto"/>
            <w:right w:val="none" w:sz="0" w:space="0" w:color="auto"/>
          </w:divBdr>
          <w:divsChild>
            <w:div w:id="1776829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794999">
      <w:bodyDiv w:val="1"/>
      <w:marLeft w:val="0"/>
      <w:marRight w:val="0"/>
      <w:marTop w:val="0"/>
      <w:marBottom w:val="0"/>
      <w:divBdr>
        <w:top w:val="none" w:sz="0" w:space="0" w:color="auto"/>
        <w:left w:val="none" w:sz="0" w:space="0" w:color="auto"/>
        <w:bottom w:val="none" w:sz="0" w:space="0" w:color="auto"/>
        <w:right w:val="none" w:sz="0" w:space="0" w:color="auto"/>
      </w:divBdr>
      <w:divsChild>
        <w:div w:id="389115098">
          <w:marLeft w:val="0"/>
          <w:marRight w:val="0"/>
          <w:marTop w:val="0"/>
          <w:marBottom w:val="0"/>
          <w:divBdr>
            <w:top w:val="none" w:sz="0" w:space="0" w:color="auto"/>
            <w:left w:val="none" w:sz="0" w:space="0" w:color="auto"/>
            <w:bottom w:val="none" w:sz="0" w:space="0" w:color="auto"/>
            <w:right w:val="none" w:sz="0" w:space="0" w:color="auto"/>
          </w:divBdr>
          <w:divsChild>
            <w:div w:id="1720200542">
              <w:marLeft w:val="0"/>
              <w:marRight w:val="0"/>
              <w:marTop w:val="0"/>
              <w:marBottom w:val="0"/>
              <w:divBdr>
                <w:top w:val="none" w:sz="0" w:space="0" w:color="auto"/>
                <w:left w:val="none" w:sz="0" w:space="0" w:color="auto"/>
                <w:bottom w:val="none" w:sz="0" w:space="0" w:color="auto"/>
                <w:right w:val="none" w:sz="0" w:space="0" w:color="auto"/>
              </w:divBdr>
            </w:div>
          </w:divsChild>
        </w:div>
        <w:div w:id="594284995">
          <w:marLeft w:val="0"/>
          <w:marRight w:val="0"/>
          <w:marTop w:val="0"/>
          <w:marBottom w:val="0"/>
          <w:divBdr>
            <w:top w:val="none" w:sz="0" w:space="0" w:color="auto"/>
            <w:left w:val="none" w:sz="0" w:space="0" w:color="auto"/>
            <w:bottom w:val="none" w:sz="0" w:space="0" w:color="auto"/>
            <w:right w:val="none" w:sz="0" w:space="0" w:color="auto"/>
          </w:divBdr>
          <w:divsChild>
            <w:div w:id="155267767">
              <w:marLeft w:val="0"/>
              <w:marRight w:val="0"/>
              <w:marTop w:val="120"/>
              <w:marBottom w:val="0"/>
              <w:divBdr>
                <w:top w:val="none" w:sz="0" w:space="0" w:color="auto"/>
                <w:left w:val="none" w:sz="0" w:space="0" w:color="auto"/>
                <w:bottom w:val="none" w:sz="0" w:space="0" w:color="auto"/>
                <w:right w:val="none" w:sz="0" w:space="0" w:color="auto"/>
              </w:divBdr>
            </w:div>
            <w:div w:id="576936594">
              <w:marLeft w:val="0"/>
              <w:marRight w:val="0"/>
              <w:marTop w:val="0"/>
              <w:marBottom w:val="0"/>
              <w:divBdr>
                <w:top w:val="none" w:sz="0" w:space="0" w:color="auto"/>
                <w:left w:val="none" w:sz="0" w:space="0" w:color="auto"/>
                <w:bottom w:val="none" w:sz="0" w:space="0" w:color="auto"/>
                <w:right w:val="none" w:sz="0" w:space="0" w:color="auto"/>
              </w:divBdr>
            </w:div>
          </w:divsChild>
        </w:div>
        <w:div w:id="1030178896">
          <w:marLeft w:val="0"/>
          <w:marRight w:val="0"/>
          <w:marTop w:val="0"/>
          <w:marBottom w:val="0"/>
          <w:divBdr>
            <w:top w:val="none" w:sz="0" w:space="0" w:color="auto"/>
            <w:left w:val="none" w:sz="0" w:space="0" w:color="auto"/>
            <w:bottom w:val="none" w:sz="0" w:space="0" w:color="auto"/>
            <w:right w:val="none" w:sz="0" w:space="0" w:color="auto"/>
          </w:divBdr>
          <w:divsChild>
            <w:div w:id="1801877038">
              <w:marLeft w:val="0"/>
              <w:marRight w:val="0"/>
              <w:marTop w:val="120"/>
              <w:marBottom w:val="0"/>
              <w:divBdr>
                <w:top w:val="none" w:sz="0" w:space="0" w:color="auto"/>
                <w:left w:val="none" w:sz="0" w:space="0" w:color="auto"/>
                <w:bottom w:val="none" w:sz="0" w:space="0" w:color="auto"/>
                <w:right w:val="none" w:sz="0" w:space="0" w:color="auto"/>
              </w:divBdr>
            </w:div>
            <w:div w:id="1808665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540848">
      <w:bodyDiv w:val="1"/>
      <w:marLeft w:val="0"/>
      <w:marRight w:val="0"/>
      <w:marTop w:val="0"/>
      <w:marBottom w:val="0"/>
      <w:divBdr>
        <w:top w:val="none" w:sz="0" w:space="0" w:color="auto"/>
        <w:left w:val="none" w:sz="0" w:space="0" w:color="auto"/>
        <w:bottom w:val="none" w:sz="0" w:space="0" w:color="auto"/>
        <w:right w:val="none" w:sz="0" w:space="0" w:color="auto"/>
      </w:divBdr>
      <w:divsChild>
        <w:div w:id="1714426195">
          <w:marLeft w:val="0"/>
          <w:marRight w:val="0"/>
          <w:marTop w:val="0"/>
          <w:marBottom w:val="0"/>
          <w:divBdr>
            <w:top w:val="none" w:sz="0" w:space="0" w:color="auto"/>
            <w:left w:val="none" w:sz="0" w:space="0" w:color="auto"/>
            <w:bottom w:val="none" w:sz="0" w:space="0" w:color="auto"/>
            <w:right w:val="none" w:sz="0" w:space="0" w:color="auto"/>
          </w:divBdr>
          <w:divsChild>
            <w:div w:id="1076825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510216">
      <w:bodyDiv w:val="1"/>
      <w:marLeft w:val="0"/>
      <w:marRight w:val="0"/>
      <w:marTop w:val="0"/>
      <w:marBottom w:val="0"/>
      <w:divBdr>
        <w:top w:val="none" w:sz="0" w:space="0" w:color="auto"/>
        <w:left w:val="none" w:sz="0" w:space="0" w:color="auto"/>
        <w:bottom w:val="none" w:sz="0" w:space="0" w:color="auto"/>
        <w:right w:val="none" w:sz="0" w:space="0" w:color="auto"/>
      </w:divBdr>
      <w:divsChild>
        <w:div w:id="1144660642">
          <w:marLeft w:val="0"/>
          <w:marRight w:val="0"/>
          <w:marTop w:val="0"/>
          <w:marBottom w:val="0"/>
          <w:divBdr>
            <w:top w:val="none" w:sz="0" w:space="0" w:color="auto"/>
            <w:left w:val="none" w:sz="0" w:space="0" w:color="auto"/>
            <w:bottom w:val="none" w:sz="0" w:space="0" w:color="auto"/>
            <w:right w:val="none" w:sz="0" w:space="0" w:color="auto"/>
          </w:divBdr>
          <w:divsChild>
            <w:div w:id="17792491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826431">
      <w:bodyDiv w:val="1"/>
      <w:marLeft w:val="0"/>
      <w:marRight w:val="0"/>
      <w:marTop w:val="0"/>
      <w:marBottom w:val="0"/>
      <w:divBdr>
        <w:top w:val="none" w:sz="0" w:space="0" w:color="auto"/>
        <w:left w:val="none" w:sz="0" w:space="0" w:color="auto"/>
        <w:bottom w:val="none" w:sz="0" w:space="0" w:color="auto"/>
        <w:right w:val="none" w:sz="0" w:space="0" w:color="auto"/>
      </w:divBdr>
      <w:divsChild>
        <w:div w:id="1792357414">
          <w:marLeft w:val="0"/>
          <w:marRight w:val="0"/>
          <w:marTop w:val="0"/>
          <w:marBottom w:val="0"/>
          <w:divBdr>
            <w:top w:val="none" w:sz="0" w:space="0" w:color="auto"/>
            <w:left w:val="none" w:sz="0" w:space="0" w:color="auto"/>
            <w:bottom w:val="none" w:sz="0" w:space="0" w:color="auto"/>
            <w:right w:val="none" w:sz="0" w:space="0" w:color="auto"/>
          </w:divBdr>
        </w:div>
      </w:divsChild>
    </w:div>
    <w:div w:id="917057881">
      <w:bodyDiv w:val="1"/>
      <w:marLeft w:val="0"/>
      <w:marRight w:val="0"/>
      <w:marTop w:val="0"/>
      <w:marBottom w:val="0"/>
      <w:divBdr>
        <w:top w:val="none" w:sz="0" w:space="0" w:color="auto"/>
        <w:left w:val="none" w:sz="0" w:space="0" w:color="auto"/>
        <w:bottom w:val="none" w:sz="0" w:space="0" w:color="auto"/>
        <w:right w:val="none" w:sz="0" w:space="0" w:color="auto"/>
      </w:divBdr>
      <w:divsChild>
        <w:div w:id="17585773">
          <w:marLeft w:val="0"/>
          <w:marRight w:val="0"/>
          <w:marTop w:val="0"/>
          <w:marBottom w:val="0"/>
          <w:divBdr>
            <w:top w:val="none" w:sz="0" w:space="0" w:color="auto"/>
            <w:left w:val="none" w:sz="0" w:space="0" w:color="auto"/>
            <w:bottom w:val="none" w:sz="0" w:space="0" w:color="auto"/>
            <w:right w:val="none" w:sz="0" w:space="0" w:color="auto"/>
          </w:divBdr>
        </w:div>
      </w:divsChild>
    </w:div>
    <w:div w:id="917835524">
      <w:bodyDiv w:val="1"/>
      <w:marLeft w:val="0"/>
      <w:marRight w:val="0"/>
      <w:marTop w:val="0"/>
      <w:marBottom w:val="0"/>
      <w:divBdr>
        <w:top w:val="none" w:sz="0" w:space="0" w:color="auto"/>
        <w:left w:val="none" w:sz="0" w:space="0" w:color="auto"/>
        <w:bottom w:val="none" w:sz="0" w:space="0" w:color="auto"/>
        <w:right w:val="none" w:sz="0" w:space="0" w:color="auto"/>
      </w:divBdr>
      <w:divsChild>
        <w:div w:id="852183500">
          <w:marLeft w:val="0"/>
          <w:marRight w:val="0"/>
          <w:marTop w:val="0"/>
          <w:marBottom w:val="0"/>
          <w:divBdr>
            <w:top w:val="none" w:sz="0" w:space="0" w:color="auto"/>
            <w:left w:val="none" w:sz="0" w:space="0" w:color="auto"/>
            <w:bottom w:val="none" w:sz="0" w:space="0" w:color="auto"/>
            <w:right w:val="none" w:sz="0" w:space="0" w:color="auto"/>
          </w:divBdr>
        </w:div>
        <w:div w:id="1221748244">
          <w:marLeft w:val="0"/>
          <w:marRight w:val="0"/>
          <w:marTop w:val="120"/>
          <w:marBottom w:val="0"/>
          <w:divBdr>
            <w:top w:val="none" w:sz="0" w:space="0" w:color="auto"/>
            <w:left w:val="none" w:sz="0" w:space="0" w:color="auto"/>
            <w:bottom w:val="none" w:sz="0" w:space="0" w:color="auto"/>
            <w:right w:val="none" w:sz="0" w:space="0" w:color="auto"/>
          </w:divBdr>
        </w:div>
      </w:divsChild>
    </w:div>
    <w:div w:id="921716592">
      <w:bodyDiv w:val="1"/>
      <w:marLeft w:val="0"/>
      <w:marRight w:val="0"/>
      <w:marTop w:val="0"/>
      <w:marBottom w:val="0"/>
      <w:divBdr>
        <w:top w:val="none" w:sz="0" w:space="0" w:color="auto"/>
        <w:left w:val="none" w:sz="0" w:space="0" w:color="auto"/>
        <w:bottom w:val="none" w:sz="0" w:space="0" w:color="auto"/>
        <w:right w:val="none" w:sz="0" w:space="0" w:color="auto"/>
      </w:divBdr>
      <w:divsChild>
        <w:div w:id="802112568">
          <w:marLeft w:val="0"/>
          <w:marRight w:val="0"/>
          <w:marTop w:val="0"/>
          <w:marBottom w:val="0"/>
          <w:divBdr>
            <w:top w:val="none" w:sz="0" w:space="0" w:color="auto"/>
            <w:left w:val="none" w:sz="0" w:space="0" w:color="auto"/>
            <w:bottom w:val="none" w:sz="0" w:space="0" w:color="auto"/>
            <w:right w:val="none" w:sz="0" w:space="0" w:color="auto"/>
          </w:divBdr>
          <w:divsChild>
            <w:div w:id="747384096">
              <w:marLeft w:val="0"/>
              <w:marRight w:val="0"/>
              <w:marTop w:val="0"/>
              <w:marBottom w:val="0"/>
              <w:divBdr>
                <w:top w:val="none" w:sz="0" w:space="0" w:color="auto"/>
                <w:left w:val="none" w:sz="0" w:space="0" w:color="auto"/>
                <w:bottom w:val="none" w:sz="0" w:space="0" w:color="auto"/>
                <w:right w:val="none" w:sz="0" w:space="0" w:color="auto"/>
              </w:divBdr>
            </w:div>
            <w:div w:id="1434934726">
              <w:marLeft w:val="0"/>
              <w:marRight w:val="0"/>
              <w:marTop w:val="120"/>
              <w:marBottom w:val="0"/>
              <w:divBdr>
                <w:top w:val="none" w:sz="0" w:space="0" w:color="auto"/>
                <w:left w:val="none" w:sz="0" w:space="0" w:color="auto"/>
                <w:bottom w:val="none" w:sz="0" w:space="0" w:color="auto"/>
                <w:right w:val="none" w:sz="0" w:space="0" w:color="auto"/>
              </w:divBdr>
            </w:div>
          </w:divsChild>
        </w:div>
        <w:div w:id="1720133730">
          <w:marLeft w:val="0"/>
          <w:marRight w:val="0"/>
          <w:marTop w:val="0"/>
          <w:marBottom w:val="0"/>
          <w:divBdr>
            <w:top w:val="none" w:sz="0" w:space="0" w:color="auto"/>
            <w:left w:val="none" w:sz="0" w:space="0" w:color="auto"/>
            <w:bottom w:val="none" w:sz="0" w:space="0" w:color="auto"/>
            <w:right w:val="none" w:sz="0" w:space="0" w:color="auto"/>
          </w:divBdr>
          <w:divsChild>
            <w:div w:id="292177488">
              <w:marLeft w:val="0"/>
              <w:marRight w:val="0"/>
              <w:marTop w:val="120"/>
              <w:marBottom w:val="0"/>
              <w:divBdr>
                <w:top w:val="none" w:sz="0" w:space="0" w:color="auto"/>
                <w:left w:val="none" w:sz="0" w:space="0" w:color="auto"/>
                <w:bottom w:val="none" w:sz="0" w:space="0" w:color="auto"/>
                <w:right w:val="none" w:sz="0" w:space="0" w:color="auto"/>
              </w:divBdr>
            </w:div>
            <w:div w:id="33654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3681786">
      <w:bodyDiv w:val="1"/>
      <w:marLeft w:val="0"/>
      <w:marRight w:val="0"/>
      <w:marTop w:val="0"/>
      <w:marBottom w:val="0"/>
      <w:divBdr>
        <w:top w:val="none" w:sz="0" w:space="0" w:color="auto"/>
        <w:left w:val="none" w:sz="0" w:space="0" w:color="auto"/>
        <w:bottom w:val="none" w:sz="0" w:space="0" w:color="auto"/>
        <w:right w:val="none" w:sz="0" w:space="0" w:color="auto"/>
      </w:divBdr>
      <w:divsChild>
        <w:div w:id="1542984807">
          <w:marLeft w:val="0"/>
          <w:marRight w:val="0"/>
          <w:marTop w:val="0"/>
          <w:marBottom w:val="0"/>
          <w:divBdr>
            <w:top w:val="none" w:sz="0" w:space="0" w:color="auto"/>
            <w:left w:val="none" w:sz="0" w:space="0" w:color="auto"/>
            <w:bottom w:val="none" w:sz="0" w:space="0" w:color="auto"/>
            <w:right w:val="none" w:sz="0" w:space="0" w:color="auto"/>
          </w:divBdr>
        </w:div>
      </w:divsChild>
    </w:div>
    <w:div w:id="930814897">
      <w:bodyDiv w:val="1"/>
      <w:marLeft w:val="0"/>
      <w:marRight w:val="0"/>
      <w:marTop w:val="0"/>
      <w:marBottom w:val="0"/>
      <w:divBdr>
        <w:top w:val="none" w:sz="0" w:space="0" w:color="auto"/>
        <w:left w:val="none" w:sz="0" w:space="0" w:color="auto"/>
        <w:bottom w:val="none" w:sz="0" w:space="0" w:color="auto"/>
        <w:right w:val="none" w:sz="0" w:space="0" w:color="auto"/>
      </w:divBdr>
    </w:div>
    <w:div w:id="934285702">
      <w:bodyDiv w:val="1"/>
      <w:marLeft w:val="0"/>
      <w:marRight w:val="0"/>
      <w:marTop w:val="0"/>
      <w:marBottom w:val="0"/>
      <w:divBdr>
        <w:top w:val="none" w:sz="0" w:space="0" w:color="auto"/>
        <w:left w:val="none" w:sz="0" w:space="0" w:color="auto"/>
        <w:bottom w:val="none" w:sz="0" w:space="0" w:color="auto"/>
        <w:right w:val="none" w:sz="0" w:space="0" w:color="auto"/>
      </w:divBdr>
      <w:divsChild>
        <w:div w:id="130707863">
          <w:marLeft w:val="0"/>
          <w:marRight w:val="0"/>
          <w:marTop w:val="0"/>
          <w:marBottom w:val="0"/>
          <w:divBdr>
            <w:top w:val="none" w:sz="0" w:space="0" w:color="auto"/>
            <w:left w:val="none" w:sz="0" w:space="0" w:color="auto"/>
            <w:bottom w:val="none" w:sz="0" w:space="0" w:color="auto"/>
            <w:right w:val="none" w:sz="0" w:space="0" w:color="auto"/>
          </w:divBdr>
          <w:divsChild>
            <w:div w:id="387843032">
              <w:marLeft w:val="0"/>
              <w:marRight w:val="0"/>
              <w:marTop w:val="0"/>
              <w:marBottom w:val="0"/>
              <w:divBdr>
                <w:top w:val="none" w:sz="0" w:space="0" w:color="auto"/>
                <w:left w:val="none" w:sz="0" w:space="0" w:color="auto"/>
                <w:bottom w:val="none" w:sz="0" w:space="0" w:color="auto"/>
                <w:right w:val="none" w:sz="0" w:space="0" w:color="auto"/>
              </w:divBdr>
            </w:div>
          </w:divsChild>
        </w:div>
        <w:div w:id="1166021424">
          <w:marLeft w:val="0"/>
          <w:marRight w:val="0"/>
          <w:marTop w:val="0"/>
          <w:marBottom w:val="0"/>
          <w:divBdr>
            <w:top w:val="none" w:sz="0" w:space="0" w:color="auto"/>
            <w:left w:val="none" w:sz="0" w:space="0" w:color="auto"/>
            <w:bottom w:val="none" w:sz="0" w:space="0" w:color="auto"/>
            <w:right w:val="none" w:sz="0" w:space="0" w:color="auto"/>
          </w:divBdr>
          <w:divsChild>
            <w:div w:id="150334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120868">
      <w:bodyDiv w:val="1"/>
      <w:marLeft w:val="0"/>
      <w:marRight w:val="0"/>
      <w:marTop w:val="0"/>
      <w:marBottom w:val="0"/>
      <w:divBdr>
        <w:top w:val="none" w:sz="0" w:space="0" w:color="auto"/>
        <w:left w:val="none" w:sz="0" w:space="0" w:color="auto"/>
        <w:bottom w:val="none" w:sz="0" w:space="0" w:color="auto"/>
        <w:right w:val="none" w:sz="0" w:space="0" w:color="auto"/>
      </w:divBdr>
      <w:divsChild>
        <w:div w:id="1339773889">
          <w:marLeft w:val="0"/>
          <w:marRight w:val="0"/>
          <w:marTop w:val="0"/>
          <w:marBottom w:val="0"/>
          <w:divBdr>
            <w:top w:val="none" w:sz="0" w:space="0" w:color="auto"/>
            <w:left w:val="none" w:sz="0" w:space="0" w:color="auto"/>
            <w:bottom w:val="none" w:sz="0" w:space="0" w:color="auto"/>
            <w:right w:val="none" w:sz="0" w:space="0" w:color="auto"/>
          </w:divBdr>
          <w:divsChild>
            <w:div w:id="738407145">
              <w:marLeft w:val="0"/>
              <w:marRight w:val="0"/>
              <w:marTop w:val="0"/>
              <w:marBottom w:val="0"/>
              <w:divBdr>
                <w:top w:val="none" w:sz="0" w:space="0" w:color="auto"/>
                <w:left w:val="none" w:sz="0" w:space="0" w:color="auto"/>
                <w:bottom w:val="none" w:sz="0" w:space="0" w:color="auto"/>
                <w:right w:val="none" w:sz="0" w:space="0" w:color="auto"/>
              </w:divBdr>
              <w:divsChild>
                <w:div w:id="1246837306">
                  <w:marLeft w:val="0"/>
                  <w:marRight w:val="0"/>
                  <w:marTop w:val="120"/>
                  <w:marBottom w:val="0"/>
                  <w:divBdr>
                    <w:top w:val="none" w:sz="0" w:space="0" w:color="auto"/>
                    <w:left w:val="none" w:sz="0" w:space="0" w:color="auto"/>
                    <w:bottom w:val="none" w:sz="0" w:space="0" w:color="auto"/>
                    <w:right w:val="none" w:sz="0" w:space="0" w:color="auto"/>
                  </w:divBdr>
                </w:div>
                <w:div w:id="1315334022">
                  <w:marLeft w:val="0"/>
                  <w:marRight w:val="0"/>
                  <w:marTop w:val="0"/>
                  <w:marBottom w:val="0"/>
                  <w:divBdr>
                    <w:top w:val="none" w:sz="0" w:space="0" w:color="auto"/>
                    <w:left w:val="none" w:sz="0" w:space="0" w:color="auto"/>
                    <w:bottom w:val="none" w:sz="0" w:space="0" w:color="auto"/>
                    <w:right w:val="none" w:sz="0" w:space="0" w:color="auto"/>
                  </w:divBdr>
                </w:div>
              </w:divsChild>
            </w:div>
            <w:div w:id="1001271721">
              <w:marLeft w:val="0"/>
              <w:marRight w:val="0"/>
              <w:marTop w:val="0"/>
              <w:marBottom w:val="0"/>
              <w:divBdr>
                <w:top w:val="none" w:sz="0" w:space="0" w:color="auto"/>
                <w:left w:val="none" w:sz="0" w:space="0" w:color="auto"/>
                <w:bottom w:val="none" w:sz="0" w:space="0" w:color="auto"/>
                <w:right w:val="none" w:sz="0" w:space="0" w:color="auto"/>
              </w:divBdr>
              <w:divsChild>
                <w:div w:id="900753100">
                  <w:marLeft w:val="0"/>
                  <w:marRight w:val="0"/>
                  <w:marTop w:val="0"/>
                  <w:marBottom w:val="0"/>
                  <w:divBdr>
                    <w:top w:val="none" w:sz="0" w:space="0" w:color="auto"/>
                    <w:left w:val="none" w:sz="0" w:space="0" w:color="auto"/>
                    <w:bottom w:val="none" w:sz="0" w:space="0" w:color="auto"/>
                    <w:right w:val="none" w:sz="0" w:space="0" w:color="auto"/>
                  </w:divBdr>
                </w:div>
                <w:div w:id="1915622936">
                  <w:marLeft w:val="0"/>
                  <w:marRight w:val="0"/>
                  <w:marTop w:val="120"/>
                  <w:marBottom w:val="0"/>
                  <w:divBdr>
                    <w:top w:val="none" w:sz="0" w:space="0" w:color="auto"/>
                    <w:left w:val="none" w:sz="0" w:space="0" w:color="auto"/>
                    <w:bottom w:val="none" w:sz="0" w:space="0" w:color="auto"/>
                    <w:right w:val="none" w:sz="0" w:space="0" w:color="auto"/>
                  </w:divBdr>
                </w:div>
              </w:divsChild>
            </w:div>
            <w:div w:id="1238247902">
              <w:marLeft w:val="0"/>
              <w:marRight w:val="0"/>
              <w:marTop w:val="0"/>
              <w:marBottom w:val="0"/>
              <w:divBdr>
                <w:top w:val="none" w:sz="0" w:space="0" w:color="auto"/>
                <w:left w:val="none" w:sz="0" w:space="0" w:color="auto"/>
                <w:bottom w:val="none" w:sz="0" w:space="0" w:color="auto"/>
                <w:right w:val="none" w:sz="0" w:space="0" w:color="auto"/>
              </w:divBdr>
              <w:divsChild>
                <w:div w:id="462576535">
                  <w:marLeft w:val="0"/>
                  <w:marRight w:val="0"/>
                  <w:marTop w:val="120"/>
                  <w:marBottom w:val="0"/>
                  <w:divBdr>
                    <w:top w:val="none" w:sz="0" w:space="0" w:color="auto"/>
                    <w:left w:val="none" w:sz="0" w:space="0" w:color="auto"/>
                    <w:bottom w:val="none" w:sz="0" w:space="0" w:color="auto"/>
                    <w:right w:val="none" w:sz="0" w:space="0" w:color="auto"/>
                  </w:divBdr>
                </w:div>
                <w:div w:id="1545213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367785">
      <w:bodyDiv w:val="1"/>
      <w:marLeft w:val="0"/>
      <w:marRight w:val="0"/>
      <w:marTop w:val="0"/>
      <w:marBottom w:val="0"/>
      <w:divBdr>
        <w:top w:val="none" w:sz="0" w:space="0" w:color="auto"/>
        <w:left w:val="none" w:sz="0" w:space="0" w:color="auto"/>
        <w:bottom w:val="none" w:sz="0" w:space="0" w:color="auto"/>
        <w:right w:val="none" w:sz="0" w:space="0" w:color="auto"/>
      </w:divBdr>
      <w:divsChild>
        <w:div w:id="435827489">
          <w:marLeft w:val="0"/>
          <w:marRight w:val="0"/>
          <w:marTop w:val="120"/>
          <w:marBottom w:val="0"/>
          <w:divBdr>
            <w:top w:val="none" w:sz="0" w:space="0" w:color="auto"/>
            <w:left w:val="none" w:sz="0" w:space="0" w:color="auto"/>
            <w:bottom w:val="none" w:sz="0" w:space="0" w:color="auto"/>
            <w:right w:val="none" w:sz="0" w:space="0" w:color="auto"/>
          </w:divBdr>
        </w:div>
        <w:div w:id="1429228651">
          <w:marLeft w:val="0"/>
          <w:marRight w:val="0"/>
          <w:marTop w:val="0"/>
          <w:marBottom w:val="0"/>
          <w:divBdr>
            <w:top w:val="none" w:sz="0" w:space="0" w:color="auto"/>
            <w:left w:val="none" w:sz="0" w:space="0" w:color="auto"/>
            <w:bottom w:val="none" w:sz="0" w:space="0" w:color="auto"/>
            <w:right w:val="none" w:sz="0" w:space="0" w:color="auto"/>
          </w:divBdr>
          <w:divsChild>
            <w:div w:id="558135554">
              <w:marLeft w:val="0"/>
              <w:marRight w:val="0"/>
              <w:marTop w:val="0"/>
              <w:marBottom w:val="0"/>
              <w:divBdr>
                <w:top w:val="none" w:sz="0" w:space="0" w:color="auto"/>
                <w:left w:val="none" w:sz="0" w:space="0" w:color="auto"/>
                <w:bottom w:val="none" w:sz="0" w:space="0" w:color="auto"/>
                <w:right w:val="none" w:sz="0" w:space="0" w:color="auto"/>
              </w:divBdr>
              <w:divsChild>
                <w:div w:id="440296763">
                  <w:marLeft w:val="0"/>
                  <w:marRight w:val="0"/>
                  <w:marTop w:val="0"/>
                  <w:marBottom w:val="0"/>
                  <w:divBdr>
                    <w:top w:val="none" w:sz="0" w:space="0" w:color="auto"/>
                    <w:left w:val="none" w:sz="0" w:space="0" w:color="auto"/>
                    <w:bottom w:val="none" w:sz="0" w:space="0" w:color="auto"/>
                    <w:right w:val="none" w:sz="0" w:space="0" w:color="auto"/>
                  </w:divBdr>
                </w:div>
                <w:div w:id="441262560">
                  <w:marLeft w:val="0"/>
                  <w:marRight w:val="0"/>
                  <w:marTop w:val="120"/>
                  <w:marBottom w:val="0"/>
                  <w:divBdr>
                    <w:top w:val="none" w:sz="0" w:space="0" w:color="auto"/>
                    <w:left w:val="none" w:sz="0" w:space="0" w:color="auto"/>
                    <w:bottom w:val="none" w:sz="0" w:space="0" w:color="auto"/>
                    <w:right w:val="none" w:sz="0" w:space="0" w:color="auto"/>
                  </w:divBdr>
                </w:div>
              </w:divsChild>
            </w:div>
            <w:div w:id="1277984472">
              <w:marLeft w:val="0"/>
              <w:marRight w:val="0"/>
              <w:marTop w:val="0"/>
              <w:marBottom w:val="0"/>
              <w:divBdr>
                <w:top w:val="none" w:sz="0" w:space="0" w:color="auto"/>
                <w:left w:val="none" w:sz="0" w:space="0" w:color="auto"/>
                <w:bottom w:val="none" w:sz="0" w:space="0" w:color="auto"/>
                <w:right w:val="none" w:sz="0" w:space="0" w:color="auto"/>
              </w:divBdr>
              <w:divsChild>
                <w:div w:id="1830170632">
                  <w:marLeft w:val="0"/>
                  <w:marRight w:val="0"/>
                  <w:marTop w:val="0"/>
                  <w:marBottom w:val="0"/>
                  <w:divBdr>
                    <w:top w:val="none" w:sz="0" w:space="0" w:color="auto"/>
                    <w:left w:val="none" w:sz="0" w:space="0" w:color="auto"/>
                    <w:bottom w:val="none" w:sz="0" w:space="0" w:color="auto"/>
                    <w:right w:val="none" w:sz="0" w:space="0" w:color="auto"/>
                  </w:divBdr>
                </w:div>
                <w:div w:id="191504941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96611258">
      <w:bodyDiv w:val="1"/>
      <w:marLeft w:val="0"/>
      <w:marRight w:val="0"/>
      <w:marTop w:val="0"/>
      <w:marBottom w:val="0"/>
      <w:divBdr>
        <w:top w:val="none" w:sz="0" w:space="0" w:color="auto"/>
        <w:left w:val="none" w:sz="0" w:space="0" w:color="auto"/>
        <w:bottom w:val="none" w:sz="0" w:space="0" w:color="auto"/>
        <w:right w:val="none" w:sz="0" w:space="0" w:color="auto"/>
      </w:divBdr>
      <w:divsChild>
        <w:div w:id="1265723084">
          <w:marLeft w:val="0"/>
          <w:marRight w:val="0"/>
          <w:marTop w:val="0"/>
          <w:marBottom w:val="0"/>
          <w:divBdr>
            <w:top w:val="none" w:sz="0" w:space="0" w:color="auto"/>
            <w:left w:val="none" w:sz="0" w:space="0" w:color="auto"/>
            <w:bottom w:val="none" w:sz="0" w:space="0" w:color="auto"/>
            <w:right w:val="none" w:sz="0" w:space="0" w:color="auto"/>
          </w:divBdr>
          <w:divsChild>
            <w:div w:id="415051182">
              <w:marLeft w:val="0"/>
              <w:marRight w:val="0"/>
              <w:marTop w:val="120"/>
              <w:marBottom w:val="0"/>
              <w:divBdr>
                <w:top w:val="none" w:sz="0" w:space="0" w:color="auto"/>
                <w:left w:val="none" w:sz="0" w:space="0" w:color="auto"/>
                <w:bottom w:val="none" w:sz="0" w:space="0" w:color="auto"/>
                <w:right w:val="none" w:sz="0" w:space="0" w:color="auto"/>
              </w:divBdr>
            </w:div>
            <w:div w:id="1900938813">
              <w:marLeft w:val="0"/>
              <w:marRight w:val="0"/>
              <w:marTop w:val="0"/>
              <w:marBottom w:val="0"/>
              <w:divBdr>
                <w:top w:val="none" w:sz="0" w:space="0" w:color="auto"/>
                <w:left w:val="none" w:sz="0" w:space="0" w:color="auto"/>
                <w:bottom w:val="none" w:sz="0" w:space="0" w:color="auto"/>
                <w:right w:val="none" w:sz="0" w:space="0" w:color="auto"/>
              </w:divBdr>
            </w:div>
          </w:divsChild>
        </w:div>
        <w:div w:id="1801799589">
          <w:marLeft w:val="0"/>
          <w:marRight w:val="0"/>
          <w:marTop w:val="0"/>
          <w:marBottom w:val="0"/>
          <w:divBdr>
            <w:top w:val="none" w:sz="0" w:space="0" w:color="auto"/>
            <w:left w:val="none" w:sz="0" w:space="0" w:color="auto"/>
            <w:bottom w:val="none" w:sz="0" w:space="0" w:color="auto"/>
            <w:right w:val="none" w:sz="0" w:space="0" w:color="auto"/>
          </w:divBdr>
          <w:divsChild>
            <w:div w:id="738794063">
              <w:marLeft w:val="0"/>
              <w:marRight w:val="0"/>
              <w:marTop w:val="120"/>
              <w:marBottom w:val="0"/>
              <w:divBdr>
                <w:top w:val="none" w:sz="0" w:space="0" w:color="auto"/>
                <w:left w:val="none" w:sz="0" w:space="0" w:color="auto"/>
                <w:bottom w:val="none" w:sz="0" w:space="0" w:color="auto"/>
                <w:right w:val="none" w:sz="0" w:space="0" w:color="auto"/>
              </w:divBdr>
            </w:div>
            <w:div w:id="117364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147641">
      <w:bodyDiv w:val="1"/>
      <w:marLeft w:val="0"/>
      <w:marRight w:val="0"/>
      <w:marTop w:val="0"/>
      <w:marBottom w:val="0"/>
      <w:divBdr>
        <w:top w:val="none" w:sz="0" w:space="0" w:color="auto"/>
        <w:left w:val="none" w:sz="0" w:space="0" w:color="auto"/>
        <w:bottom w:val="none" w:sz="0" w:space="0" w:color="auto"/>
        <w:right w:val="none" w:sz="0" w:space="0" w:color="auto"/>
      </w:divBdr>
      <w:divsChild>
        <w:div w:id="979457166">
          <w:marLeft w:val="0"/>
          <w:marRight w:val="0"/>
          <w:marTop w:val="0"/>
          <w:marBottom w:val="0"/>
          <w:divBdr>
            <w:top w:val="none" w:sz="0" w:space="0" w:color="auto"/>
            <w:left w:val="none" w:sz="0" w:space="0" w:color="auto"/>
            <w:bottom w:val="none" w:sz="0" w:space="0" w:color="auto"/>
            <w:right w:val="none" w:sz="0" w:space="0" w:color="auto"/>
          </w:divBdr>
          <w:divsChild>
            <w:div w:id="1136991222">
              <w:marLeft w:val="0"/>
              <w:marRight w:val="0"/>
              <w:marTop w:val="0"/>
              <w:marBottom w:val="0"/>
              <w:divBdr>
                <w:top w:val="none" w:sz="0" w:space="0" w:color="auto"/>
                <w:left w:val="none" w:sz="0" w:space="0" w:color="auto"/>
                <w:bottom w:val="none" w:sz="0" w:space="0" w:color="auto"/>
                <w:right w:val="none" w:sz="0" w:space="0" w:color="auto"/>
              </w:divBdr>
              <w:divsChild>
                <w:div w:id="587231765">
                  <w:marLeft w:val="0"/>
                  <w:marRight w:val="0"/>
                  <w:marTop w:val="0"/>
                  <w:marBottom w:val="0"/>
                  <w:divBdr>
                    <w:top w:val="none" w:sz="0" w:space="0" w:color="auto"/>
                    <w:left w:val="none" w:sz="0" w:space="0" w:color="auto"/>
                    <w:bottom w:val="none" w:sz="0" w:space="0" w:color="auto"/>
                    <w:right w:val="none" w:sz="0" w:space="0" w:color="auto"/>
                  </w:divBdr>
                  <w:divsChild>
                    <w:div w:id="112020614">
                      <w:marLeft w:val="0"/>
                      <w:marRight w:val="0"/>
                      <w:marTop w:val="120"/>
                      <w:marBottom w:val="0"/>
                      <w:divBdr>
                        <w:top w:val="none" w:sz="0" w:space="0" w:color="auto"/>
                        <w:left w:val="none" w:sz="0" w:space="0" w:color="auto"/>
                        <w:bottom w:val="none" w:sz="0" w:space="0" w:color="auto"/>
                        <w:right w:val="none" w:sz="0" w:space="0" w:color="auto"/>
                      </w:divBdr>
                    </w:div>
                    <w:div w:id="1110052472">
                      <w:marLeft w:val="0"/>
                      <w:marRight w:val="0"/>
                      <w:marTop w:val="0"/>
                      <w:marBottom w:val="0"/>
                      <w:divBdr>
                        <w:top w:val="none" w:sz="0" w:space="0" w:color="auto"/>
                        <w:left w:val="none" w:sz="0" w:space="0" w:color="auto"/>
                        <w:bottom w:val="none" w:sz="0" w:space="0" w:color="auto"/>
                        <w:right w:val="none" w:sz="0" w:space="0" w:color="auto"/>
                      </w:divBdr>
                    </w:div>
                  </w:divsChild>
                </w:div>
                <w:div w:id="1237471004">
                  <w:marLeft w:val="0"/>
                  <w:marRight w:val="0"/>
                  <w:marTop w:val="0"/>
                  <w:marBottom w:val="0"/>
                  <w:divBdr>
                    <w:top w:val="none" w:sz="0" w:space="0" w:color="auto"/>
                    <w:left w:val="none" w:sz="0" w:space="0" w:color="auto"/>
                    <w:bottom w:val="none" w:sz="0" w:space="0" w:color="auto"/>
                    <w:right w:val="none" w:sz="0" w:space="0" w:color="auto"/>
                  </w:divBdr>
                  <w:divsChild>
                    <w:div w:id="1872452216">
                      <w:marLeft w:val="0"/>
                      <w:marRight w:val="0"/>
                      <w:marTop w:val="0"/>
                      <w:marBottom w:val="0"/>
                      <w:divBdr>
                        <w:top w:val="none" w:sz="0" w:space="0" w:color="auto"/>
                        <w:left w:val="none" w:sz="0" w:space="0" w:color="auto"/>
                        <w:bottom w:val="none" w:sz="0" w:space="0" w:color="auto"/>
                        <w:right w:val="none" w:sz="0" w:space="0" w:color="auto"/>
                      </w:divBdr>
                    </w:div>
                    <w:div w:id="1935897407">
                      <w:marLeft w:val="0"/>
                      <w:marRight w:val="0"/>
                      <w:marTop w:val="120"/>
                      <w:marBottom w:val="0"/>
                      <w:divBdr>
                        <w:top w:val="none" w:sz="0" w:space="0" w:color="auto"/>
                        <w:left w:val="none" w:sz="0" w:space="0" w:color="auto"/>
                        <w:bottom w:val="none" w:sz="0" w:space="0" w:color="auto"/>
                        <w:right w:val="none" w:sz="0" w:space="0" w:color="auto"/>
                      </w:divBdr>
                    </w:div>
                  </w:divsChild>
                </w:div>
                <w:div w:id="1557429560">
                  <w:marLeft w:val="0"/>
                  <w:marRight w:val="0"/>
                  <w:marTop w:val="0"/>
                  <w:marBottom w:val="0"/>
                  <w:divBdr>
                    <w:top w:val="none" w:sz="0" w:space="0" w:color="auto"/>
                    <w:left w:val="none" w:sz="0" w:space="0" w:color="auto"/>
                    <w:bottom w:val="none" w:sz="0" w:space="0" w:color="auto"/>
                    <w:right w:val="none" w:sz="0" w:space="0" w:color="auto"/>
                  </w:divBdr>
                  <w:divsChild>
                    <w:div w:id="1254782407">
                      <w:marLeft w:val="0"/>
                      <w:marRight w:val="0"/>
                      <w:marTop w:val="120"/>
                      <w:marBottom w:val="0"/>
                      <w:divBdr>
                        <w:top w:val="none" w:sz="0" w:space="0" w:color="auto"/>
                        <w:left w:val="none" w:sz="0" w:space="0" w:color="auto"/>
                        <w:bottom w:val="none" w:sz="0" w:space="0" w:color="auto"/>
                        <w:right w:val="none" w:sz="0" w:space="0" w:color="auto"/>
                      </w:divBdr>
                    </w:div>
                    <w:div w:id="2039889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020980">
          <w:marLeft w:val="0"/>
          <w:marRight w:val="0"/>
          <w:marTop w:val="0"/>
          <w:marBottom w:val="0"/>
          <w:divBdr>
            <w:top w:val="none" w:sz="0" w:space="0" w:color="auto"/>
            <w:left w:val="none" w:sz="0" w:space="0" w:color="auto"/>
            <w:bottom w:val="none" w:sz="0" w:space="0" w:color="auto"/>
            <w:right w:val="none" w:sz="0" w:space="0" w:color="auto"/>
          </w:divBdr>
          <w:divsChild>
            <w:div w:id="467599569">
              <w:marLeft w:val="0"/>
              <w:marRight w:val="0"/>
              <w:marTop w:val="0"/>
              <w:marBottom w:val="0"/>
              <w:divBdr>
                <w:top w:val="none" w:sz="0" w:space="0" w:color="auto"/>
                <w:left w:val="none" w:sz="0" w:space="0" w:color="auto"/>
                <w:bottom w:val="none" w:sz="0" w:space="0" w:color="auto"/>
                <w:right w:val="none" w:sz="0" w:space="0" w:color="auto"/>
              </w:divBdr>
            </w:div>
          </w:divsChild>
        </w:div>
        <w:div w:id="1830440569">
          <w:marLeft w:val="0"/>
          <w:marRight w:val="0"/>
          <w:marTop w:val="0"/>
          <w:marBottom w:val="0"/>
          <w:divBdr>
            <w:top w:val="none" w:sz="0" w:space="0" w:color="auto"/>
            <w:left w:val="none" w:sz="0" w:space="0" w:color="auto"/>
            <w:bottom w:val="none" w:sz="0" w:space="0" w:color="auto"/>
            <w:right w:val="none" w:sz="0" w:space="0" w:color="auto"/>
          </w:divBdr>
          <w:divsChild>
            <w:div w:id="2042707698">
              <w:marLeft w:val="0"/>
              <w:marRight w:val="0"/>
              <w:marTop w:val="0"/>
              <w:marBottom w:val="0"/>
              <w:divBdr>
                <w:top w:val="none" w:sz="0" w:space="0" w:color="auto"/>
                <w:left w:val="none" w:sz="0" w:space="0" w:color="auto"/>
                <w:bottom w:val="none" w:sz="0" w:space="0" w:color="auto"/>
                <w:right w:val="none" w:sz="0" w:space="0" w:color="auto"/>
              </w:divBdr>
            </w:div>
          </w:divsChild>
        </w:div>
        <w:div w:id="1840192939">
          <w:marLeft w:val="0"/>
          <w:marRight w:val="0"/>
          <w:marTop w:val="0"/>
          <w:marBottom w:val="0"/>
          <w:divBdr>
            <w:top w:val="none" w:sz="0" w:space="0" w:color="auto"/>
            <w:left w:val="none" w:sz="0" w:space="0" w:color="auto"/>
            <w:bottom w:val="none" w:sz="0" w:space="0" w:color="auto"/>
            <w:right w:val="none" w:sz="0" w:space="0" w:color="auto"/>
          </w:divBdr>
          <w:divsChild>
            <w:div w:id="1952472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2463820">
      <w:bodyDiv w:val="1"/>
      <w:marLeft w:val="0"/>
      <w:marRight w:val="0"/>
      <w:marTop w:val="0"/>
      <w:marBottom w:val="0"/>
      <w:divBdr>
        <w:top w:val="none" w:sz="0" w:space="0" w:color="auto"/>
        <w:left w:val="none" w:sz="0" w:space="0" w:color="auto"/>
        <w:bottom w:val="none" w:sz="0" w:space="0" w:color="auto"/>
        <w:right w:val="none" w:sz="0" w:space="0" w:color="auto"/>
      </w:divBdr>
      <w:divsChild>
        <w:div w:id="1153521469">
          <w:marLeft w:val="0"/>
          <w:marRight w:val="0"/>
          <w:marTop w:val="120"/>
          <w:marBottom w:val="0"/>
          <w:divBdr>
            <w:top w:val="none" w:sz="0" w:space="0" w:color="auto"/>
            <w:left w:val="none" w:sz="0" w:space="0" w:color="auto"/>
            <w:bottom w:val="none" w:sz="0" w:space="0" w:color="auto"/>
            <w:right w:val="none" w:sz="0" w:space="0" w:color="auto"/>
          </w:divBdr>
        </w:div>
        <w:div w:id="1536037183">
          <w:marLeft w:val="0"/>
          <w:marRight w:val="0"/>
          <w:marTop w:val="0"/>
          <w:marBottom w:val="0"/>
          <w:divBdr>
            <w:top w:val="none" w:sz="0" w:space="0" w:color="auto"/>
            <w:left w:val="none" w:sz="0" w:space="0" w:color="auto"/>
            <w:bottom w:val="none" w:sz="0" w:space="0" w:color="auto"/>
            <w:right w:val="none" w:sz="0" w:space="0" w:color="auto"/>
          </w:divBdr>
        </w:div>
      </w:divsChild>
    </w:div>
    <w:div w:id="1005742591">
      <w:bodyDiv w:val="1"/>
      <w:marLeft w:val="0"/>
      <w:marRight w:val="0"/>
      <w:marTop w:val="0"/>
      <w:marBottom w:val="0"/>
      <w:divBdr>
        <w:top w:val="none" w:sz="0" w:space="0" w:color="auto"/>
        <w:left w:val="none" w:sz="0" w:space="0" w:color="auto"/>
        <w:bottom w:val="none" w:sz="0" w:space="0" w:color="auto"/>
        <w:right w:val="none" w:sz="0" w:space="0" w:color="auto"/>
      </w:divBdr>
      <w:divsChild>
        <w:div w:id="330109914">
          <w:marLeft w:val="0"/>
          <w:marRight w:val="0"/>
          <w:marTop w:val="120"/>
          <w:marBottom w:val="0"/>
          <w:divBdr>
            <w:top w:val="none" w:sz="0" w:space="0" w:color="auto"/>
            <w:left w:val="none" w:sz="0" w:space="0" w:color="auto"/>
            <w:bottom w:val="none" w:sz="0" w:space="0" w:color="auto"/>
            <w:right w:val="none" w:sz="0" w:space="0" w:color="auto"/>
          </w:divBdr>
        </w:div>
        <w:div w:id="767970558">
          <w:marLeft w:val="0"/>
          <w:marRight w:val="0"/>
          <w:marTop w:val="0"/>
          <w:marBottom w:val="0"/>
          <w:divBdr>
            <w:top w:val="none" w:sz="0" w:space="0" w:color="auto"/>
            <w:left w:val="none" w:sz="0" w:space="0" w:color="auto"/>
            <w:bottom w:val="none" w:sz="0" w:space="0" w:color="auto"/>
            <w:right w:val="none" w:sz="0" w:space="0" w:color="auto"/>
          </w:divBdr>
        </w:div>
      </w:divsChild>
    </w:div>
    <w:div w:id="1011680898">
      <w:bodyDiv w:val="1"/>
      <w:marLeft w:val="0"/>
      <w:marRight w:val="0"/>
      <w:marTop w:val="0"/>
      <w:marBottom w:val="0"/>
      <w:divBdr>
        <w:top w:val="none" w:sz="0" w:space="0" w:color="auto"/>
        <w:left w:val="none" w:sz="0" w:space="0" w:color="auto"/>
        <w:bottom w:val="none" w:sz="0" w:space="0" w:color="auto"/>
        <w:right w:val="none" w:sz="0" w:space="0" w:color="auto"/>
      </w:divBdr>
      <w:divsChild>
        <w:div w:id="1901552245">
          <w:marLeft w:val="0"/>
          <w:marRight w:val="0"/>
          <w:marTop w:val="0"/>
          <w:marBottom w:val="0"/>
          <w:divBdr>
            <w:top w:val="none" w:sz="0" w:space="0" w:color="auto"/>
            <w:left w:val="none" w:sz="0" w:space="0" w:color="auto"/>
            <w:bottom w:val="none" w:sz="0" w:space="0" w:color="auto"/>
            <w:right w:val="none" w:sz="0" w:space="0" w:color="auto"/>
          </w:divBdr>
          <w:divsChild>
            <w:div w:id="894008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8892182">
      <w:bodyDiv w:val="1"/>
      <w:marLeft w:val="0"/>
      <w:marRight w:val="0"/>
      <w:marTop w:val="0"/>
      <w:marBottom w:val="0"/>
      <w:divBdr>
        <w:top w:val="none" w:sz="0" w:space="0" w:color="auto"/>
        <w:left w:val="none" w:sz="0" w:space="0" w:color="auto"/>
        <w:bottom w:val="none" w:sz="0" w:space="0" w:color="auto"/>
        <w:right w:val="none" w:sz="0" w:space="0" w:color="auto"/>
      </w:divBdr>
      <w:divsChild>
        <w:div w:id="384331709">
          <w:marLeft w:val="0"/>
          <w:marRight w:val="0"/>
          <w:marTop w:val="0"/>
          <w:marBottom w:val="0"/>
          <w:divBdr>
            <w:top w:val="none" w:sz="0" w:space="0" w:color="auto"/>
            <w:left w:val="none" w:sz="0" w:space="0" w:color="auto"/>
            <w:bottom w:val="none" w:sz="0" w:space="0" w:color="auto"/>
            <w:right w:val="none" w:sz="0" w:space="0" w:color="auto"/>
          </w:divBdr>
        </w:div>
      </w:divsChild>
    </w:div>
    <w:div w:id="1070077072">
      <w:bodyDiv w:val="1"/>
      <w:marLeft w:val="0"/>
      <w:marRight w:val="0"/>
      <w:marTop w:val="0"/>
      <w:marBottom w:val="0"/>
      <w:divBdr>
        <w:top w:val="none" w:sz="0" w:space="0" w:color="auto"/>
        <w:left w:val="none" w:sz="0" w:space="0" w:color="auto"/>
        <w:bottom w:val="none" w:sz="0" w:space="0" w:color="auto"/>
        <w:right w:val="none" w:sz="0" w:space="0" w:color="auto"/>
      </w:divBdr>
    </w:div>
    <w:div w:id="1081216959">
      <w:bodyDiv w:val="1"/>
      <w:marLeft w:val="0"/>
      <w:marRight w:val="0"/>
      <w:marTop w:val="0"/>
      <w:marBottom w:val="0"/>
      <w:divBdr>
        <w:top w:val="none" w:sz="0" w:space="0" w:color="auto"/>
        <w:left w:val="none" w:sz="0" w:space="0" w:color="auto"/>
        <w:bottom w:val="none" w:sz="0" w:space="0" w:color="auto"/>
        <w:right w:val="none" w:sz="0" w:space="0" w:color="auto"/>
      </w:divBdr>
      <w:divsChild>
        <w:div w:id="1125389902">
          <w:marLeft w:val="0"/>
          <w:marRight w:val="0"/>
          <w:marTop w:val="0"/>
          <w:marBottom w:val="0"/>
          <w:divBdr>
            <w:top w:val="none" w:sz="0" w:space="0" w:color="auto"/>
            <w:left w:val="none" w:sz="0" w:space="0" w:color="auto"/>
            <w:bottom w:val="none" w:sz="0" w:space="0" w:color="auto"/>
            <w:right w:val="none" w:sz="0" w:space="0" w:color="auto"/>
          </w:divBdr>
        </w:div>
      </w:divsChild>
    </w:div>
    <w:div w:id="1085762686">
      <w:bodyDiv w:val="1"/>
      <w:marLeft w:val="0"/>
      <w:marRight w:val="0"/>
      <w:marTop w:val="0"/>
      <w:marBottom w:val="0"/>
      <w:divBdr>
        <w:top w:val="none" w:sz="0" w:space="0" w:color="auto"/>
        <w:left w:val="none" w:sz="0" w:space="0" w:color="auto"/>
        <w:bottom w:val="none" w:sz="0" w:space="0" w:color="auto"/>
        <w:right w:val="none" w:sz="0" w:space="0" w:color="auto"/>
      </w:divBdr>
      <w:divsChild>
        <w:div w:id="116602282">
          <w:marLeft w:val="0"/>
          <w:marRight w:val="0"/>
          <w:marTop w:val="0"/>
          <w:marBottom w:val="0"/>
          <w:divBdr>
            <w:top w:val="none" w:sz="0" w:space="0" w:color="auto"/>
            <w:left w:val="none" w:sz="0" w:space="0" w:color="auto"/>
            <w:bottom w:val="none" w:sz="0" w:space="0" w:color="auto"/>
            <w:right w:val="none" w:sz="0" w:space="0" w:color="auto"/>
          </w:divBdr>
          <w:divsChild>
            <w:div w:id="623266095">
              <w:marLeft w:val="0"/>
              <w:marRight w:val="0"/>
              <w:marTop w:val="120"/>
              <w:marBottom w:val="0"/>
              <w:divBdr>
                <w:top w:val="none" w:sz="0" w:space="0" w:color="auto"/>
                <w:left w:val="none" w:sz="0" w:space="0" w:color="auto"/>
                <w:bottom w:val="none" w:sz="0" w:space="0" w:color="auto"/>
                <w:right w:val="none" w:sz="0" w:space="0" w:color="auto"/>
              </w:divBdr>
            </w:div>
            <w:div w:id="701974146">
              <w:marLeft w:val="0"/>
              <w:marRight w:val="0"/>
              <w:marTop w:val="0"/>
              <w:marBottom w:val="0"/>
              <w:divBdr>
                <w:top w:val="none" w:sz="0" w:space="0" w:color="auto"/>
                <w:left w:val="none" w:sz="0" w:space="0" w:color="auto"/>
                <w:bottom w:val="none" w:sz="0" w:space="0" w:color="auto"/>
                <w:right w:val="none" w:sz="0" w:space="0" w:color="auto"/>
              </w:divBdr>
            </w:div>
          </w:divsChild>
        </w:div>
        <w:div w:id="758671518">
          <w:marLeft w:val="0"/>
          <w:marRight w:val="0"/>
          <w:marTop w:val="0"/>
          <w:marBottom w:val="0"/>
          <w:divBdr>
            <w:top w:val="none" w:sz="0" w:space="0" w:color="auto"/>
            <w:left w:val="none" w:sz="0" w:space="0" w:color="auto"/>
            <w:bottom w:val="none" w:sz="0" w:space="0" w:color="auto"/>
            <w:right w:val="none" w:sz="0" w:space="0" w:color="auto"/>
          </w:divBdr>
          <w:divsChild>
            <w:div w:id="1392580395">
              <w:marLeft w:val="0"/>
              <w:marRight w:val="0"/>
              <w:marTop w:val="120"/>
              <w:marBottom w:val="0"/>
              <w:divBdr>
                <w:top w:val="none" w:sz="0" w:space="0" w:color="auto"/>
                <w:left w:val="none" w:sz="0" w:space="0" w:color="auto"/>
                <w:bottom w:val="none" w:sz="0" w:space="0" w:color="auto"/>
                <w:right w:val="none" w:sz="0" w:space="0" w:color="auto"/>
              </w:divBdr>
            </w:div>
            <w:div w:id="1432972493">
              <w:marLeft w:val="0"/>
              <w:marRight w:val="0"/>
              <w:marTop w:val="0"/>
              <w:marBottom w:val="0"/>
              <w:divBdr>
                <w:top w:val="none" w:sz="0" w:space="0" w:color="auto"/>
                <w:left w:val="none" w:sz="0" w:space="0" w:color="auto"/>
                <w:bottom w:val="none" w:sz="0" w:space="0" w:color="auto"/>
                <w:right w:val="none" w:sz="0" w:space="0" w:color="auto"/>
              </w:divBdr>
            </w:div>
          </w:divsChild>
        </w:div>
        <w:div w:id="1035928360">
          <w:marLeft w:val="0"/>
          <w:marRight w:val="0"/>
          <w:marTop w:val="0"/>
          <w:marBottom w:val="0"/>
          <w:divBdr>
            <w:top w:val="none" w:sz="0" w:space="0" w:color="auto"/>
            <w:left w:val="none" w:sz="0" w:space="0" w:color="auto"/>
            <w:bottom w:val="none" w:sz="0" w:space="0" w:color="auto"/>
            <w:right w:val="none" w:sz="0" w:space="0" w:color="auto"/>
          </w:divBdr>
          <w:divsChild>
            <w:div w:id="1583299143">
              <w:marLeft w:val="0"/>
              <w:marRight w:val="0"/>
              <w:marTop w:val="0"/>
              <w:marBottom w:val="0"/>
              <w:divBdr>
                <w:top w:val="none" w:sz="0" w:space="0" w:color="auto"/>
                <w:left w:val="none" w:sz="0" w:space="0" w:color="auto"/>
                <w:bottom w:val="none" w:sz="0" w:space="0" w:color="auto"/>
                <w:right w:val="none" w:sz="0" w:space="0" w:color="auto"/>
              </w:divBdr>
              <w:divsChild>
                <w:div w:id="315769324">
                  <w:marLeft w:val="0"/>
                  <w:marRight w:val="0"/>
                  <w:marTop w:val="0"/>
                  <w:marBottom w:val="0"/>
                  <w:divBdr>
                    <w:top w:val="none" w:sz="0" w:space="0" w:color="auto"/>
                    <w:left w:val="none" w:sz="0" w:space="0" w:color="auto"/>
                    <w:bottom w:val="none" w:sz="0" w:space="0" w:color="auto"/>
                    <w:right w:val="none" w:sz="0" w:space="0" w:color="auto"/>
                  </w:divBdr>
                  <w:divsChild>
                    <w:div w:id="2079479905">
                      <w:marLeft w:val="0"/>
                      <w:marRight w:val="0"/>
                      <w:marTop w:val="0"/>
                      <w:marBottom w:val="0"/>
                      <w:divBdr>
                        <w:top w:val="none" w:sz="0" w:space="0" w:color="auto"/>
                        <w:left w:val="none" w:sz="0" w:space="0" w:color="auto"/>
                        <w:bottom w:val="none" w:sz="0" w:space="0" w:color="auto"/>
                        <w:right w:val="none" w:sz="0" w:space="0" w:color="auto"/>
                      </w:divBdr>
                    </w:div>
                    <w:div w:id="2124038422">
                      <w:marLeft w:val="0"/>
                      <w:marRight w:val="0"/>
                      <w:marTop w:val="120"/>
                      <w:marBottom w:val="0"/>
                      <w:divBdr>
                        <w:top w:val="none" w:sz="0" w:space="0" w:color="auto"/>
                        <w:left w:val="none" w:sz="0" w:space="0" w:color="auto"/>
                        <w:bottom w:val="none" w:sz="0" w:space="0" w:color="auto"/>
                        <w:right w:val="none" w:sz="0" w:space="0" w:color="auto"/>
                      </w:divBdr>
                    </w:div>
                  </w:divsChild>
                </w:div>
                <w:div w:id="575826267">
                  <w:marLeft w:val="0"/>
                  <w:marRight w:val="0"/>
                  <w:marTop w:val="0"/>
                  <w:marBottom w:val="0"/>
                  <w:divBdr>
                    <w:top w:val="none" w:sz="0" w:space="0" w:color="auto"/>
                    <w:left w:val="none" w:sz="0" w:space="0" w:color="auto"/>
                    <w:bottom w:val="none" w:sz="0" w:space="0" w:color="auto"/>
                    <w:right w:val="none" w:sz="0" w:space="0" w:color="auto"/>
                  </w:divBdr>
                  <w:divsChild>
                    <w:div w:id="730464600">
                      <w:marLeft w:val="0"/>
                      <w:marRight w:val="0"/>
                      <w:marTop w:val="0"/>
                      <w:marBottom w:val="0"/>
                      <w:divBdr>
                        <w:top w:val="none" w:sz="0" w:space="0" w:color="auto"/>
                        <w:left w:val="none" w:sz="0" w:space="0" w:color="auto"/>
                        <w:bottom w:val="none" w:sz="0" w:space="0" w:color="auto"/>
                        <w:right w:val="none" w:sz="0" w:space="0" w:color="auto"/>
                      </w:divBdr>
                    </w:div>
                    <w:div w:id="1449084961">
                      <w:marLeft w:val="0"/>
                      <w:marRight w:val="0"/>
                      <w:marTop w:val="120"/>
                      <w:marBottom w:val="0"/>
                      <w:divBdr>
                        <w:top w:val="none" w:sz="0" w:space="0" w:color="auto"/>
                        <w:left w:val="none" w:sz="0" w:space="0" w:color="auto"/>
                        <w:bottom w:val="none" w:sz="0" w:space="0" w:color="auto"/>
                        <w:right w:val="none" w:sz="0" w:space="0" w:color="auto"/>
                      </w:divBdr>
                    </w:div>
                  </w:divsChild>
                </w:div>
                <w:div w:id="579414475">
                  <w:marLeft w:val="0"/>
                  <w:marRight w:val="0"/>
                  <w:marTop w:val="0"/>
                  <w:marBottom w:val="0"/>
                  <w:divBdr>
                    <w:top w:val="none" w:sz="0" w:space="0" w:color="auto"/>
                    <w:left w:val="none" w:sz="0" w:space="0" w:color="auto"/>
                    <w:bottom w:val="none" w:sz="0" w:space="0" w:color="auto"/>
                    <w:right w:val="none" w:sz="0" w:space="0" w:color="auto"/>
                  </w:divBdr>
                  <w:divsChild>
                    <w:div w:id="984623655">
                      <w:marLeft w:val="0"/>
                      <w:marRight w:val="0"/>
                      <w:marTop w:val="0"/>
                      <w:marBottom w:val="0"/>
                      <w:divBdr>
                        <w:top w:val="none" w:sz="0" w:space="0" w:color="auto"/>
                        <w:left w:val="none" w:sz="0" w:space="0" w:color="auto"/>
                        <w:bottom w:val="none" w:sz="0" w:space="0" w:color="auto"/>
                        <w:right w:val="none" w:sz="0" w:space="0" w:color="auto"/>
                      </w:divBdr>
                    </w:div>
                    <w:div w:id="1937667629">
                      <w:marLeft w:val="0"/>
                      <w:marRight w:val="0"/>
                      <w:marTop w:val="120"/>
                      <w:marBottom w:val="0"/>
                      <w:divBdr>
                        <w:top w:val="none" w:sz="0" w:space="0" w:color="auto"/>
                        <w:left w:val="none" w:sz="0" w:space="0" w:color="auto"/>
                        <w:bottom w:val="none" w:sz="0" w:space="0" w:color="auto"/>
                        <w:right w:val="none" w:sz="0" w:space="0" w:color="auto"/>
                      </w:divBdr>
                    </w:div>
                  </w:divsChild>
                </w:div>
                <w:div w:id="1957520113">
                  <w:marLeft w:val="0"/>
                  <w:marRight w:val="0"/>
                  <w:marTop w:val="0"/>
                  <w:marBottom w:val="0"/>
                  <w:divBdr>
                    <w:top w:val="none" w:sz="0" w:space="0" w:color="auto"/>
                    <w:left w:val="none" w:sz="0" w:space="0" w:color="auto"/>
                    <w:bottom w:val="none" w:sz="0" w:space="0" w:color="auto"/>
                    <w:right w:val="none" w:sz="0" w:space="0" w:color="auto"/>
                  </w:divBdr>
                  <w:divsChild>
                    <w:div w:id="111753049">
                      <w:marLeft w:val="0"/>
                      <w:marRight w:val="0"/>
                      <w:marTop w:val="0"/>
                      <w:marBottom w:val="0"/>
                      <w:divBdr>
                        <w:top w:val="none" w:sz="0" w:space="0" w:color="auto"/>
                        <w:left w:val="none" w:sz="0" w:space="0" w:color="auto"/>
                        <w:bottom w:val="none" w:sz="0" w:space="0" w:color="auto"/>
                        <w:right w:val="none" w:sz="0" w:space="0" w:color="auto"/>
                      </w:divBdr>
                    </w:div>
                    <w:div w:id="2236853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98746774">
          <w:marLeft w:val="0"/>
          <w:marRight w:val="0"/>
          <w:marTop w:val="0"/>
          <w:marBottom w:val="0"/>
          <w:divBdr>
            <w:top w:val="none" w:sz="0" w:space="0" w:color="auto"/>
            <w:left w:val="none" w:sz="0" w:space="0" w:color="auto"/>
            <w:bottom w:val="none" w:sz="0" w:space="0" w:color="auto"/>
            <w:right w:val="none" w:sz="0" w:space="0" w:color="auto"/>
          </w:divBdr>
          <w:divsChild>
            <w:div w:id="1510757829">
              <w:marLeft w:val="0"/>
              <w:marRight w:val="0"/>
              <w:marTop w:val="12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sChild>
        </w:div>
        <w:div w:id="1748767217">
          <w:marLeft w:val="0"/>
          <w:marRight w:val="0"/>
          <w:marTop w:val="0"/>
          <w:marBottom w:val="0"/>
          <w:divBdr>
            <w:top w:val="none" w:sz="0" w:space="0" w:color="auto"/>
            <w:left w:val="none" w:sz="0" w:space="0" w:color="auto"/>
            <w:bottom w:val="none" w:sz="0" w:space="0" w:color="auto"/>
            <w:right w:val="none" w:sz="0" w:space="0" w:color="auto"/>
          </w:divBdr>
          <w:divsChild>
            <w:div w:id="351155151">
              <w:marLeft w:val="0"/>
              <w:marRight w:val="0"/>
              <w:marTop w:val="120"/>
              <w:marBottom w:val="0"/>
              <w:divBdr>
                <w:top w:val="none" w:sz="0" w:space="0" w:color="auto"/>
                <w:left w:val="none" w:sz="0" w:space="0" w:color="auto"/>
                <w:bottom w:val="none" w:sz="0" w:space="0" w:color="auto"/>
                <w:right w:val="none" w:sz="0" w:space="0" w:color="auto"/>
              </w:divBdr>
            </w:div>
            <w:div w:id="578363794">
              <w:marLeft w:val="0"/>
              <w:marRight w:val="0"/>
              <w:marTop w:val="0"/>
              <w:marBottom w:val="0"/>
              <w:divBdr>
                <w:top w:val="none" w:sz="0" w:space="0" w:color="auto"/>
                <w:left w:val="none" w:sz="0" w:space="0" w:color="auto"/>
                <w:bottom w:val="none" w:sz="0" w:space="0" w:color="auto"/>
                <w:right w:val="none" w:sz="0" w:space="0" w:color="auto"/>
              </w:divBdr>
              <w:divsChild>
                <w:div w:id="633563227">
                  <w:marLeft w:val="0"/>
                  <w:marRight w:val="0"/>
                  <w:marTop w:val="0"/>
                  <w:marBottom w:val="0"/>
                  <w:divBdr>
                    <w:top w:val="none" w:sz="0" w:space="0" w:color="auto"/>
                    <w:left w:val="none" w:sz="0" w:space="0" w:color="auto"/>
                    <w:bottom w:val="none" w:sz="0" w:space="0" w:color="auto"/>
                    <w:right w:val="none" w:sz="0" w:space="0" w:color="auto"/>
                  </w:divBdr>
                  <w:divsChild>
                    <w:div w:id="472911724">
                      <w:marLeft w:val="0"/>
                      <w:marRight w:val="0"/>
                      <w:marTop w:val="120"/>
                      <w:marBottom w:val="0"/>
                      <w:divBdr>
                        <w:top w:val="none" w:sz="0" w:space="0" w:color="auto"/>
                        <w:left w:val="none" w:sz="0" w:space="0" w:color="auto"/>
                        <w:bottom w:val="none" w:sz="0" w:space="0" w:color="auto"/>
                        <w:right w:val="none" w:sz="0" w:space="0" w:color="auto"/>
                      </w:divBdr>
                    </w:div>
                    <w:div w:id="910457949">
                      <w:marLeft w:val="0"/>
                      <w:marRight w:val="0"/>
                      <w:marTop w:val="0"/>
                      <w:marBottom w:val="0"/>
                      <w:divBdr>
                        <w:top w:val="none" w:sz="0" w:space="0" w:color="auto"/>
                        <w:left w:val="none" w:sz="0" w:space="0" w:color="auto"/>
                        <w:bottom w:val="none" w:sz="0" w:space="0" w:color="auto"/>
                        <w:right w:val="none" w:sz="0" w:space="0" w:color="auto"/>
                      </w:divBdr>
                    </w:div>
                  </w:divsChild>
                </w:div>
                <w:div w:id="1474907109">
                  <w:marLeft w:val="0"/>
                  <w:marRight w:val="0"/>
                  <w:marTop w:val="0"/>
                  <w:marBottom w:val="0"/>
                  <w:divBdr>
                    <w:top w:val="none" w:sz="0" w:space="0" w:color="auto"/>
                    <w:left w:val="none" w:sz="0" w:space="0" w:color="auto"/>
                    <w:bottom w:val="none" w:sz="0" w:space="0" w:color="auto"/>
                    <w:right w:val="none" w:sz="0" w:space="0" w:color="auto"/>
                  </w:divBdr>
                  <w:divsChild>
                    <w:div w:id="891700054">
                      <w:marLeft w:val="0"/>
                      <w:marRight w:val="0"/>
                      <w:marTop w:val="120"/>
                      <w:marBottom w:val="0"/>
                      <w:divBdr>
                        <w:top w:val="none" w:sz="0" w:space="0" w:color="auto"/>
                        <w:left w:val="none" w:sz="0" w:space="0" w:color="auto"/>
                        <w:bottom w:val="none" w:sz="0" w:space="0" w:color="auto"/>
                        <w:right w:val="none" w:sz="0" w:space="0" w:color="auto"/>
                      </w:divBdr>
                    </w:div>
                    <w:div w:id="1253704309">
                      <w:marLeft w:val="0"/>
                      <w:marRight w:val="0"/>
                      <w:marTop w:val="0"/>
                      <w:marBottom w:val="0"/>
                      <w:divBdr>
                        <w:top w:val="none" w:sz="0" w:space="0" w:color="auto"/>
                        <w:left w:val="none" w:sz="0" w:space="0" w:color="auto"/>
                        <w:bottom w:val="none" w:sz="0" w:space="0" w:color="auto"/>
                        <w:right w:val="none" w:sz="0" w:space="0" w:color="auto"/>
                      </w:divBdr>
                    </w:div>
                  </w:divsChild>
                </w:div>
                <w:div w:id="1677659071">
                  <w:marLeft w:val="0"/>
                  <w:marRight w:val="0"/>
                  <w:marTop w:val="0"/>
                  <w:marBottom w:val="0"/>
                  <w:divBdr>
                    <w:top w:val="none" w:sz="0" w:space="0" w:color="auto"/>
                    <w:left w:val="none" w:sz="0" w:space="0" w:color="auto"/>
                    <w:bottom w:val="none" w:sz="0" w:space="0" w:color="auto"/>
                    <w:right w:val="none" w:sz="0" w:space="0" w:color="auto"/>
                  </w:divBdr>
                  <w:divsChild>
                    <w:div w:id="895438406">
                      <w:marLeft w:val="0"/>
                      <w:marRight w:val="0"/>
                      <w:marTop w:val="120"/>
                      <w:marBottom w:val="0"/>
                      <w:divBdr>
                        <w:top w:val="none" w:sz="0" w:space="0" w:color="auto"/>
                        <w:left w:val="none" w:sz="0" w:space="0" w:color="auto"/>
                        <w:bottom w:val="none" w:sz="0" w:space="0" w:color="auto"/>
                        <w:right w:val="none" w:sz="0" w:space="0" w:color="auto"/>
                      </w:divBdr>
                    </w:div>
                    <w:div w:id="175586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1973294">
      <w:bodyDiv w:val="1"/>
      <w:marLeft w:val="0"/>
      <w:marRight w:val="0"/>
      <w:marTop w:val="0"/>
      <w:marBottom w:val="0"/>
      <w:divBdr>
        <w:top w:val="none" w:sz="0" w:space="0" w:color="auto"/>
        <w:left w:val="none" w:sz="0" w:space="0" w:color="auto"/>
        <w:bottom w:val="none" w:sz="0" w:space="0" w:color="auto"/>
        <w:right w:val="none" w:sz="0" w:space="0" w:color="auto"/>
      </w:divBdr>
      <w:divsChild>
        <w:div w:id="2018143905">
          <w:marLeft w:val="0"/>
          <w:marRight w:val="0"/>
          <w:marTop w:val="0"/>
          <w:marBottom w:val="0"/>
          <w:divBdr>
            <w:top w:val="none" w:sz="0" w:space="0" w:color="auto"/>
            <w:left w:val="none" w:sz="0" w:space="0" w:color="auto"/>
            <w:bottom w:val="none" w:sz="0" w:space="0" w:color="auto"/>
            <w:right w:val="none" w:sz="0" w:space="0" w:color="auto"/>
          </w:divBdr>
          <w:divsChild>
            <w:div w:id="164025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961157">
      <w:bodyDiv w:val="1"/>
      <w:marLeft w:val="0"/>
      <w:marRight w:val="0"/>
      <w:marTop w:val="0"/>
      <w:marBottom w:val="0"/>
      <w:divBdr>
        <w:top w:val="none" w:sz="0" w:space="0" w:color="auto"/>
        <w:left w:val="none" w:sz="0" w:space="0" w:color="auto"/>
        <w:bottom w:val="none" w:sz="0" w:space="0" w:color="auto"/>
        <w:right w:val="none" w:sz="0" w:space="0" w:color="auto"/>
      </w:divBdr>
      <w:divsChild>
        <w:div w:id="1926960721">
          <w:marLeft w:val="0"/>
          <w:marRight w:val="0"/>
          <w:marTop w:val="0"/>
          <w:marBottom w:val="0"/>
          <w:divBdr>
            <w:top w:val="none" w:sz="0" w:space="0" w:color="auto"/>
            <w:left w:val="none" w:sz="0" w:space="0" w:color="auto"/>
            <w:bottom w:val="none" w:sz="0" w:space="0" w:color="auto"/>
            <w:right w:val="none" w:sz="0" w:space="0" w:color="auto"/>
          </w:divBdr>
          <w:divsChild>
            <w:div w:id="1979340312">
              <w:marLeft w:val="0"/>
              <w:marRight w:val="0"/>
              <w:marTop w:val="0"/>
              <w:marBottom w:val="0"/>
              <w:divBdr>
                <w:top w:val="none" w:sz="0" w:space="0" w:color="auto"/>
                <w:left w:val="none" w:sz="0" w:space="0" w:color="auto"/>
                <w:bottom w:val="none" w:sz="0" w:space="0" w:color="auto"/>
                <w:right w:val="none" w:sz="0" w:space="0" w:color="auto"/>
              </w:divBdr>
              <w:divsChild>
                <w:div w:id="881553225">
                  <w:marLeft w:val="0"/>
                  <w:marRight w:val="0"/>
                  <w:marTop w:val="0"/>
                  <w:marBottom w:val="0"/>
                  <w:divBdr>
                    <w:top w:val="none" w:sz="0" w:space="0" w:color="auto"/>
                    <w:left w:val="none" w:sz="0" w:space="0" w:color="auto"/>
                    <w:bottom w:val="none" w:sz="0" w:space="0" w:color="auto"/>
                    <w:right w:val="none" w:sz="0" w:space="0" w:color="auto"/>
                  </w:divBdr>
                  <w:divsChild>
                    <w:div w:id="1007712143">
                      <w:marLeft w:val="0"/>
                      <w:marRight w:val="0"/>
                      <w:marTop w:val="120"/>
                      <w:marBottom w:val="0"/>
                      <w:divBdr>
                        <w:top w:val="none" w:sz="0" w:space="0" w:color="auto"/>
                        <w:left w:val="none" w:sz="0" w:space="0" w:color="auto"/>
                        <w:bottom w:val="none" w:sz="0" w:space="0" w:color="auto"/>
                        <w:right w:val="none" w:sz="0" w:space="0" w:color="auto"/>
                      </w:divBdr>
                    </w:div>
                    <w:div w:id="1230968271">
                      <w:marLeft w:val="0"/>
                      <w:marRight w:val="0"/>
                      <w:marTop w:val="0"/>
                      <w:marBottom w:val="0"/>
                      <w:divBdr>
                        <w:top w:val="none" w:sz="0" w:space="0" w:color="auto"/>
                        <w:left w:val="none" w:sz="0" w:space="0" w:color="auto"/>
                        <w:bottom w:val="none" w:sz="0" w:space="0" w:color="auto"/>
                        <w:right w:val="none" w:sz="0" w:space="0" w:color="auto"/>
                      </w:divBdr>
                    </w:div>
                  </w:divsChild>
                </w:div>
                <w:div w:id="1095438607">
                  <w:marLeft w:val="0"/>
                  <w:marRight w:val="0"/>
                  <w:marTop w:val="0"/>
                  <w:marBottom w:val="0"/>
                  <w:divBdr>
                    <w:top w:val="none" w:sz="0" w:space="0" w:color="auto"/>
                    <w:left w:val="none" w:sz="0" w:space="0" w:color="auto"/>
                    <w:bottom w:val="none" w:sz="0" w:space="0" w:color="auto"/>
                    <w:right w:val="none" w:sz="0" w:space="0" w:color="auto"/>
                  </w:divBdr>
                  <w:divsChild>
                    <w:div w:id="48308712">
                      <w:marLeft w:val="0"/>
                      <w:marRight w:val="0"/>
                      <w:marTop w:val="0"/>
                      <w:marBottom w:val="0"/>
                      <w:divBdr>
                        <w:top w:val="none" w:sz="0" w:space="0" w:color="auto"/>
                        <w:left w:val="none" w:sz="0" w:space="0" w:color="auto"/>
                        <w:bottom w:val="none" w:sz="0" w:space="0" w:color="auto"/>
                        <w:right w:val="none" w:sz="0" w:space="0" w:color="auto"/>
                      </w:divBdr>
                    </w:div>
                    <w:div w:id="2006584885">
                      <w:marLeft w:val="0"/>
                      <w:marRight w:val="0"/>
                      <w:marTop w:val="120"/>
                      <w:marBottom w:val="0"/>
                      <w:divBdr>
                        <w:top w:val="none" w:sz="0" w:space="0" w:color="auto"/>
                        <w:left w:val="none" w:sz="0" w:space="0" w:color="auto"/>
                        <w:bottom w:val="none" w:sz="0" w:space="0" w:color="auto"/>
                        <w:right w:val="none" w:sz="0" w:space="0" w:color="auto"/>
                      </w:divBdr>
                    </w:div>
                  </w:divsChild>
                </w:div>
                <w:div w:id="1717388044">
                  <w:marLeft w:val="0"/>
                  <w:marRight w:val="0"/>
                  <w:marTop w:val="0"/>
                  <w:marBottom w:val="0"/>
                  <w:divBdr>
                    <w:top w:val="none" w:sz="0" w:space="0" w:color="auto"/>
                    <w:left w:val="none" w:sz="0" w:space="0" w:color="auto"/>
                    <w:bottom w:val="none" w:sz="0" w:space="0" w:color="auto"/>
                    <w:right w:val="none" w:sz="0" w:space="0" w:color="auto"/>
                  </w:divBdr>
                  <w:divsChild>
                    <w:div w:id="1064261527">
                      <w:marLeft w:val="0"/>
                      <w:marRight w:val="0"/>
                      <w:marTop w:val="120"/>
                      <w:marBottom w:val="0"/>
                      <w:divBdr>
                        <w:top w:val="none" w:sz="0" w:space="0" w:color="auto"/>
                        <w:left w:val="none" w:sz="0" w:space="0" w:color="auto"/>
                        <w:bottom w:val="none" w:sz="0" w:space="0" w:color="auto"/>
                        <w:right w:val="none" w:sz="0" w:space="0" w:color="auto"/>
                      </w:divBdr>
                    </w:div>
                    <w:div w:id="1446844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3132632">
      <w:bodyDiv w:val="1"/>
      <w:marLeft w:val="0"/>
      <w:marRight w:val="0"/>
      <w:marTop w:val="0"/>
      <w:marBottom w:val="0"/>
      <w:divBdr>
        <w:top w:val="none" w:sz="0" w:space="0" w:color="auto"/>
        <w:left w:val="none" w:sz="0" w:space="0" w:color="auto"/>
        <w:bottom w:val="none" w:sz="0" w:space="0" w:color="auto"/>
        <w:right w:val="none" w:sz="0" w:space="0" w:color="auto"/>
      </w:divBdr>
      <w:divsChild>
        <w:div w:id="1300187890">
          <w:marLeft w:val="0"/>
          <w:marRight w:val="0"/>
          <w:marTop w:val="0"/>
          <w:marBottom w:val="0"/>
          <w:divBdr>
            <w:top w:val="none" w:sz="0" w:space="0" w:color="auto"/>
            <w:left w:val="none" w:sz="0" w:space="0" w:color="auto"/>
            <w:bottom w:val="none" w:sz="0" w:space="0" w:color="auto"/>
            <w:right w:val="none" w:sz="0" w:space="0" w:color="auto"/>
          </w:divBdr>
        </w:div>
      </w:divsChild>
    </w:div>
    <w:div w:id="1133904243">
      <w:bodyDiv w:val="1"/>
      <w:marLeft w:val="0"/>
      <w:marRight w:val="0"/>
      <w:marTop w:val="0"/>
      <w:marBottom w:val="0"/>
      <w:divBdr>
        <w:top w:val="none" w:sz="0" w:space="0" w:color="auto"/>
        <w:left w:val="none" w:sz="0" w:space="0" w:color="auto"/>
        <w:bottom w:val="none" w:sz="0" w:space="0" w:color="auto"/>
        <w:right w:val="none" w:sz="0" w:space="0" w:color="auto"/>
      </w:divBdr>
      <w:divsChild>
        <w:div w:id="1177773837">
          <w:marLeft w:val="0"/>
          <w:marRight w:val="0"/>
          <w:marTop w:val="120"/>
          <w:marBottom w:val="0"/>
          <w:divBdr>
            <w:top w:val="none" w:sz="0" w:space="0" w:color="auto"/>
            <w:left w:val="none" w:sz="0" w:space="0" w:color="auto"/>
            <w:bottom w:val="none" w:sz="0" w:space="0" w:color="auto"/>
            <w:right w:val="none" w:sz="0" w:space="0" w:color="auto"/>
          </w:divBdr>
        </w:div>
        <w:div w:id="2085226051">
          <w:marLeft w:val="0"/>
          <w:marRight w:val="0"/>
          <w:marTop w:val="0"/>
          <w:marBottom w:val="0"/>
          <w:divBdr>
            <w:top w:val="none" w:sz="0" w:space="0" w:color="auto"/>
            <w:left w:val="none" w:sz="0" w:space="0" w:color="auto"/>
            <w:bottom w:val="none" w:sz="0" w:space="0" w:color="auto"/>
            <w:right w:val="none" w:sz="0" w:space="0" w:color="auto"/>
          </w:divBdr>
        </w:div>
      </w:divsChild>
    </w:div>
    <w:div w:id="1156263536">
      <w:bodyDiv w:val="1"/>
      <w:marLeft w:val="0"/>
      <w:marRight w:val="0"/>
      <w:marTop w:val="0"/>
      <w:marBottom w:val="0"/>
      <w:divBdr>
        <w:top w:val="none" w:sz="0" w:space="0" w:color="auto"/>
        <w:left w:val="none" w:sz="0" w:space="0" w:color="auto"/>
        <w:bottom w:val="none" w:sz="0" w:space="0" w:color="auto"/>
        <w:right w:val="none" w:sz="0" w:space="0" w:color="auto"/>
      </w:divBdr>
      <w:divsChild>
        <w:div w:id="799954825">
          <w:marLeft w:val="0"/>
          <w:marRight w:val="0"/>
          <w:marTop w:val="0"/>
          <w:marBottom w:val="0"/>
          <w:divBdr>
            <w:top w:val="none" w:sz="0" w:space="0" w:color="auto"/>
            <w:left w:val="none" w:sz="0" w:space="0" w:color="auto"/>
            <w:bottom w:val="none" w:sz="0" w:space="0" w:color="auto"/>
            <w:right w:val="none" w:sz="0" w:space="0" w:color="auto"/>
          </w:divBdr>
        </w:div>
      </w:divsChild>
    </w:div>
    <w:div w:id="1176845508">
      <w:bodyDiv w:val="1"/>
      <w:marLeft w:val="0"/>
      <w:marRight w:val="0"/>
      <w:marTop w:val="0"/>
      <w:marBottom w:val="0"/>
      <w:divBdr>
        <w:top w:val="none" w:sz="0" w:space="0" w:color="auto"/>
        <w:left w:val="none" w:sz="0" w:space="0" w:color="auto"/>
        <w:bottom w:val="none" w:sz="0" w:space="0" w:color="auto"/>
        <w:right w:val="none" w:sz="0" w:space="0" w:color="auto"/>
      </w:divBdr>
    </w:div>
    <w:div w:id="1176965389">
      <w:bodyDiv w:val="1"/>
      <w:marLeft w:val="0"/>
      <w:marRight w:val="0"/>
      <w:marTop w:val="0"/>
      <w:marBottom w:val="0"/>
      <w:divBdr>
        <w:top w:val="none" w:sz="0" w:space="0" w:color="auto"/>
        <w:left w:val="none" w:sz="0" w:space="0" w:color="auto"/>
        <w:bottom w:val="none" w:sz="0" w:space="0" w:color="auto"/>
        <w:right w:val="none" w:sz="0" w:space="0" w:color="auto"/>
      </w:divBdr>
    </w:div>
    <w:div w:id="1184247300">
      <w:bodyDiv w:val="1"/>
      <w:marLeft w:val="0"/>
      <w:marRight w:val="0"/>
      <w:marTop w:val="0"/>
      <w:marBottom w:val="0"/>
      <w:divBdr>
        <w:top w:val="none" w:sz="0" w:space="0" w:color="auto"/>
        <w:left w:val="none" w:sz="0" w:space="0" w:color="auto"/>
        <w:bottom w:val="none" w:sz="0" w:space="0" w:color="auto"/>
        <w:right w:val="none" w:sz="0" w:space="0" w:color="auto"/>
      </w:divBdr>
    </w:div>
    <w:div w:id="1190029485">
      <w:bodyDiv w:val="1"/>
      <w:marLeft w:val="0"/>
      <w:marRight w:val="0"/>
      <w:marTop w:val="0"/>
      <w:marBottom w:val="0"/>
      <w:divBdr>
        <w:top w:val="none" w:sz="0" w:space="0" w:color="auto"/>
        <w:left w:val="none" w:sz="0" w:space="0" w:color="auto"/>
        <w:bottom w:val="none" w:sz="0" w:space="0" w:color="auto"/>
        <w:right w:val="none" w:sz="0" w:space="0" w:color="auto"/>
      </w:divBdr>
    </w:div>
    <w:div w:id="1191988084">
      <w:bodyDiv w:val="1"/>
      <w:marLeft w:val="0"/>
      <w:marRight w:val="0"/>
      <w:marTop w:val="0"/>
      <w:marBottom w:val="0"/>
      <w:divBdr>
        <w:top w:val="none" w:sz="0" w:space="0" w:color="auto"/>
        <w:left w:val="none" w:sz="0" w:space="0" w:color="auto"/>
        <w:bottom w:val="none" w:sz="0" w:space="0" w:color="auto"/>
        <w:right w:val="none" w:sz="0" w:space="0" w:color="auto"/>
      </w:divBdr>
      <w:divsChild>
        <w:div w:id="28799776">
          <w:marLeft w:val="0"/>
          <w:marRight w:val="0"/>
          <w:marTop w:val="0"/>
          <w:marBottom w:val="0"/>
          <w:divBdr>
            <w:top w:val="none" w:sz="0" w:space="0" w:color="auto"/>
            <w:left w:val="none" w:sz="0" w:space="0" w:color="auto"/>
            <w:bottom w:val="none" w:sz="0" w:space="0" w:color="auto"/>
            <w:right w:val="none" w:sz="0" w:space="0" w:color="auto"/>
          </w:divBdr>
          <w:divsChild>
            <w:div w:id="662392343">
              <w:marLeft w:val="0"/>
              <w:marRight w:val="0"/>
              <w:marTop w:val="0"/>
              <w:marBottom w:val="0"/>
              <w:divBdr>
                <w:top w:val="none" w:sz="0" w:space="0" w:color="auto"/>
                <w:left w:val="none" w:sz="0" w:space="0" w:color="auto"/>
                <w:bottom w:val="none" w:sz="0" w:space="0" w:color="auto"/>
                <w:right w:val="none" w:sz="0" w:space="0" w:color="auto"/>
              </w:divBdr>
              <w:divsChild>
                <w:div w:id="1008479933">
                  <w:marLeft w:val="0"/>
                  <w:marRight w:val="0"/>
                  <w:marTop w:val="0"/>
                  <w:marBottom w:val="0"/>
                  <w:divBdr>
                    <w:top w:val="none" w:sz="0" w:space="0" w:color="auto"/>
                    <w:left w:val="none" w:sz="0" w:space="0" w:color="auto"/>
                    <w:bottom w:val="none" w:sz="0" w:space="0" w:color="auto"/>
                    <w:right w:val="none" w:sz="0" w:space="0" w:color="auto"/>
                  </w:divBdr>
                </w:div>
                <w:div w:id="1593275241">
                  <w:marLeft w:val="0"/>
                  <w:marRight w:val="0"/>
                  <w:marTop w:val="120"/>
                  <w:marBottom w:val="0"/>
                  <w:divBdr>
                    <w:top w:val="none" w:sz="0" w:space="0" w:color="auto"/>
                    <w:left w:val="none" w:sz="0" w:space="0" w:color="auto"/>
                    <w:bottom w:val="none" w:sz="0" w:space="0" w:color="auto"/>
                    <w:right w:val="none" w:sz="0" w:space="0" w:color="auto"/>
                  </w:divBdr>
                </w:div>
              </w:divsChild>
            </w:div>
            <w:div w:id="814219931">
              <w:marLeft w:val="0"/>
              <w:marRight w:val="0"/>
              <w:marTop w:val="0"/>
              <w:marBottom w:val="0"/>
              <w:divBdr>
                <w:top w:val="none" w:sz="0" w:space="0" w:color="auto"/>
                <w:left w:val="none" w:sz="0" w:space="0" w:color="auto"/>
                <w:bottom w:val="none" w:sz="0" w:space="0" w:color="auto"/>
                <w:right w:val="none" w:sz="0" w:space="0" w:color="auto"/>
              </w:divBdr>
              <w:divsChild>
                <w:div w:id="1996950185">
                  <w:marLeft w:val="0"/>
                  <w:marRight w:val="0"/>
                  <w:marTop w:val="120"/>
                  <w:marBottom w:val="0"/>
                  <w:divBdr>
                    <w:top w:val="none" w:sz="0" w:space="0" w:color="auto"/>
                    <w:left w:val="none" w:sz="0" w:space="0" w:color="auto"/>
                    <w:bottom w:val="none" w:sz="0" w:space="0" w:color="auto"/>
                    <w:right w:val="none" w:sz="0" w:space="0" w:color="auto"/>
                  </w:divBdr>
                </w:div>
                <w:div w:id="2108499842">
                  <w:marLeft w:val="0"/>
                  <w:marRight w:val="0"/>
                  <w:marTop w:val="0"/>
                  <w:marBottom w:val="0"/>
                  <w:divBdr>
                    <w:top w:val="none" w:sz="0" w:space="0" w:color="auto"/>
                    <w:left w:val="none" w:sz="0" w:space="0" w:color="auto"/>
                    <w:bottom w:val="none" w:sz="0" w:space="0" w:color="auto"/>
                    <w:right w:val="none" w:sz="0" w:space="0" w:color="auto"/>
                  </w:divBdr>
                </w:div>
              </w:divsChild>
            </w:div>
            <w:div w:id="2140105769">
              <w:marLeft w:val="0"/>
              <w:marRight w:val="0"/>
              <w:marTop w:val="0"/>
              <w:marBottom w:val="0"/>
              <w:divBdr>
                <w:top w:val="none" w:sz="0" w:space="0" w:color="auto"/>
                <w:left w:val="none" w:sz="0" w:space="0" w:color="auto"/>
                <w:bottom w:val="none" w:sz="0" w:space="0" w:color="auto"/>
                <w:right w:val="none" w:sz="0" w:space="0" w:color="auto"/>
              </w:divBdr>
              <w:divsChild>
                <w:div w:id="49698869">
                  <w:marLeft w:val="0"/>
                  <w:marRight w:val="0"/>
                  <w:marTop w:val="0"/>
                  <w:marBottom w:val="0"/>
                  <w:divBdr>
                    <w:top w:val="none" w:sz="0" w:space="0" w:color="auto"/>
                    <w:left w:val="none" w:sz="0" w:space="0" w:color="auto"/>
                    <w:bottom w:val="none" w:sz="0" w:space="0" w:color="auto"/>
                    <w:right w:val="none" w:sz="0" w:space="0" w:color="auto"/>
                  </w:divBdr>
                </w:div>
                <w:div w:id="205653910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98356082">
      <w:bodyDiv w:val="1"/>
      <w:marLeft w:val="0"/>
      <w:marRight w:val="0"/>
      <w:marTop w:val="0"/>
      <w:marBottom w:val="0"/>
      <w:divBdr>
        <w:top w:val="none" w:sz="0" w:space="0" w:color="auto"/>
        <w:left w:val="none" w:sz="0" w:space="0" w:color="auto"/>
        <w:bottom w:val="none" w:sz="0" w:space="0" w:color="auto"/>
        <w:right w:val="none" w:sz="0" w:space="0" w:color="auto"/>
      </w:divBdr>
      <w:divsChild>
        <w:div w:id="305093040">
          <w:marLeft w:val="0"/>
          <w:marRight w:val="0"/>
          <w:marTop w:val="0"/>
          <w:marBottom w:val="0"/>
          <w:divBdr>
            <w:top w:val="none" w:sz="0" w:space="0" w:color="auto"/>
            <w:left w:val="none" w:sz="0" w:space="0" w:color="auto"/>
            <w:bottom w:val="none" w:sz="0" w:space="0" w:color="auto"/>
            <w:right w:val="none" w:sz="0" w:space="0" w:color="auto"/>
          </w:divBdr>
          <w:divsChild>
            <w:div w:id="63991114">
              <w:marLeft w:val="0"/>
              <w:marRight w:val="0"/>
              <w:marTop w:val="0"/>
              <w:marBottom w:val="0"/>
              <w:divBdr>
                <w:top w:val="none" w:sz="0" w:space="0" w:color="auto"/>
                <w:left w:val="none" w:sz="0" w:space="0" w:color="auto"/>
                <w:bottom w:val="none" w:sz="0" w:space="0" w:color="auto"/>
                <w:right w:val="none" w:sz="0" w:space="0" w:color="auto"/>
              </w:divBdr>
              <w:divsChild>
                <w:div w:id="276522071">
                  <w:marLeft w:val="0"/>
                  <w:marRight w:val="0"/>
                  <w:marTop w:val="0"/>
                  <w:marBottom w:val="0"/>
                  <w:divBdr>
                    <w:top w:val="none" w:sz="0" w:space="0" w:color="auto"/>
                    <w:left w:val="none" w:sz="0" w:space="0" w:color="auto"/>
                    <w:bottom w:val="none" w:sz="0" w:space="0" w:color="auto"/>
                    <w:right w:val="none" w:sz="0" w:space="0" w:color="auto"/>
                  </w:divBdr>
                </w:div>
                <w:div w:id="364795697">
                  <w:marLeft w:val="0"/>
                  <w:marRight w:val="0"/>
                  <w:marTop w:val="120"/>
                  <w:marBottom w:val="0"/>
                  <w:divBdr>
                    <w:top w:val="none" w:sz="0" w:space="0" w:color="auto"/>
                    <w:left w:val="none" w:sz="0" w:space="0" w:color="auto"/>
                    <w:bottom w:val="none" w:sz="0" w:space="0" w:color="auto"/>
                    <w:right w:val="none" w:sz="0" w:space="0" w:color="auto"/>
                  </w:divBdr>
                </w:div>
              </w:divsChild>
            </w:div>
            <w:div w:id="190581187">
              <w:marLeft w:val="0"/>
              <w:marRight w:val="0"/>
              <w:marTop w:val="0"/>
              <w:marBottom w:val="0"/>
              <w:divBdr>
                <w:top w:val="none" w:sz="0" w:space="0" w:color="auto"/>
                <w:left w:val="none" w:sz="0" w:space="0" w:color="auto"/>
                <w:bottom w:val="none" w:sz="0" w:space="0" w:color="auto"/>
                <w:right w:val="none" w:sz="0" w:space="0" w:color="auto"/>
              </w:divBdr>
              <w:divsChild>
                <w:div w:id="653607150">
                  <w:marLeft w:val="0"/>
                  <w:marRight w:val="0"/>
                  <w:marTop w:val="0"/>
                  <w:marBottom w:val="0"/>
                  <w:divBdr>
                    <w:top w:val="none" w:sz="0" w:space="0" w:color="auto"/>
                    <w:left w:val="none" w:sz="0" w:space="0" w:color="auto"/>
                    <w:bottom w:val="none" w:sz="0" w:space="0" w:color="auto"/>
                    <w:right w:val="none" w:sz="0" w:space="0" w:color="auto"/>
                  </w:divBdr>
                </w:div>
                <w:div w:id="1819032141">
                  <w:marLeft w:val="0"/>
                  <w:marRight w:val="0"/>
                  <w:marTop w:val="120"/>
                  <w:marBottom w:val="0"/>
                  <w:divBdr>
                    <w:top w:val="none" w:sz="0" w:space="0" w:color="auto"/>
                    <w:left w:val="none" w:sz="0" w:space="0" w:color="auto"/>
                    <w:bottom w:val="none" w:sz="0" w:space="0" w:color="auto"/>
                    <w:right w:val="none" w:sz="0" w:space="0" w:color="auto"/>
                  </w:divBdr>
                </w:div>
              </w:divsChild>
            </w:div>
            <w:div w:id="422457791">
              <w:marLeft w:val="0"/>
              <w:marRight w:val="0"/>
              <w:marTop w:val="0"/>
              <w:marBottom w:val="0"/>
              <w:divBdr>
                <w:top w:val="none" w:sz="0" w:space="0" w:color="auto"/>
                <w:left w:val="none" w:sz="0" w:space="0" w:color="auto"/>
                <w:bottom w:val="none" w:sz="0" w:space="0" w:color="auto"/>
                <w:right w:val="none" w:sz="0" w:space="0" w:color="auto"/>
              </w:divBdr>
              <w:divsChild>
                <w:div w:id="890844017">
                  <w:marLeft w:val="0"/>
                  <w:marRight w:val="0"/>
                  <w:marTop w:val="0"/>
                  <w:marBottom w:val="0"/>
                  <w:divBdr>
                    <w:top w:val="none" w:sz="0" w:space="0" w:color="auto"/>
                    <w:left w:val="none" w:sz="0" w:space="0" w:color="auto"/>
                    <w:bottom w:val="none" w:sz="0" w:space="0" w:color="auto"/>
                    <w:right w:val="none" w:sz="0" w:space="0" w:color="auto"/>
                  </w:divBdr>
                </w:div>
                <w:div w:id="1626081375">
                  <w:marLeft w:val="0"/>
                  <w:marRight w:val="0"/>
                  <w:marTop w:val="120"/>
                  <w:marBottom w:val="0"/>
                  <w:divBdr>
                    <w:top w:val="none" w:sz="0" w:space="0" w:color="auto"/>
                    <w:left w:val="none" w:sz="0" w:space="0" w:color="auto"/>
                    <w:bottom w:val="none" w:sz="0" w:space="0" w:color="auto"/>
                    <w:right w:val="none" w:sz="0" w:space="0" w:color="auto"/>
                  </w:divBdr>
                </w:div>
              </w:divsChild>
            </w:div>
            <w:div w:id="789320345">
              <w:marLeft w:val="0"/>
              <w:marRight w:val="0"/>
              <w:marTop w:val="0"/>
              <w:marBottom w:val="0"/>
              <w:divBdr>
                <w:top w:val="none" w:sz="0" w:space="0" w:color="auto"/>
                <w:left w:val="none" w:sz="0" w:space="0" w:color="auto"/>
                <w:bottom w:val="none" w:sz="0" w:space="0" w:color="auto"/>
                <w:right w:val="none" w:sz="0" w:space="0" w:color="auto"/>
              </w:divBdr>
              <w:divsChild>
                <w:div w:id="229194681">
                  <w:marLeft w:val="0"/>
                  <w:marRight w:val="0"/>
                  <w:marTop w:val="0"/>
                  <w:marBottom w:val="0"/>
                  <w:divBdr>
                    <w:top w:val="none" w:sz="0" w:space="0" w:color="auto"/>
                    <w:left w:val="none" w:sz="0" w:space="0" w:color="auto"/>
                    <w:bottom w:val="none" w:sz="0" w:space="0" w:color="auto"/>
                    <w:right w:val="none" w:sz="0" w:space="0" w:color="auto"/>
                  </w:divBdr>
                </w:div>
                <w:div w:id="908423860">
                  <w:marLeft w:val="0"/>
                  <w:marRight w:val="0"/>
                  <w:marTop w:val="120"/>
                  <w:marBottom w:val="0"/>
                  <w:divBdr>
                    <w:top w:val="none" w:sz="0" w:space="0" w:color="auto"/>
                    <w:left w:val="none" w:sz="0" w:space="0" w:color="auto"/>
                    <w:bottom w:val="none" w:sz="0" w:space="0" w:color="auto"/>
                    <w:right w:val="none" w:sz="0" w:space="0" w:color="auto"/>
                  </w:divBdr>
                </w:div>
              </w:divsChild>
            </w:div>
            <w:div w:id="1178346504">
              <w:marLeft w:val="0"/>
              <w:marRight w:val="0"/>
              <w:marTop w:val="0"/>
              <w:marBottom w:val="0"/>
              <w:divBdr>
                <w:top w:val="none" w:sz="0" w:space="0" w:color="auto"/>
                <w:left w:val="none" w:sz="0" w:space="0" w:color="auto"/>
                <w:bottom w:val="none" w:sz="0" w:space="0" w:color="auto"/>
                <w:right w:val="none" w:sz="0" w:space="0" w:color="auto"/>
              </w:divBdr>
              <w:divsChild>
                <w:div w:id="1234587507">
                  <w:marLeft w:val="0"/>
                  <w:marRight w:val="0"/>
                  <w:marTop w:val="120"/>
                  <w:marBottom w:val="0"/>
                  <w:divBdr>
                    <w:top w:val="none" w:sz="0" w:space="0" w:color="auto"/>
                    <w:left w:val="none" w:sz="0" w:space="0" w:color="auto"/>
                    <w:bottom w:val="none" w:sz="0" w:space="0" w:color="auto"/>
                    <w:right w:val="none" w:sz="0" w:space="0" w:color="auto"/>
                  </w:divBdr>
                </w:div>
                <w:div w:id="1573197667">
                  <w:marLeft w:val="0"/>
                  <w:marRight w:val="0"/>
                  <w:marTop w:val="0"/>
                  <w:marBottom w:val="0"/>
                  <w:divBdr>
                    <w:top w:val="none" w:sz="0" w:space="0" w:color="auto"/>
                    <w:left w:val="none" w:sz="0" w:space="0" w:color="auto"/>
                    <w:bottom w:val="none" w:sz="0" w:space="0" w:color="auto"/>
                    <w:right w:val="none" w:sz="0" w:space="0" w:color="auto"/>
                  </w:divBdr>
                  <w:divsChild>
                    <w:div w:id="1241601926">
                      <w:marLeft w:val="0"/>
                      <w:marRight w:val="0"/>
                      <w:marTop w:val="0"/>
                      <w:marBottom w:val="0"/>
                      <w:divBdr>
                        <w:top w:val="none" w:sz="0" w:space="0" w:color="auto"/>
                        <w:left w:val="none" w:sz="0" w:space="0" w:color="auto"/>
                        <w:bottom w:val="none" w:sz="0" w:space="0" w:color="auto"/>
                        <w:right w:val="none" w:sz="0" w:space="0" w:color="auto"/>
                      </w:divBdr>
                      <w:divsChild>
                        <w:div w:id="149637911">
                          <w:marLeft w:val="0"/>
                          <w:marRight w:val="0"/>
                          <w:marTop w:val="120"/>
                          <w:marBottom w:val="0"/>
                          <w:divBdr>
                            <w:top w:val="none" w:sz="0" w:space="0" w:color="auto"/>
                            <w:left w:val="none" w:sz="0" w:space="0" w:color="auto"/>
                            <w:bottom w:val="none" w:sz="0" w:space="0" w:color="auto"/>
                            <w:right w:val="none" w:sz="0" w:space="0" w:color="auto"/>
                          </w:divBdr>
                        </w:div>
                        <w:div w:id="1317417879">
                          <w:marLeft w:val="0"/>
                          <w:marRight w:val="0"/>
                          <w:marTop w:val="0"/>
                          <w:marBottom w:val="0"/>
                          <w:divBdr>
                            <w:top w:val="none" w:sz="0" w:space="0" w:color="auto"/>
                            <w:left w:val="none" w:sz="0" w:space="0" w:color="auto"/>
                            <w:bottom w:val="none" w:sz="0" w:space="0" w:color="auto"/>
                            <w:right w:val="none" w:sz="0" w:space="0" w:color="auto"/>
                          </w:divBdr>
                        </w:div>
                      </w:divsChild>
                    </w:div>
                    <w:div w:id="1347756124">
                      <w:marLeft w:val="0"/>
                      <w:marRight w:val="0"/>
                      <w:marTop w:val="0"/>
                      <w:marBottom w:val="0"/>
                      <w:divBdr>
                        <w:top w:val="none" w:sz="0" w:space="0" w:color="auto"/>
                        <w:left w:val="none" w:sz="0" w:space="0" w:color="auto"/>
                        <w:bottom w:val="none" w:sz="0" w:space="0" w:color="auto"/>
                        <w:right w:val="none" w:sz="0" w:space="0" w:color="auto"/>
                      </w:divBdr>
                      <w:divsChild>
                        <w:div w:id="133526216">
                          <w:marLeft w:val="0"/>
                          <w:marRight w:val="0"/>
                          <w:marTop w:val="120"/>
                          <w:marBottom w:val="0"/>
                          <w:divBdr>
                            <w:top w:val="none" w:sz="0" w:space="0" w:color="auto"/>
                            <w:left w:val="none" w:sz="0" w:space="0" w:color="auto"/>
                            <w:bottom w:val="none" w:sz="0" w:space="0" w:color="auto"/>
                            <w:right w:val="none" w:sz="0" w:space="0" w:color="auto"/>
                          </w:divBdr>
                        </w:div>
                        <w:div w:id="451945313">
                          <w:marLeft w:val="0"/>
                          <w:marRight w:val="0"/>
                          <w:marTop w:val="0"/>
                          <w:marBottom w:val="0"/>
                          <w:divBdr>
                            <w:top w:val="none" w:sz="0" w:space="0" w:color="auto"/>
                            <w:left w:val="none" w:sz="0" w:space="0" w:color="auto"/>
                            <w:bottom w:val="none" w:sz="0" w:space="0" w:color="auto"/>
                            <w:right w:val="none" w:sz="0" w:space="0" w:color="auto"/>
                          </w:divBdr>
                        </w:div>
                      </w:divsChild>
                    </w:div>
                    <w:div w:id="2042317868">
                      <w:marLeft w:val="0"/>
                      <w:marRight w:val="0"/>
                      <w:marTop w:val="0"/>
                      <w:marBottom w:val="0"/>
                      <w:divBdr>
                        <w:top w:val="none" w:sz="0" w:space="0" w:color="auto"/>
                        <w:left w:val="none" w:sz="0" w:space="0" w:color="auto"/>
                        <w:bottom w:val="none" w:sz="0" w:space="0" w:color="auto"/>
                        <w:right w:val="none" w:sz="0" w:space="0" w:color="auto"/>
                      </w:divBdr>
                      <w:divsChild>
                        <w:div w:id="708385116">
                          <w:marLeft w:val="0"/>
                          <w:marRight w:val="0"/>
                          <w:marTop w:val="0"/>
                          <w:marBottom w:val="0"/>
                          <w:divBdr>
                            <w:top w:val="none" w:sz="0" w:space="0" w:color="auto"/>
                            <w:left w:val="none" w:sz="0" w:space="0" w:color="auto"/>
                            <w:bottom w:val="none" w:sz="0" w:space="0" w:color="auto"/>
                            <w:right w:val="none" w:sz="0" w:space="0" w:color="auto"/>
                          </w:divBdr>
                        </w:div>
                        <w:div w:id="126013737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39806291">
              <w:marLeft w:val="0"/>
              <w:marRight w:val="0"/>
              <w:marTop w:val="0"/>
              <w:marBottom w:val="0"/>
              <w:divBdr>
                <w:top w:val="none" w:sz="0" w:space="0" w:color="auto"/>
                <w:left w:val="none" w:sz="0" w:space="0" w:color="auto"/>
                <w:bottom w:val="none" w:sz="0" w:space="0" w:color="auto"/>
                <w:right w:val="none" w:sz="0" w:space="0" w:color="auto"/>
              </w:divBdr>
              <w:divsChild>
                <w:div w:id="1944873776">
                  <w:marLeft w:val="0"/>
                  <w:marRight w:val="0"/>
                  <w:marTop w:val="120"/>
                  <w:marBottom w:val="0"/>
                  <w:divBdr>
                    <w:top w:val="none" w:sz="0" w:space="0" w:color="auto"/>
                    <w:left w:val="none" w:sz="0" w:space="0" w:color="auto"/>
                    <w:bottom w:val="none" w:sz="0" w:space="0" w:color="auto"/>
                    <w:right w:val="none" w:sz="0" w:space="0" w:color="auto"/>
                  </w:divBdr>
                </w:div>
                <w:div w:id="1999531926">
                  <w:marLeft w:val="0"/>
                  <w:marRight w:val="0"/>
                  <w:marTop w:val="0"/>
                  <w:marBottom w:val="0"/>
                  <w:divBdr>
                    <w:top w:val="none" w:sz="0" w:space="0" w:color="auto"/>
                    <w:left w:val="none" w:sz="0" w:space="0" w:color="auto"/>
                    <w:bottom w:val="none" w:sz="0" w:space="0" w:color="auto"/>
                    <w:right w:val="none" w:sz="0" w:space="0" w:color="auto"/>
                  </w:divBdr>
                  <w:divsChild>
                    <w:div w:id="767697962">
                      <w:marLeft w:val="0"/>
                      <w:marRight w:val="0"/>
                      <w:marTop w:val="0"/>
                      <w:marBottom w:val="0"/>
                      <w:divBdr>
                        <w:top w:val="none" w:sz="0" w:space="0" w:color="auto"/>
                        <w:left w:val="none" w:sz="0" w:space="0" w:color="auto"/>
                        <w:bottom w:val="none" w:sz="0" w:space="0" w:color="auto"/>
                        <w:right w:val="none" w:sz="0" w:space="0" w:color="auto"/>
                      </w:divBdr>
                      <w:divsChild>
                        <w:div w:id="167407330">
                          <w:marLeft w:val="0"/>
                          <w:marRight w:val="0"/>
                          <w:marTop w:val="120"/>
                          <w:marBottom w:val="0"/>
                          <w:divBdr>
                            <w:top w:val="none" w:sz="0" w:space="0" w:color="auto"/>
                            <w:left w:val="none" w:sz="0" w:space="0" w:color="auto"/>
                            <w:bottom w:val="none" w:sz="0" w:space="0" w:color="auto"/>
                            <w:right w:val="none" w:sz="0" w:space="0" w:color="auto"/>
                          </w:divBdr>
                        </w:div>
                        <w:div w:id="257644121">
                          <w:marLeft w:val="0"/>
                          <w:marRight w:val="0"/>
                          <w:marTop w:val="0"/>
                          <w:marBottom w:val="0"/>
                          <w:divBdr>
                            <w:top w:val="none" w:sz="0" w:space="0" w:color="auto"/>
                            <w:left w:val="none" w:sz="0" w:space="0" w:color="auto"/>
                            <w:bottom w:val="none" w:sz="0" w:space="0" w:color="auto"/>
                            <w:right w:val="none" w:sz="0" w:space="0" w:color="auto"/>
                          </w:divBdr>
                        </w:div>
                      </w:divsChild>
                    </w:div>
                    <w:div w:id="1716541613">
                      <w:marLeft w:val="0"/>
                      <w:marRight w:val="0"/>
                      <w:marTop w:val="0"/>
                      <w:marBottom w:val="0"/>
                      <w:divBdr>
                        <w:top w:val="none" w:sz="0" w:space="0" w:color="auto"/>
                        <w:left w:val="none" w:sz="0" w:space="0" w:color="auto"/>
                        <w:bottom w:val="none" w:sz="0" w:space="0" w:color="auto"/>
                        <w:right w:val="none" w:sz="0" w:space="0" w:color="auto"/>
                      </w:divBdr>
                      <w:divsChild>
                        <w:div w:id="1090127394">
                          <w:marLeft w:val="0"/>
                          <w:marRight w:val="0"/>
                          <w:marTop w:val="120"/>
                          <w:marBottom w:val="0"/>
                          <w:divBdr>
                            <w:top w:val="none" w:sz="0" w:space="0" w:color="auto"/>
                            <w:left w:val="none" w:sz="0" w:space="0" w:color="auto"/>
                            <w:bottom w:val="none" w:sz="0" w:space="0" w:color="auto"/>
                            <w:right w:val="none" w:sz="0" w:space="0" w:color="auto"/>
                          </w:divBdr>
                        </w:div>
                        <w:div w:id="1191142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8219175">
              <w:marLeft w:val="0"/>
              <w:marRight w:val="0"/>
              <w:marTop w:val="0"/>
              <w:marBottom w:val="0"/>
              <w:divBdr>
                <w:top w:val="none" w:sz="0" w:space="0" w:color="auto"/>
                <w:left w:val="none" w:sz="0" w:space="0" w:color="auto"/>
                <w:bottom w:val="none" w:sz="0" w:space="0" w:color="auto"/>
                <w:right w:val="none" w:sz="0" w:space="0" w:color="auto"/>
              </w:divBdr>
              <w:divsChild>
                <w:div w:id="582834621">
                  <w:marLeft w:val="0"/>
                  <w:marRight w:val="0"/>
                  <w:marTop w:val="120"/>
                  <w:marBottom w:val="0"/>
                  <w:divBdr>
                    <w:top w:val="none" w:sz="0" w:space="0" w:color="auto"/>
                    <w:left w:val="none" w:sz="0" w:space="0" w:color="auto"/>
                    <w:bottom w:val="none" w:sz="0" w:space="0" w:color="auto"/>
                    <w:right w:val="none" w:sz="0" w:space="0" w:color="auto"/>
                  </w:divBdr>
                </w:div>
                <w:div w:id="1078163647">
                  <w:marLeft w:val="0"/>
                  <w:marRight w:val="0"/>
                  <w:marTop w:val="0"/>
                  <w:marBottom w:val="0"/>
                  <w:divBdr>
                    <w:top w:val="none" w:sz="0" w:space="0" w:color="auto"/>
                    <w:left w:val="none" w:sz="0" w:space="0" w:color="auto"/>
                    <w:bottom w:val="none" w:sz="0" w:space="0" w:color="auto"/>
                    <w:right w:val="none" w:sz="0" w:space="0" w:color="auto"/>
                  </w:divBdr>
                </w:div>
              </w:divsChild>
            </w:div>
            <w:div w:id="2122187841">
              <w:marLeft w:val="0"/>
              <w:marRight w:val="0"/>
              <w:marTop w:val="0"/>
              <w:marBottom w:val="0"/>
              <w:divBdr>
                <w:top w:val="none" w:sz="0" w:space="0" w:color="auto"/>
                <w:left w:val="none" w:sz="0" w:space="0" w:color="auto"/>
                <w:bottom w:val="none" w:sz="0" w:space="0" w:color="auto"/>
                <w:right w:val="none" w:sz="0" w:space="0" w:color="auto"/>
              </w:divBdr>
              <w:divsChild>
                <w:div w:id="811170077">
                  <w:marLeft w:val="0"/>
                  <w:marRight w:val="0"/>
                  <w:marTop w:val="0"/>
                  <w:marBottom w:val="0"/>
                  <w:divBdr>
                    <w:top w:val="none" w:sz="0" w:space="0" w:color="auto"/>
                    <w:left w:val="none" w:sz="0" w:space="0" w:color="auto"/>
                    <w:bottom w:val="none" w:sz="0" w:space="0" w:color="auto"/>
                    <w:right w:val="none" w:sz="0" w:space="0" w:color="auto"/>
                  </w:divBdr>
                </w:div>
                <w:div w:id="191859435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03401566">
      <w:bodyDiv w:val="1"/>
      <w:marLeft w:val="0"/>
      <w:marRight w:val="0"/>
      <w:marTop w:val="0"/>
      <w:marBottom w:val="0"/>
      <w:divBdr>
        <w:top w:val="none" w:sz="0" w:space="0" w:color="auto"/>
        <w:left w:val="none" w:sz="0" w:space="0" w:color="auto"/>
        <w:bottom w:val="none" w:sz="0" w:space="0" w:color="auto"/>
        <w:right w:val="none" w:sz="0" w:space="0" w:color="auto"/>
      </w:divBdr>
      <w:divsChild>
        <w:div w:id="923149051">
          <w:marLeft w:val="0"/>
          <w:marRight w:val="0"/>
          <w:marTop w:val="120"/>
          <w:marBottom w:val="0"/>
          <w:divBdr>
            <w:top w:val="none" w:sz="0" w:space="0" w:color="auto"/>
            <w:left w:val="none" w:sz="0" w:space="0" w:color="auto"/>
            <w:bottom w:val="none" w:sz="0" w:space="0" w:color="auto"/>
            <w:right w:val="none" w:sz="0" w:space="0" w:color="auto"/>
          </w:divBdr>
        </w:div>
        <w:div w:id="2004241071">
          <w:marLeft w:val="0"/>
          <w:marRight w:val="0"/>
          <w:marTop w:val="0"/>
          <w:marBottom w:val="0"/>
          <w:divBdr>
            <w:top w:val="none" w:sz="0" w:space="0" w:color="auto"/>
            <w:left w:val="none" w:sz="0" w:space="0" w:color="auto"/>
            <w:bottom w:val="none" w:sz="0" w:space="0" w:color="auto"/>
            <w:right w:val="none" w:sz="0" w:space="0" w:color="auto"/>
          </w:divBdr>
        </w:div>
      </w:divsChild>
    </w:div>
    <w:div w:id="1208680508">
      <w:bodyDiv w:val="1"/>
      <w:marLeft w:val="0"/>
      <w:marRight w:val="0"/>
      <w:marTop w:val="0"/>
      <w:marBottom w:val="0"/>
      <w:divBdr>
        <w:top w:val="none" w:sz="0" w:space="0" w:color="auto"/>
        <w:left w:val="none" w:sz="0" w:space="0" w:color="auto"/>
        <w:bottom w:val="none" w:sz="0" w:space="0" w:color="auto"/>
        <w:right w:val="none" w:sz="0" w:space="0" w:color="auto"/>
      </w:divBdr>
      <w:divsChild>
        <w:div w:id="1360549899">
          <w:marLeft w:val="0"/>
          <w:marRight w:val="0"/>
          <w:marTop w:val="0"/>
          <w:marBottom w:val="0"/>
          <w:divBdr>
            <w:top w:val="none" w:sz="0" w:space="0" w:color="auto"/>
            <w:left w:val="none" w:sz="0" w:space="0" w:color="auto"/>
            <w:bottom w:val="none" w:sz="0" w:space="0" w:color="auto"/>
            <w:right w:val="none" w:sz="0" w:space="0" w:color="auto"/>
          </w:divBdr>
        </w:div>
      </w:divsChild>
    </w:div>
    <w:div w:id="1215967529">
      <w:bodyDiv w:val="1"/>
      <w:marLeft w:val="0"/>
      <w:marRight w:val="0"/>
      <w:marTop w:val="0"/>
      <w:marBottom w:val="0"/>
      <w:divBdr>
        <w:top w:val="none" w:sz="0" w:space="0" w:color="auto"/>
        <w:left w:val="none" w:sz="0" w:space="0" w:color="auto"/>
        <w:bottom w:val="none" w:sz="0" w:space="0" w:color="auto"/>
        <w:right w:val="none" w:sz="0" w:space="0" w:color="auto"/>
      </w:divBdr>
      <w:divsChild>
        <w:div w:id="1404717994">
          <w:marLeft w:val="0"/>
          <w:marRight w:val="0"/>
          <w:marTop w:val="0"/>
          <w:marBottom w:val="0"/>
          <w:divBdr>
            <w:top w:val="none" w:sz="0" w:space="0" w:color="auto"/>
            <w:left w:val="none" w:sz="0" w:space="0" w:color="auto"/>
            <w:bottom w:val="none" w:sz="0" w:space="0" w:color="auto"/>
            <w:right w:val="none" w:sz="0" w:space="0" w:color="auto"/>
          </w:divBdr>
        </w:div>
      </w:divsChild>
    </w:div>
    <w:div w:id="1216812654">
      <w:bodyDiv w:val="1"/>
      <w:marLeft w:val="0"/>
      <w:marRight w:val="0"/>
      <w:marTop w:val="0"/>
      <w:marBottom w:val="0"/>
      <w:divBdr>
        <w:top w:val="none" w:sz="0" w:space="0" w:color="auto"/>
        <w:left w:val="none" w:sz="0" w:space="0" w:color="auto"/>
        <w:bottom w:val="none" w:sz="0" w:space="0" w:color="auto"/>
        <w:right w:val="none" w:sz="0" w:space="0" w:color="auto"/>
      </w:divBdr>
      <w:divsChild>
        <w:div w:id="1178959252">
          <w:marLeft w:val="0"/>
          <w:marRight w:val="0"/>
          <w:marTop w:val="0"/>
          <w:marBottom w:val="0"/>
          <w:divBdr>
            <w:top w:val="none" w:sz="0" w:space="0" w:color="auto"/>
            <w:left w:val="none" w:sz="0" w:space="0" w:color="auto"/>
            <w:bottom w:val="none" w:sz="0" w:space="0" w:color="auto"/>
            <w:right w:val="none" w:sz="0" w:space="0" w:color="auto"/>
          </w:divBdr>
        </w:div>
      </w:divsChild>
    </w:div>
    <w:div w:id="1227373486">
      <w:bodyDiv w:val="1"/>
      <w:marLeft w:val="0"/>
      <w:marRight w:val="0"/>
      <w:marTop w:val="0"/>
      <w:marBottom w:val="0"/>
      <w:divBdr>
        <w:top w:val="none" w:sz="0" w:space="0" w:color="auto"/>
        <w:left w:val="none" w:sz="0" w:space="0" w:color="auto"/>
        <w:bottom w:val="none" w:sz="0" w:space="0" w:color="auto"/>
        <w:right w:val="none" w:sz="0" w:space="0" w:color="auto"/>
      </w:divBdr>
      <w:divsChild>
        <w:div w:id="260525621">
          <w:marLeft w:val="0"/>
          <w:marRight w:val="0"/>
          <w:marTop w:val="0"/>
          <w:marBottom w:val="0"/>
          <w:divBdr>
            <w:top w:val="none" w:sz="0" w:space="0" w:color="auto"/>
            <w:left w:val="none" w:sz="0" w:space="0" w:color="auto"/>
            <w:bottom w:val="none" w:sz="0" w:space="0" w:color="auto"/>
            <w:right w:val="none" w:sz="0" w:space="0" w:color="auto"/>
          </w:divBdr>
          <w:divsChild>
            <w:div w:id="733620637">
              <w:marLeft w:val="0"/>
              <w:marRight w:val="0"/>
              <w:marTop w:val="0"/>
              <w:marBottom w:val="0"/>
              <w:divBdr>
                <w:top w:val="none" w:sz="0" w:space="0" w:color="auto"/>
                <w:left w:val="none" w:sz="0" w:space="0" w:color="auto"/>
                <w:bottom w:val="none" w:sz="0" w:space="0" w:color="auto"/>
                <w:right w:val="none" w:sz="0" w:space="0" w:color="auto"/>
              </w:divBdr>
            </w:div>
          </w:divsChild>
        </w:div>
        <w:div w:id="1300844461">
          <w:marLeft w:val="0"/>
          <w:marRight w:val="0"/>
          <w:marTop w:val="0"/>
          <w:marBottom w:val="0"/>
          <w:divBdr>
            <w:top w:val="none" w:sz="0" w:space="0" w:color="auto"/>
            <w:left w:val="none" w:sz="0" w:space="0" w:color="auto"/>
            <w:bottom w:val="none" w:sz="0" w:space="0" w:color="auto"/>
            <w:right w:val="none" w:sz="0" w:space="0" w:color="auto"/>
          </w:divBdr>
          <w:divsChild>
            <w:div w:id="1492797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0118940">
      <w:bodyDiv w:val="1"/>
      <w:marLeft w:val="0"/>
      <w:marRight w:val="0"/>
      <w:marTop w:val="0"/>
      <w:marBottom w:val="0"/>
      <w:divBdr>
        <w:top w:val="none" w:sz="0" w:space="0" w:color="auto"/>
        <w:left w:val="none" w:sz="0" w:space="0" w:color="auto"/>
        <w:bottom w:val="none" w:sz="0" w:space="0" w:color="auto"/>
        <w:right w:val="none" w:sz="0" w:space="0" w:color="auto"/>
      </w:divBdr>
      <w:divsChild>
        <w:div w:id="1070156302">
          <w:marLeft w:val="0"/>
          <w:marRight w:val="0"/>
          <w:marTop w:val="0"/>
          <w:marBottom w:val="0"/>
          <w:divBdr>
            <w:top w:val="none" w:sz="0" w:space="0" w:color="auto"/>
            <w:left w:val="none" w:sz="0" w:space="0" w:color="auto"/>
            <w:bottom w:val="none" w:sz="0" w:space="0" w:color="auto"/>
            <w:right w:val="none" w:sz="0" w:space="0" w:color="auto"/>
          </w:divBdr>
          <w:divsChild>
            <w:div w:id="1406686379">
              <w:marLeft w:val="0"/>
              <w:marRight w:val="0"/>
              <w:marTop w:val="0"/>
              <w:marBottom w:val="0"/>
              <w:divBdr>
                <w:top w:val="none" w:sz="0" w:space="0" w:color="auto"/>
                <w:left w:val="none" w:sz="0" w:space="0" w:color="auto"/>
                <w:bottom w:val="none" w:sz="0" w:space="0" w:color="auto"/>
                <w:right w:val="none" w:sz="0" w:space="0" w:color="auto"/>
              </w:divBdr>
            </w:div>
            <w:div w:id="2089229132">
              <w:marLeft w:val="0"/>
              <w:marRight w:val="0"/>
              <w:marTop w:val="120"/>
              <w:marBottom w:val="0"/>
              <w:divBdr>
                <w:top w:val="none" w:sz="0" w:space="0" w:color="auto"/>
                <w:left w:val="none" w:sz="0" w:space="0" w:color="auto"/>
                <w:bottom w:val="none" w:sz="0" w:space="0" w:color="auto"/>
                <w:right w:val="none" w:sz="0" w:space="0" w:color="auto"/>
              </w:divBdr>
            </w:div>
          </w:divsChild>
        </w:div>
        <w:div w:id="1352954089">
          <w:marLeft w:val="0"/>
          <w:marRight w:val="0"/>
          <w:marTop w:val="0"/>
          <w:marBottom w:val="0"/>
          <w:divBdr>
            <w:top w:val="none" w:sz="0" w:space="0" w:color="auto"/>
            <w:left w:val="none" w:sz="0" w:space="0" w:color="auto"/>
            <w:bottom w:val="none" w:sz="0" w:space="0" w:color="auto"/>
            <w:right w:val="none" w:sz="0" w:space="0" w:color="auto"/>
          </w:divBdr>
          <w:divsChild>
            <w:div w:id="532154351">
              <w:marLeft w:val="0"/>
              <w:marRight w:val="0"/>
              <w:marTop w:val="120"/>
              <w:marBottom w:val="0"/>
              <w:divBdr>
                <w:top w:val="none" w:sz="0" w:space="0" w:color="auto"/>
                <w:left w:val="none" w:sz="0" w:space="0" w:color="auto"/>
                <w:bottom w:val="none" w:sz="0" w:space="0" w:color="auto"/>
                <w:right w:val="none" w:sz="0" w:space="0" w:color="auto"/>
              </w:divBdr>
            </w:div>
            <w:div w:id="1417635099">
              <w:marLeft w:val="0"/>
              <w:marRight w:val="0"/>
              <w:marTop w:val="0"/>
              <w:marBottom w:val="0"/>
              <w:divBdr>
                <w:top w:val="none" w:sz="0" w:space="0" w:color="auto"/>
                <w:left w:val="none" w:sz="0" w:space="0" w:color="auto"/>
                <w:bottom w:val="none" w:sz="0" w:space="0" w:color="auto"/>
                <w:right w:val="none" w:sz="0" w:space="0" w:color="auto"/>
              </w:divBdr>
            </w:div>
          </w:divsChild>
        </w:div>
        <w:div w:id="1397630514">
          <w:marLeft w:val="0"/>
          <w:marRight w:val="0"/>
          <w:marTop w:val="0"/>
          <w:marBottom w:val="0"/>
          <w:divBdr>
            <w:top w:val="none" w:sz="0" w:space="0" w:color="auto"/>
            <w:left w:val="none" w:sz="0" w:space="0" w:color="auto"/>
            <w:bottom w:val="none" w:sz="0" w:space="0" w:color="auto"/>
            <w:right w:val="none" w:sz="0" w:space="0" w:color="auto"/>
          </w:divBdr>
          <w:divsChild>
            <w:div w:id="1055277400">
              <w:marLeft w:val="0"/>
              <w:marRight w:val="0"/>
              <w:marTop w:val="120"/>
              <w:marBottom w:val="0"/>
              <w:divBdr>
                <w:top w:val="none" w:sz="0" w:space="0" w:color="auto"/>
                <w:left w:val="none" w:sz="0" w:space="0" w:color="auto"/>
                <w:bottom w:val="none" w:sz="0" w:space="0" w:color="auto"/>
                <w:right w:val="none" w:sz="0" w:space="0" w:color="auto"/>
              </w:divBdr>
            </w:div>
            <w:div w:id="1960911386">
              <w:marLeft w:val="0"/>
              <w:marRight w:val="0"/>
              <w:marTop w:val="0"/>
              <w:marBottom w:val="0"/>
              <w:divBdr>
                <w:top w:val="none" w:sz="0" w:space="0" w:color="auto"/>
                <w:left w:val="none" w:sz="0" w:space="0" w:color="auto"/>
                <w:bottom w:val="none" w:sz="0" w:space="0" w:color="auto"/>
                <w:right w:val="none" w:sz="0" w:space="0" w:color="auto"/>
              </w:divBdr>
            </w:div>
          </w:divsChild>
        </w:div>
        <w:div w:id="1535271087">
          <w:marLeft w:val="0"/>
          <w:marRight w:val="0"/>
          <w:marTop w:val="0"/>
          <w:marBottom w:val="0"/>
          <w:divBdr>
            <w:top w:val="none" w:sz="0" w:space="0" w:color="auto"/>
            <w:left w:val="none" w:sz="0" w:space="0" w:color="auto"/>
            <w:bottom w:val="none" w:sz="0" w:space="0" w:color="auto"/>
            <w:right w:val="none" w:sz="0" w:space="0" w:color="auto"/>
          </w:divBdr>
          <w:divsChild>
            <w:div w:id="1467352167">
              <w:marLeft w:val="0"/>
              <w:marRight w:val="0"/>
              <w:marTop w:val="120"/>
              <w:marBottom w:val="0"/>
              <w:divBdr>
                <w:top w:val="none" w:sz="0" w:space="0" w:color="auto"/>
                <w:left w:val="none" w:sz="0" w:space="0" w:color="auto"/>
                <w:bottom w:val="none" w:sz="0" w:space="0" w:color="auto"/>
                <w:right w:val="none" w:sz="0" w:space="0" w:color="auto"/>
              </w:divBdr>
            </w:div>
            <w:div w:id="1887109249">
              <w:marLeft w:val="0"/>
              <w:marRight w:val="0"/>
              <w:marTop w:val="0"/>
              <w:marBottom w:val="0"/>
              <w:divBdr>
                <w:top w:val="none" w:sz="0" w:space="0" w:color="auto"/>
                <w:left w:val="none" w:sz="0" w:space="0" w:color="auto"/>
                <w:bottom w:val="none" w:sz="0" w:space="0" w:color="auto"/>
                <w:right w:val="none" w:sz="0" w:space="0" w:color="auto"/>
              </w:divBdr>
            </w:div>
          </w:divsChild>
        </w:div>
        <w:div w:id="1549142831">
          <w:marLeft w:val="0"/>
          <w:marRight w:val="0"/>
          <w:marTop w:val="0"/>
          <w:marBottom w:val="0"/>
          <w:divBdr>
            <w:top w:val="none" w:sz="0" w:space="0" w:color="auto"/>
            <w:left w:val="none" w:sz="0" w:space="0" w:color="auto"/>
            <w:bottom w:val="none" w:sz="0" w:space="0" w:color="auto"/>
            <w:right w:val="none" w:sz="0" w:space="0" w:color="auto"/>
          </w:divBdr>
          <w:divsChild>
            <w:div w:id="268701673">
              <w:marLeft w:val="0"/>
              <w:marRight w:val="0"/>
              <w:marTop w:val="0"/>
              <w:marBottom w:val="0"/>
              <w:divBdr>
                <w:top w:val="none" w:sz="0" w:space="0" w:color="auto"/>
                <w:left w:val="none" w:sz="0" w:space="0" w:color="auto"/>
                <w:bottom w:val="none" w:sz="0" w:space="0" w:color="auto"/>
                <w:right w:val="none" w:sz="0" w:space="0" w:color="auto"/>
              </w:divBdr>
            </w:div>
            <w:div w:id="6015720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50306985">
      <w:bodyDiv w:val="1"/>
      <w:marLeft w:val="0"/>
      <w:marRight w:val="0"/>
      <w:marTop w:val="0"/>
      <w:marBottom w:val="0"/>
      <w:divBdr>
        <w:top w:val="none" w:sz="0" w:space="0" w:color="auto"/>
        <w:left w:val="none" w:sz="0" w:space="0" w:color="auto"/>
        <w:bottom w:val="none" w:sz="0" w:space="0" w:color="auto"/>
        <w:right w:val="none" w:sz="0" w:space="0" w:color="auto"/>
      </w:divBdr>
    </w:div>
    <w:div w:id="1250382828">
      <w:bodyDiv w:val="1"/>
      <w:marLeft w:val="0"/>
      <w:marRight w:val="0"/>
      <w:marTop w:val="0"/>
      <w:marBottom w:val="0"/>
      <w:divBdr>
        <w:top w:val="none" w:sz="0" w:space="0" w:color="auto"/>
        <w:left w:val="none" w:sz="0" w:space="0" w:color="auto"/>
        <w:bottom w:val="none" w:sz="0" w:space="0" w:color="auto"/>
        <w:right w:val="none" w:sz="0" w:space="0" w:color="auto"/>
      </w:divBdr>
    </w:div>
    <w:div w:id="1254633416">
      <w:bodyDiv w:val="1"/>
      <w:marLeft w:val="0"/>
      <w:marRight w:val="0"/>
      <w:marTop w:val="0"/>
      <w:marBottom w:val="0"/>
      <w:divBdr>
        <w:top w:val="none" w:sz="0" w:space="0" w:color="auto"/>
        <w:left w:val="none" w:sz="0" w:space="0" w:color="auto"/>
        <w:bottom w:val="none" w:sz="0" w:space="0" w:color="auto"/>
        <w:right w:val="none" w:sz="0" w:space="0" w:color="auto"/>
      </w:divBdr>
      <w:divsChild>
        <w:div w:id="436219859">
          <w:marLeft w:val="0"/>
          <w:marRight w:val="0"/>
          <w:marTop w:val="0"/>
          <w:marBottom w:val="0"/>
          <w:divBdr>
            <w:top w:val="none" w:sz="0" w:space="0" w:color="auto"/>
            <w:left w:val="none" w:sz="0" w:space="0" w:color="auto"/>
            <w:bottom w:val="none" w:sz="0" w:space="0" w:color="auto"/>
            <w:right w:val="none" w:sz="0" w:space="0" w:color="auto"/>
          </w:divBdr>
        </w:div>
      </w:divsChild>
    </w:div>
    <w:div w:id="1255746854">
      <w:bodyDiv w:val="1"/>
      <w:marLeft w:val="0"/>
      <w:marRight w:val="0"/>
      <w:marTop w:val="0"/>
      <w:marBottom w:val="0"/>
      <w:divBdr>
        <w:top w:val="none" w:sz="0" w:space="0" w:color="auto"/>
        <w:left w:val="none" w:sz="0" w:space="0" w:color="auto"/>
        <w:bottom w:val="none" w:sz="0" w:space="0" w:color="auto"/>
        <w:right w:val="none" w:sz="0" w:space="0" w:color="auto"/>
      </w:divBdr>
      <w:divsChild>
        <w:div w:id="753085188">
          <w:marLeft w:val="0"/>
          <w:marRight w:val="0"/>
          <w:marTop w:val="0"/>
          <w:marBottom w:val="0"/>
          <w:divBdr>
            <w:top w:val="none" w:sz="0" w:space="0" w:color="auto"/>
            <w:left w:val="none" w:sz="0" w:space="0" w:color="auto"/>
            <w:bottom w:val="none" w:sz="0" w:space="0" w:color="auto"/>
            <w:right w:val="none" w:sz="0" w:space="0" w:color="auto"/>
          </w:divBdr>
        </w:div>
      </w:divsChild>
    </w:div>
    <w:div w:id="1256939927">
      <w:bodyDiv w:val="1"/>
      <w:marLeft w:val="0"/>
      <w:marRight w:val="0"/>
      <w:marTop w:val="0"/>
      <w:marBottom w:val="0"/>
      <w:divBdr>
        <w:top w:val="none" w:sz="0" w:space="0" w:color="auto"/>
        <w:left w:val="none" w:sz="0" w:space="0" w:color="auto"/>
        <w:bottom w:val="none" w:sz="0" w:space="0" w:color="auto"/>
        <w:right w:val="none" w:sz="0" w:space="0" w:color="auto"/>
      </w:divBdr>
      <w:divsChild>
        <w:div w:id="1597250570">
          <w:marLeft w:val="0"/>
          <w:marRight w:val="0"/>
          <w:marTop w:val="0"/>
          <w:marBottom w:val="0"/>
          <w:divBdr>
            <w:top w:val="none" w:sz="0" w:space="0" w:color="auto"/>
            <w:left w:val="none" w:sz="0" w:space="0" w:color="auto"/>
            <w:bottom w:val="none" w:sz="0" w:space="0" w:color="auto"/>
            <w:right w:val="none" w:sz="0" w:space="0" w:color="auto"/>
          </w:divBdr>
          <w:divsChild>
            <w:div w:id="13245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917280">
      <w:bodyDiv w:val="1"/>
      <w:marLeft w:val="0"/>
      <w:marRight w:val="0"/>
      <w:marTop w:val="0"/>
      <w:marBottom w:val="0"/>
      <w:divBdr>
        <w:top w:val="none" w:sz="0" w:space="0" w:color="auto"/>
        <w:left w:val="none" w:sz="0" w:space="0" w:color="auto"/>
        <w:bottom w:val="none" w:sz="0" w:space="0" w:color="auto"/>
        <w:right w:val="none" w:sz="0" w:space="0" w:color="auto"/>
      </w:divBdr>
      <w:divsChild>
        <w:div w:id="2100372014">
          <w:marLeft w:val="0"/>
          <w:marRight w:val="0"/>
          <w:marTop w:val="0"/>
          <w:marBottom w:val="0"/>
          <w:divBdr>
            <w:top w:val="none" w:sz="0" w:space="0" w:color="auto"/>
            <w:left w:val="none" w:sz="0" w:space="0" w:color="auto"/>
            <w:bottom w:val="none" w:sz="0" w:space="0" w:color="auto"/>
            <w:right w:val="none" w:sz="0" w:space="0" w:color="auto"/>
          </w:divBdr>
        </w:div>
        <w:div w:id="2113280068">
          <w:marLeft w:val="0"/>
          <w:marRight w:val="0"/>
          <w:marTop w:val="0"/>
          <w:marBottom w:val="0"/>
          <w:divBdr>
            <w:top w:val="none" w:sz="0" w:space="0" w:color="auto"/>
            <w:left w:val="none" w:sz="0" w:space="0" w:color="auto"/>
            <w:bottom w:val="none" w:sz="0" w:space="0" w:color="auto"/>
            <w:right w:val="none" w:sz="0" w:space="0" w:color="auto"/>
          </w:divBdr>
          <w:divsChild>
            <w:div w:id="1081950966">
              <w:marLeft w:val="0"/>
              <w:marRight w:val="0"/>
              <w:marTop w:val="0"/>
              <w:marBottom w:val="0"/>
              <w:divBdr>
                <w:top w:val="none" w:sz="0" w:space="0" w:color="auto"/>
                <w:left w:val="none" w:sz="0" w:space="0" w:color="auto"/>
                <w:bottom w:val="none" w:sz="0" w:space="0" w:color="auto"/>
                <w:right w:val="none" w:sz="0" w:space="0" w:color="auto"/>
              </w:divBdr>
              <w:divsChild>
                <w:div w:id="511844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651714">
      <w:bodyDiv w:val="1"/>
      <w:marLeft w:val="0"/>
      <w:marRight w:val="0"/>
      <w:marTop w:val="0"/>
      <w:marBottom w:val="0"/>
      <w:divBdr>
        <w:top w:val="none" w:sz="0" w:space="0" w:color="auto"/>
        <w:left w:val="none" w:sz="0" w:space="0" w:color="auto"/>
        <w:bottom w:val="none" w:sz="0" w:space="0" w:color="auto"/>
        <w:right w:val="none" w:sz="0" w:space="0" w:color="auto"/>
      </w:divBdr>
      <w:divsChild>
        <w:div w:id="1537236530">
          <w:marLeft w:val="0"/>
          <w:marRight w:val="0"/>
          <w:marTop w:val="0"/>
          <w:marBottom w:val="0"/>
          <w:divBdr>
            <w:top w:val="none" w:sz="0" w:space="0" w:color="auto"/>
            <w:left w:val="none" w:sz="0" w:space="0" w:color="auto"/>
            <w:bottom w:val="none" w:sz="0" w:space="0" w:color="auto"/>
            <w:right w:val="none" w:sz="0" w:space="0" w:color="auto"/>
          </w:divBdr>
        </w:div>
      </w:divsChild>
    </w:div>
    <w:div w:id="1265460421">
      <w:bodyDiv w:val="1"/>
      <w:marLeft w:val="0"/>
      <w:marRight w:val="0"/>
      <w:marTop w:val="0"/>
      <w:marBottom w:val="0"/>
      <w:divBdr>
        <w:top w:val="none" w:sz="0" w:space="0" w:color="auto"/>
        <w:left w:val="none" w:sz="0" w:space="0" w:color="auto"/>
        <w:bottom w:val="none" w:sz="0" w:space="0" w:color="auto"/>
        <w:right w:val="none" w:sz="0" w:space="0" w:color="auto"/>
      </w:divBdr>
      <w:divsChild>
        <w:div w:id="1852378258">
          <w:marLeft w:val="0"/>
          <w:marRight w:val="0"/>
          <w:marTop w:val="0"/>
          <w:marBottom w:val="0"/>
          <w:divBdr>
            <w:top w:val="none" w:sz="0" w:space="0" w:color="auto"/>
            <w:left w:val="none" w:sz="0" w:space="0" w:color="auto"/>
            <w:bottom w:val="none" w:sz="0" w:space="0" w:color="auto"/>
            <w:right w:val="none" w:sz="0" w:space="0" w:color="auto"/>
          </w:divBdr>
          <w:divsChild>
            <w:div w:id="1752002614">
              <w:marLeft w:val="0"/>
              <w:marRight w:val="0"/>
              <w:marTop w:val="0"/>
              <w:marBottom w:val="0"/>
              <w:divBdr>
                <w:top w:val="none" w:sz="0" w:space="0" w:color="auto"/>
                <w:left w:val="none" w:sz="0" w:space="0" w:color="auto"/>
                <w:bottom w:val="none" w:sz="0" w:space="0" w:color="auto"/>
                <w:right w:val="none" w:sz="0" w:space="0" w:color="auto"/>
              </w:divBdr>
              <w:divsChild>
                <w:div w:id="1702243140">
                  <w:marLeft w:val="0"/>
                  <w:marRight w:val="0"/>
                  <w:marTop w:val="0"/>
                  <w:marBottom w:val="0"/>
                  <w:divBdr>
                    <w:top w:val="none" w:sz="0" w:space="0" w:color="auto"/>
                    <w:left w:val="none" w:sz="0" w:space="0" w:color="auto"/>
                    <w:bottom w:val="none" w:sz="0" w:space="0" w:color="auto"/>
                    <w:right w:val="none" w:sz="0" w:space="0" w:color="auto"/>
                  </w:divBdr>
                  <w:divsChild>
                    <w:div w:id="1216357207">
                      <w:marLeft w:val="0"/>
                      <w:marRight w:val="0"/>
                      <w:marTop w:val="0"/>
                      <w:marBottom w:val="0"/>
                      <w:divBdr>
                        <w:top w:val="none" w:sz="0" w:space="0" w:color="auto"/>
                        <w:left w:val="none" w:sz="0" w:space="0" w:color="auto"/>
                        <w:bottom w:val="none" w:sz="0" w:space="0" w:color="auto"/>
                        <w:right w:val="none" w:sz="0" w:space="0" w:color="auto"/>
                      </w:divBdr>
                    </w:div>
                    <w:div w:id="1609309408">
                      <w:marLeft w:val="0"/>
                      <w:marRight w:val="0"/>
                      <w:marTop w:val="120"/>
                      <w:marBottom w:val="0"/>
                      <w:divBdr>
                        <w:top w:val="none" w:sz="0" w:space="0" w:color="auto"/>
                        <w:left w:val="none" w:sz="0" w:space="0" w:color="auto"/>
                        <w:bottom w:val="none" w:sz="0" w:space="0" w:color="auto"/>
                        <w:right w:val="none" w:sz="0" w:space="0" w:color="auto"/>
                      </w:divBdr>
                    </w:div>
                  </w:divsChild>
                </w:div>
                <w:div w:id="2064719947">
                  <w:marLeft w:val="0"/>
                  <w:marRight w:val="0"/>
                  <w:marTop w:val="0"/>
                  <w:marBottom w:val="0"/>
                  <w:divBdr>
                    <w:top w:val="none" w:sz="0" w:space="0" w:color="auto"/>
                    <w:left w:val="none" w:sz="0" w:space="0" w:color="auto"/>
                    <w:bottom w:val="none" w:sz="0" w:space="0" w:color="auto"/>
                    <w:right w:val="none" w:sz="0" w:space="0" w:color="auto"/>
                  </w:divBdr>
                  <w:divsChild>
                    <w:div w:id="1233396341">
                      <w:marLeft w:val="0"/>
                      <w:marRight w:val="0"/>
                      <w:marTop w:val="0"/>
                      <w:marBottom w:val="0"/>
                      <w:divBdr>
                        <w:top w:val="none" w:sz="0" w:space="0" w:color="auto"/>
                        <w:left w:val="none" w:sz="0" w:space="0" w:color="auto"/>
                        <w:bottom w:val="none" w:sz="0" w:space="0" w:color="auto"/>
                        <w:right w:val="none" w:sz="0" w:space="0" w:color="auto"/>
                      </w:divBdr>
                    </w:div>
                    <w:div w:id="134338911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267075388">
      <w:bodyDiv w:val="1"/>
      <w:marLeft w:val="0"/>
      <w:marRight w:val="0"/>
      <w:marTop w:val="0"/>
      <w:marBottom w:val="0"/>
      <w:divBdr>
        <w:top w:val="none" w:sz="0" w:space="0" w:color="auto"/>
        <w:left w:val="none" w:sz="0" w:space="0" w:color="auto"/>
        <w:bottom w:val="none" w:sz="0" w:space="0" w:color="auto"/>
        <w:right w:val="none" w:sz="0" w:space="0" w:color="auto"/>
      </w:divBdr>
      <w:divsChild>
        <w:div w:id="166528639">
          <w:marLeft w:val="0"/>
          <w:marRight w:val="0"/>
          <w:marTop w:val="0"/>
          <w:marBottom w:val="0"/>
          <w:divBdr>
            <w:top w:val="none" w:sz="0" w:space="0" w:color="auto"/>
            <w:left w:val="none" w:sz="0" w:space="0" w:color="auto"/>
            <w:bottom w:val="none" w:sz="0" w:space="0" w:color="auto"/>
            <w:right w:val="none" w:sz="0" w:space="0" w:color="auto"/>
          </w:divBdr>
          <w:divsChild>
            <w:div w:id="214202440">
              <w:marLeft w:val="0"/>
              <w:marRight w:val="0"/>
              <w:marTop w:val="0"/>
              <w:marBottom w:val="0"/>
              <w:divBdr>
                <w:top w:val="none" w:sz="0" w:space="0" w:color="auto"/>
                <w:left w:val="none" w:sz="0" w:space="0" w:color="auto"/>
                <w:bottom w:val="none" w:sz="0" w:space="0" w:color="auto"/>
                <w:right w:val="none" w:sz="0" w:space="0" w:color="auto"/>
              </w:divBdr>
              <w:divsChild>
                <w:div w:id="127936525">
                  <w:marLeft w:val="0"/>
                  <w:marRight w:val="0"/>
                  <w:marTop w:val="120"/>
                  <w:marBottom w:val="0"/>
                  <w:divBdr>
                    <w:top w:val="none" w:sz="0" w:space="0" w:color="auto"/>
                    <w:left w:val="none" w:sz="0" w:space="0" w:color="auto"/>
                    <w:bottom w:val="none" w:sz="0" w:space="0" w:color="auto"/>
                    <w:right w:val="none" w:sz="0" w:space="0" w:color="auto"/>
                  </w:divBdr>
                </w:div>
                <w:div w:id="293756431">
                  <w:marLeft w:val="0"/>
                  <w:marRight w:val="0"/>
                  <w:marTop w:val="0"/>
                  <w:marBottom w:val="0"/>
                  <w:divBdr>
                    <w:top w:val="none" w:sz="0" w:space="0" w:color="auto"/>
                    <w:left w:val="none" w:sz="0" w:space="0" w:color="auto"/>
                    <w:bottom w:val="none" w:sz="0" w:space="0" w:color="auto"/>
                    <w:right w:val="none" w:sz="0" w:space="0" w:color="auto"/>
                  </w:divBdr>
                </w:div>
              </w:divsChild>
            </w:div>
            <w:div w:id="1054082487">
              <w:marLeft w:val="0"/>
              <w:marRight w:val="0"/>
              <w:marTop w:val="0"/>
              <w:marBottom w:val="0"/>
              <w:divBdr>
                <w:top w:val="none" w:sz="0" w:space="0" w:color="auto"/>
                <w:left w:val="none" w:sz="0" w:space="0" w:color="auto"/>
                <w:bottom w:val="none" w:sz="0" w:space="0" w:color="auto"/>
                <w:right w:val="none" w:sz="0" w:space="0" w:color="auto"/>
              </w:divBdr>
              <w:divsChild>
                <w:div w:id="380786135">
                  <w:marLeft w:val="0"/>
                  <w:marRight w:val="0"/>
                  <w:marTop w:val="120"/>
                  <w:marBottom w:val="0"/>
                  <w:divBdr>
                    <w:top w:val="none" w:sz="0" w:space="0" w:color="auto"/>
                    <w:left w:val="none" w:sz="0" w:space="0" w:color="auto"/>
                    <w:bottom w:val="none" w:sz="0" w:space="0" w:color="auto"/>
                    <w:right w:val="none" w:sz="0" w:space="0" w:color="auto"/>
                  </w:divBdr>
                </w:div>
                <w:div w:id="954018053">
                  <w:marLeft w:val="0"/>
                  <w:marRight w:val="0"/>
                  <w:marTop w:val="0"/>
                  <w:marBottom w:val="0"/>
                  <w:divBdr>
                    <w:top w:val="none" w:sz="0" w:space="0" w:color="auto"/>
                    <w:left w:val="none" w:sz="0" w:space="0" w:color="auto"/>
                    <w:bottom w:val="none" w:sz="0" w:space="0" w:color="auto"/>
                    <w:right w:val="none" w:sz="0" w:space="0" w:color="auto"/>
                  </w:divBdr>
                </w:div>
              </w:divsChild>
            </w:div>
            <w:div w:id="1174540539">
              <w:marLeft w:val="0"/>
              <w:marRight w:val="0"/>
              <w:marTop w:val="0"/>
              <w:marBottom w:val="0"/>
              <w:divBdr>
                <w:top w:val="none" w:sz="0" w:space="0" w:color="auto"/>
                <w:left w:val="none" w:sz="0" w:space="0" w:color="auto"/>
                <w:bottom w:val="none" w:sz="0" w:space="0" w:color="auto"/>
                <w:right w:val="none" w:sz="0" w:space="0" w:color="auto"/>
              </w:divBdr>
              <w:divsChild>
                <w:div w:id="734668814">
                  <w:marLeft w:val="0"/>
                  <w:marRight w:val="0"/>
                  <w:marTop w:val="0"/>
                  <w:marBottom w:val="0"/>
                  <w:divBdr>
                    <w:top w:val="none" w:sz="0" w:space="0" w:color="auto"/>
                    <w:left w:val="none" w:sz="0" w:space="0" w:color="auto"/>
                    <w:bottom w:val="none" w:sz="0" w:space="0" w:color="auto"/>
                    <w:right w:val="none" w:sz="0" w:space="0" w:color="auto"/>
                  </w:divBdr>
                </w:div>
                <w:div w:id="103720218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72861691">
      <w:bodyDiv w:val="1"/>
      <w:marLeft w:val="0"/>
      <w:marRight w:val="0"/>
      <w:marTop w:val="0"/>
      <w:marBottom w:val="0"/>
      <w:divBdr>
        <w:top w:val="none" w:sz="0" w:space="0" w:color="auto"/>
        <w:left w:val="none" w:sz="0" w:space="0" w:color="auto"/>
        <w:bottom w:val="none" w:sz="0" w:space="0" w:color="auto"/>
        <w:right w:val="none" w:sz="0" w:space="0" w:color="auto"/>
      </w:divBdr>
      <w:divsChild>
        <w:div w:id="14500070">
          <w:marLeft w:val="0"/>
          <w:marRight w:val="0"/>
          <w:marTop w:val="0"/>
          <w:marBottom w:val="0"/>
          <w:divBdr>
            <w:top w:val="none" w:sz="0" w:space="0" w:color="auto"/>
            <w:left w:val="none" w:sz="0" w:space="0" w:color="auto"/>
            <w:bottom w:val="none" w:sz="0" w:space="0" w:color="auto"/>
            <w:right w:val="none" w:sz="0" w:space="0" w:color="auto"/>
          </w:divBdr>
          <w:divsChild>
            <w:div w:id="658312520">
              <w:marLeft w:val="0"/>
              <w:marRight w:val="0"/>
              <w:marTop w:val="0"/>
              <w:marBottom w:val="0"/>
              <w:divBdr>
                <w:top w:val="none" w:sz="0" w:space="0" w:color="auto"/>
                <w:left w:val="none" w:sz="0" w:space="0" w:color="auto"/>
                <w:bottom w:val="none" w:sz="0" w:space="0" w:color="auto"/>
                <w:right w:val="none" w:sz="0" w:space="0" w:color="auto"/>
              </w:divBdr>
              <w:divsChild>
                <w:div w:id="568426322">
                  <w:marLeft w:val="0"/>
                  <w:marRight w:val="0"/>
                  <w:marTop w:val="0"/>
                  <w:marBottom w:val="0"/>
                  <w:divBdr>
                    <w:top w:val="none" w:sz="0" w:space="0" w:color="auto"/>
                    <w:left w:val="none" w:sz="0" w:space="0" w:color="auto"/>
                    <w:bottom w:val="none" w:sz="0" w:space="0" w:color="auto"/>
                    <w:right w:val="none" w:sz="0" w:space="0" w:color="auto"/>
                  </w:divBdr>
                  <w:divsChild>
                    <w:div w:id="127600279">
                      <w:marLeft w:val="0"/>
                      <w:marRight w:val="0"/>
                      <w:marTop w:val="120"/>
                      <w:marBottom w:val="0"/>
                      <w:divBdr>
                        <w:top w:val="none" w:sz="0" w:space="0" w:color="auto"/>
                        <w:left w:val="none" w:sz="0" w:space="0" w:color="auto"/>
                        <w:bottom w:val="none" w:sz="0" w:space="0" w:color="auto"/>
                        <w:right w:val="none" w:sz="0" w:space="0" w:color="auto"/>
                      </w:divBdr>
                    </w:div>
                    <w:div w:id="1705522931">
                      <w:marLeft w:val="0"/>
                      <w:marRight w:val="0"/>
                      <w:marTop w:val="0"/>
                      <w:marBottom w:val="0"/>
                      <w:divBdr>
                        <w:top w:val="none" w:sz="0" w:space="0" w:color="auto"/>
                        <w:left w:val="none" w:sz="0" w:space="0" w:color="auto"/>
                        <w:bottom w:val="none" w:sz="0" w:space="0" w:color="auto"/>
                        <w:right w:val="none" w:sz="0" w:space="0" w:color="auto"/>
                      </w:divBdr>
                    </w:div>
                  </w:divsChild>
                </w:div>
                <w:div w:id="1616060889">
                  <w:marLeft w:val="0"/>
                  <w:marRight w:val="0"/>
                  <w:marTop w:val="0"/>
                  <w:marBottom w:val="0"/>
                  <w:divBdr>
                    <w:top w:val="none" w:sz="0" w:space="0" w:color="auto"/>
                    <w:left w:val="none" w:sz="0" w:space="0" w:color="auto"/>
                    <w:bottom w:val="none" w:sz="0" w:space="0" w:color="auto"/>
                    <w:right w:val="none" w:sz="0" w:space="0" w:color="auto"/>
                  </w:divBdr>
                  <w:divsChild>
                    <w:div w:id="1267075889">
                      <w:marLeft w:val="0"/>
                      <w:marRight w:val="0"/>
                      <w:marTop w:val="0"/>
                      <w:marBottom w:val="0"/>
                      <w:divBdr>
                        <w:top w:val="none" w:sz="0" w:space="0" w:color="auto"/>
                        <w:left w:val="none" w:sz="0" w:space="0" w:color="auto"/>
                        <w:bottom w:val="none" w:sz="0" w:space="0" w:color="auto"/>
                        <w:right w:val="none" w:sz="0" w:space="0" w:color="auto"/>
                      </w:divBdr>
                    </w:div>
                    <w:div w:id="214565758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279412177">
      <w:bodyDiv w:val="1"/>
      <w:marLeft w:val="0"/>
      <w:marRight w:val="0"/>
      <w:marTop w:val="0"/>
      <w:marBottom w:val="0"/>
      <w:divBdr>
        <w:top w:val="none" w:sz="0" w:space="0" w:color="auto"/>
        <w:left w:val="none" w:sz="0" w:space="0" w:color="auto"/>
        <w:bottom w:val="none" w:sz="0" w:space="0" w:color="auto"/>
        <w:right w:val="none" w:sz="0" w:space="0" w:color="auto"/>
      </w:divBdr>
      <w:divsChild>
        <w:div w:id="391732880">
          <w:marLeft w:val="0"/>
          <w:marRight w:val="0"/>
          <w:marTop w:val="0"/>
          <w:marBottom w:val="0"/>
          <w:divBdr>
            <w:top w:val="none" w:sz="0" w:space="0" w:color="auto"/>
            <w:left w:val="none" w:sz="0" w:space="0" w:color="auto"/>
            <w:bottom w:val="none" w:sz="0" w:space="0" w:color="auto"/>
            <w:right w:val="none" w:sz="0" w:space="0" w:color="auto"/>
          </w:divBdr>
          <w:divsChild>
            <w:div w:id="833105081">
              <w:marLeft w:val="0"/>
              <w:marRight w:val="0"/>
              <w:marTop w:val="120"/>
              <w:marBottom w:val="0"/>
              <w:divBdr>
                <w:top w:val="none" w:sz="0" w:space="0" w:color="auto"/>
                <w:left w:val="none" w:sz="0" w:space="0" w:color="auto"/>
                <w:bottom w:val="none" w:sz="0" w:space="0" w:color="auto"/>
                <w:right w:val="none" w:sz="0" w:space="0" w:color="auto"/>
              </w:divBdr>
            </w:div>
            <w:div w:id="1493447801">
              <w:marLeft w:val="0"/>
              <w:marRight w:val="0"/>
              <w:marTop w:val="0"/>
              <w:marBottom w:val="0"/>
              <w:divBdr>
                <w:top w:val="none" w:sz="0" w:space="0" w:color="auto"/>
                <w:left w:val="none" w:sz="0" w:space="0" w:color="auto"/>
                <w:bottom w:val="none" w:sz="0" w:space="0" w:color="auto"/>
                <w:right w:val="none" w:sz="0" w:space="0" w:color="auto"/>
              </w:divBdr>
            </w:div>
          </w:divsChild>
        </w:div>
        <w:div w:id="801843862">
          <w:marLeft w:val="0"/>
          <w:marRight w:val="0"/>
          <w:marTop w:val="0"/>
          <w:marBottom w:val="0"/>
          <w:divBdr>
            <w:top w:val="none" w:sz="0" w:space="0" w:color="auto"/>
            <w:left w:val="none" w:sz="0" w:space="0" w:color="auto"/>
            <w:bottom w:val="none" w:sz="0" w:space="0" w:color="auto"/>
            <w:right w:val="none" w:sz="0" w:space="0" w:color="auto"/>
          </w:divBdr>
          <w:divsChild>
            <w:div w:id="1540623475">
              <w:marLeft w:val="0"/>
              <w:marRight w:val="0"/>
              <w:marTop w:val="0"/>
              <w:marBottom w:val="0"/>
              <w:divBdr>
                <w:top w:val="none" w:sz="0" w:space="0" w:color="auto"/>
                <w:left w:val="none" w:sz="0" w:space="0" w:color="auto"/>
                <w:bottom w:val="none" w:sz="0" w:space="0" w:color="auto"/>
                <w:right w:val="none" w:sz="0" w:space="0" w:color="auto"/>
              </w:divBdr>
            </w:div>
            <w:div w:id="187053365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289431075">
      <w:bodyDiv w:val="1"/>
      <w:marLeft w:val="0"/>
      <w:marRight w:val="0"/>
      <w:marTop w:val="0"/>
      <w:marBottom w:val="0"/>
      <w:divBdr>
        <w:top w:val="none" w:sz="0" w:space="0" w:color="auto"/>
        <w:left w:val="none" w:sz="0" w:space="0" w:color="auto"/>
        <w:bottom w:val="none" w:sz="0" w:space="0" w:color="auto"/>
        <w:right w:val="none" w:sz="0" w:space="0" w:color="auto"/>
      </w:divBdr>
      <w:divsChild>
        <w:div w:id="2105492950">
          <w:marLeft w:val="0"/>
          <w:marRight w:val="0"/>
          <w:marTop w:val="0"/>
          <w:marBottom w:val="0"/>
          <w:divBdr>
            <w:top w:val="none" w:sz="0" w:space="0" w:color="auto"/>
            <w:left w:val="none" w:sz="0" w:space="0" w:color="auto"/>
            <w:bottom w:val="none" w:sz="0" w:space="0" w:color="auto"/>
            <w:right w:val="none" w:sz="0" w:space="0" w:color="auto"/>
          </w:divBdr>
          <w:divsChild>
            <w:div w:id="447746733">
              <w:marLeft w:val="0"/>
              <w:marRight w:val="0"/>
              <w:marTop w:val="0"/>
              <w:marBottom w:val="0"/>
              <w:divBdr>
                <w:top w:val="none" w:sz="0" w:space="0" w:color="auto"/>
                <w:left w:val="none" w:sz="0" w:space="0" w:color="auto"/>
                <w:bottom w:val="none" w:sz="0" w:space="0" w:color="auto"/>
                <w:right w:val="none" w:sz="0" w:space="0" w:color="auto"/>
              </w:divBdr>
              <w:divsChild>
                <w:div w:id="958217968">
                  <w:marLeft w:val="0"/>
                  <w:marRight w:val="0"/>
                  <w:marTop w:val="0"/>
                  <w:marBottom w:val="0"/>
                  <w:divBdr>
                    <w:top w:val="none" w:sz="0" w:space="0" w:color="auto"/>
                    <w:left w:val="none" w:sz="0" w:space="0" w:color="auto"/>
                    <w:bottom w:val="none" w:sz="0" w:space="0" w:color="auto"/>
                    <w:right w:val="none" w:sz="0" w:space="0" w:color="auto"/>
                  </w:divBdr>
                  <w:divsChild>
                    <w:div w:id="1060858660">
                      <w:marLeft w:val="0"/>
                      <w:marRight w:val="0"/>
                      <w:marTop w:val="120"/>
                      <w:marBottom w:val="0"/>
                      <w:divBdr>
                        <w:top w:val="none" w:sz="0" w:space="0" w:color="auto"/>
                        <w:left w:val="none" w:sz="0" w:space="0" w:color="auto"/>
                        <w:bottom w:val="none" w:sz="0" w:space="0" w:color="auto"/>
                        <w:right w:val="none" w:sz="0" w:space="0" w:color="auto"/>
                      </w:divBdr>
                    </w:div>
                    <w:div w:id="1895121169">
                      <w:marLeft w:val="0"/>
                      <w:marRight w:val="0"/>
                      <w:marTop w:val="0"/>
                      <w:marBottom w:val="0"/>
                      <w:divBdr>
                        <w:top w:val="none" w:sz="0" w:space="0" w:color="auto"/>
                        <w:left w:val="none" w:sz="0" w:space="0" w:color="auto"/>
                        <w:bottom w:val="none" w:sz="0" w:space="0" w:color="auto"/>
                        <w:right w:val="none" w:sz="0" w:space="0" w:color="auto"/>
                      </w:divBdr>
                    </w:div>
                  </w:divsChild>
                </w:div>
                <w:div w:id="1264995228">
                  <w:marLeft w:val="0"/>
                  <w:marRight w:val="0"/>
                  <w:marTop w:val="0"/>
                  <w:marBottom w:val="0"/>
                  <w:divBdr>
                    <w:top w:val="none" w:sz="0" w:space="0" w:color="auto"/>
                    <w:left w:val="none" w:sz="0" w:space="0" w:color="auto"/>
                    <w:bottom w:val="none" w:sz="0" w:space="0" w:color="auto"/>
                    <w:right w:val="none" w:sz="0" w:space="0" w:color="auto"/>
                  </w:divBdr>
                  <w:divsChild>
                    <w:div w:id="678778981">
                      <w:marLeft w:val="0"/>
                      <w:marRight w:val="0"/>
                      <w:marTop w:val="120"/>
                      <w:marBottom w:val="0"/>
                      <w:divBdr>
                        <w:top w:val="none" w:sz="0" w:space="0" w:color="auto"/>
                        <w:left w:val="none" w:sz="0" w:space="0" w:color="auto"/>
                        <w:bottom w:val="none" w:sz="0" w:space="0" w:color="auto"/>
                        <w:right w:val="none" w:sz="0" w:space="0" w:color="auto"/>
                      </w:divBdr>
                    </w:div>
                    <w:div w:id="70329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1084356">
      <w:bodyDiv w:val="1"/>
      <w:marLeft w:val="0"/>
      <w:marRight w:val="0"/>
      <w:marTop w:val="0"/>
      <w:marBottom w:val="0"/>
      <w:divBdr>
        <w:top w:val="none" w:sz="0" w:space="0" w:color="auto"/>
        <w:left w:val="none" w:sz="0" w:space="0" w:color="auto"/>
        <w:bottom w:val="none" w:sz="0" w:space="0" w:color="auto"/>
        <w:right w:val="none" w:sz="0" w:space="0" w:color="auto"/>
      </w:divBdr>
    </w:div>
    <w:div w:id="1294091917">
      <w:bodyDiv w:val="1"/>
      <w:marLeft w:val="0"/>
      <w:marRight w:val="0"/>
      <w:marTop w:val="0"/>
      <w:marBottom w:val="0"/>
      <w:divBdr>
        <w:top w:val="none" w:sz="0" w:space="0" w:color="auto"/>
        <w:left w:val="none" w:sz="0" w:space="0" w:color="auto"/>
        <w:bottom w:val="none" w:sz="0" w:space="0" w:color="auto"/>
        <w:right w:val="none" w:sz="0" w:space="0" w:color="auto"/>
      </w:divBdr>
      <w:divsChild>
        <w:div w:id="1282806754">
          <w:marLeft w:val="0"/>
          <w:marRight w:val="0"/>
          <w:marTop w:val="0"/>
          <w:marBottom w:val="0"/>
          <w:divBdr>
            <w:top w:val="none" w:sz="0" w:space="0" w:color="auto"/>
            <w:left w:val="none" w:sz="0" w:space="0" w:color="auto"/>
            <w:bottom w:val="none" w:sz="0" w:space="0" w:color="auto"/>
            <w:right w:val="none" w:sz="0" w:space="0" w:color="auto"/>
          </w:divBdr>
        </w:div>
      </w:divsChild>
    </w:div>
    <w:div w:id="1295872431">
      <w:bodyDiv w:val="1"/>
      <w:marLeft w:val="0"/>
      <w:marRight w:val="0"/>
      <w:marTop w:val="0"/>
      <w:marBottom w:val="0"/>
      <w:divBdr>
        <w:top w:val="none" w:sz="0" w:space="0" w:color="auto"/>
        <w:left w:val="none" w:sz="0" w:space="0" w:color="auto"/>
        <w:bottom w:val="none" w:sz="0" w:space="0" w:color="auto"/>
        <w:right w:val="none" w:sz="0" w:space="0" w:color="auto"/>
      </w:divBdr>
      <w:divsChild>
        <w:div w:id="2028096606">
          <w:marLeft w:val="0"/>
          <w:marRight w:val="0"/>
          <w:marTop w:val="0"/>
          <w:marBottom w:val="0"/>
          <w:divBdr>
            <w:top w:val="none" w:sz="0" w:space="0" w:color="auto"/>
            <w:left w:val="none" w:sz="0" w:space="0" w:color="auto"/>
            <w:bottom w:val="none" w:sz="0" w:space="0" w:color="auto"/>
            <w:right w:val="none" w:sz="0" w:space="0" w:color="auto"/>
          </w:divBdr>
          <w:divsChild>
            <w:div w:id="1077288248">
              <w:marLeft w:val="0"/>
              <w:marRight w:val="0"/>
              <w:marTop w:val="0"/>
              <w:marBottom w:val="0"/>
              <w:divBdr>
                <w:top w:val="none" w:sz="0" w:space="0" w:color="auto"/>
                <w:left w:val="none" w:sz="0" w:space="0" w:color="auto"/>
                <w:bottom w:val="none" w:sz="0" w:space="0" w:color="auto"/>
                <w:right w:val="none" w:sz="0" w:space="0" w:color="auto"/>
              </w:divBdr>
              <w:divsChild>
                <w:div w:id="146481500">
                  <w:marLeft w:val="0"/>
                  <w:marRight w:val="0"/>
                  <w:marTop w:val="120"/>
                  <w:marBottom w:val="0"/>
                  <w:divBdr>
                    <w:top w:val="none" w:sz="0" w:space="0" w:color="auto"/>
                    <w:left w:val="none" w:sz="0" w:space="0" w:color="auto"/>
                    <w:bottom w:val="none" w:sz="0" w:space="0" w:color="auto"/>
                    <w:right w:val="none" w:sz="0" w:space="0" w:color="auto"/>
                  </w:divBdr>
                </w:div>
                <w:div w:id="1501264883">
                  <w:marLeft w:val="0"/>
                  <w:marRight w:val="0"/>
                  <w:marTop w:val="0"/>
                  <w:marBottom w:val="0"/>
                  <w:divBdr>
                    <w:top w:val="none" w:sz="0" w:space="0" w:color="auto"/>
                    <w:left w:val="none" w:sz="0" w:space="0" w:color="auto"/>
                    <w:bottom w:val="none" w:sz="0" w:space="0" w:color="auto"/>
                    <w:right w:val="none" w:sz="0" w:space="0" w:color="auto"/>
                  </w:divBdr>
                </w:div>
              </w:divsChild>
            </w:div>
            <w:div w:id="1387753136">
              <w:marLeft w:val="0"/>
              <w:marRight w:val="0"/>
              <w:marTop w:val="0"/>
              <w:marBottom w:val="0"/>
              <w:divBdr>
                <w:top w:val="none" w:sz="0" w:space="0" w:color="auto"/>
                <w:left w:val="none" w:sz="0" w:space="0" w:color="auto"/>
                <w:bottom w:val="none" w:sz="0" w:space="0" w:color="auto"/>
                <w:right w:val="none" w:sz="0" w:space="0" w:color="auto"/>
              </w:divBdr>
              <w:divsChild>
                <w:div w:id="1328284040">
                  <w:marLeft w:val="0"/>
                  <w:marRight w:val="0"/>
                  <w:marTop w:val="0"/>
                  <w:marBottom w:val="0"/>
                  <w:divBdr>
                    <w:top w:val="none" w:sz="0" w:space="0" w:color="auto"/>
                    <w:left w:val="none" w:sz="0" w:space="0" w:color="auto"/>
                    <w:bottom w:val="none" w:sz="0" w:space="0" w:color="auto"/>
                    <w:right w:val="none" w:sz="0" w:space="0" w:color="auto"/>
                  </w:divBdr>
                </w:div>
                <w:div w:id="1870022079">
                  <w:marLeft w:val="0"/>
                  <w:marRight w:val="0"/>
                  <w:marTop w:val="120"/>
                  <w:marBottom w:val="0"/>
                  <w:divBdr>
                    <w:top w:val="none" w:sz="0" w:space="0" w:color="auto"/>
                    <w:left w:val="none" w:sz="0" w:space="0" w:color="auto"/>
                    <w:bottom w:val="none" w:sz="0" w:space="0" w:color="auto"/>
                    <w:right w:val="none" w:sz="0" w:space="0" w:color="auto"/>
                  </w:divBdr>
                </w:div>
              </w:divsChild>
            </w:div>
            <w:div w:id="1636065800">
              <w:marLeft w:val="0"/>
              <w:marRight w:val="0"/>
              <w:marTop w:val="0"/>
              <w:marBottom w:val="0"/>
              <w:divBdr>
                <w:top w:val="none" w:sz="0" w:space="0" w:color="auto"/>
                <w:left w:val="none" w:sz="0" w:space="0" w:color="auto"/>
                <w:bottom w:val="none" w:sz="0" w:space="0" w:color="auto"/>
                <w:right w:val="none" w:sz="0" w:space="0" w:color="auto"/>
              </w:divBdr>
              <w:divsChild>
                <w:div w:id="1170370901">
                  <w:marLeft w:val="0"/>
                  <w:marRight w:val="0"/>
                  <w:marTop w:val="0"/>
                  <w:marBottom w:val="0"/>
                  <w:divBdr>
                    <w:top w:val="none" w:sz="0" w:space="0" w:color="auto"/>
                    <w:left w:val="none" w:sz="0" w:space="0" w:color="auto"/>
                    <w:bottom w:val="none" w:sz="0" w:space="0" w:color="auto"/>
                    <w:right w:val="none" w:sz="0" w:space="0" w:color="auto"/>
                  </w:divBdr>
                </w:div>
                <w:div w:id="1347632724">
                  <w:marLeft w:val="0"/>
                  <w:marRight w:val="0"/>
                  <w:marTop w:val="120"/>
                  <w:marBottom w:val="0"/>
                  <w:divBdr>
                    <w:top w:val="none" w:sz="0" w:space="0" w:color="auto"/>
                    <w:left w:val="none" w:sz="0" w:space="0" w:color="auto"/>
                    <w:bottom w:val="none" w:sz="0" w:space="0" w:color="auto"/>
                    <w:right w:val="none" w:sz="0" w:space="0" w:color="auto"/>
                  </w:divBdr>
                </w:div>
              </w:divsChild>
            </w:div>
            <w:div w:id="1955012092">
              <w:marLeft w:val="0"/>
              <w:marRight w:val="0"/>
              <w:marTop w:val="0"/>
              <w:marBottom w:val="0"/>
              <w:divBdr>
                <w:top w:val="none" w:sz="0" w:space="0" w:color="auto"/>
                <w:left w:val="none" w:sz="0" w:space="0" w:color="auto"/>
                <w:bottom w:val="none" w:sz="0" w:space="0" w:color="auto"/>
                <w:right w:val="none" w:sz="0" w:space="0" w:color="auto"/>
              </w:divBdr>
              <w:divsChild>
                <w:div w:id="1761486553">
                  <w:marLeft w:val="0"/>
                  <w:marRight w:val="0"/>
                  <w:marTop w:val="0"/>
                  <w:marBottom w:val="0"/>
                  <w:divBdr>
                    <w:top w:val="none" w:sz="0" w:space="0" w:color="auto"/>
                    <w:left w:val="none" w:sz="0" w:space="0" w:color="auto"/>
                    <w:bottom w:val="none" w:sz="0" w:space="0" w:color="auto"/>
                    <w:right w:val="none" w:sz="0" w:space="0" w:color="auto"/>
                  </w:divBdr>
                </w:div>
                <w:div w:id="176799374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298562971">
      <w:bodyDiv w:val="1"/>
      <w:marLeft w:val="0"/>
      <w:marRight w:val="0"/>
      <w:marTop w:val="0"/>
      <w:marBottom w:val="0"/>
      <w:divBdr>
        <w:top w:val="none" w:sz="0" w:space="0" w:color="auto"/>
        <w:left w:val="none" w:sz="0" w:space="0" w:color="auto"/>
        <w:bottom w:val="none" w:sz="0" w:space="0" w:color="auto"/>
        <w:right w:val="none" w:sz="0" w:space="0" w:color="auto"/>
      </w:divBdr>
      <w:divsChild>
        <w:div w:id="530999192">
          <w:marLeft w:val="0"/>
          <w:marRight w:val="0"/>
          <w:marTop w:val="0"/>
          <w:marBottom w:val="0"/>
          <w:divBdr>
            <w:top w:val="none" w:sz="0" w:space="0" w:color="auto"/>
            <w:left w:val="none" w:sz="0" w:space="0" w:color="auto"/>
            <w:bottom w:val="none" w:sz="0" w:space="0" w:color="auto"/>
            <w:right w:val="none" w:sz="0" w:space="0" w:color="auto"/>
          </w:divBdr>
        </w:div>
      </w:divsChild>
    </w:div>
    <w:div w:id="1310790859">
      <w:bodyDiv w:val="1"/>
      <w:marLeft w:val="0"/>
      <w:marRight w:val="0"/>
      <w:marTop w:val="0"/>
      <w:marBottom w:val="0"/>
      <w:divBdr>
        <w:top w:val="none" w:sz="0" w:space="0" w:color="auto"/>
        <w:left w:val="none" w:sz="0" w:space="0" w:color="auto"/>
        <w:bottom w:val="none" w:sz="0" w:space="0" w:color="auto"/>
        <w:right w:val="none" w:sz="0" w:space="0" w:color="auto"/>
      </w:divBdr>
      <w:divsChild>
        <w:div w:id="1276210706">
          <w:marLeft w:val="0"/>
          <w:marRight w:val="0"/>
          <w:marTop w:val="0"/>
          <w:marBottom w:val="0"/>
          <w:divBdr>
            <w:top w:val="none" w:sz="0" w:space="0" w:color="auto"/>
            <w:left w:val="none" w:sz="0" w:space="0" w:color="auto"/>
            <w:bottom w:val="none" w:sz="0" w:space="0" w:color="auto"/>
            <w:right w:val="none" w:sz="0" w:space="0" w:color="auto"/>
          </w:divBdr>
        </w:div>
      </w:divsChild>
    </w:div>
    <w:div w:id="1343316158">
      <w:bodyDiv w:val="1"/>
      <w:marLeft w:val="0"/>
      <w:marRight w:val="0"/>
      <w:marTop w:val="0"/>
      <w:marBottom w:val="0"/>
      <w:divBdr>
        <w:top w:val="none" w:sz="0" w:space="0" w:color="auto"/>
        <w:left w:val="none" w:sz="0" w:space="0" w:color="auto"/>
        <w:bottom w:val="none" w:sz="0" w:space="0" w:color="auto"/>
        <w:right w:val="none" w:sz="0" w:space="0" w:color="auto"/>
      </w:divBdr>
    </w:div>
    <w:div w:id="1344235971">
      <w:bodyDiv w:val="1"/>
      <w:marLeft w:val="0"/>
      <w:marRight w:val="0"/>
      <w:marTop w:val="0"/>
      <w:marBottom w:val="0"/>
      <w:divBdr>
        <w:top w:val="none" w:sz="0" w:space="0" w:color="auto"/>
        <w:left w:val="none" w:sz="0" w:space="0" w:color="auto"/>
        <w:bottom w:val="none" w:sz="0" w:space="0" w:color="auto"/>
        <w:right w:val="none" w:sz="0" w:space="0" w:color="auto"/>
      </w:divBdr>
      <w:divsChild>
        <w:div w:id="280260374">
          <w:marLeft w:val="0"/>
          <w:marRight w:val="0"/>
          <w:marTop w:val="0"/>
          <w:marBottom w:val="0"/>
          <w:divBdr>
            <w:top w:val="none" w:sz="0" w:space="0" w:color="auto"/>
            <w:left w:val="none" w:sz="0" w:space="0" w:color="auto"/>
            <w:bottom w:val="none" w:sz="0" w:space="0" w:color="auto"/>
            <w:right w:val="none" w:sz="0" w:space="0" w:color="auto"/>
          </w:divBdr>
          <w:divsChild>
            <w:div w:id="1944263472">
              <w:marLeft w:val="0"/>
              <w:marRight w:val="0"/>
              <w:marTop w:val="0"/>
              <w:marBottom w:val="0"/>
              <w:divBdr>
                <w:top w:val="none" w:sz="0" w:space="0" w:color="auto"/>
                <w:left w:val="none" w:sz="0" w:space="0" w:color="auto"/>
                <w:bottom w:val="none" w:sz="0" w:space="0" w:color="auto"/>
                <w:right w:val="none" w:sz="0" w:space="0" w:color="auto"/>
              </w:divBdr>
              <w:divsChild>
                <w:div w:id="730494984">
                  <w:marLeft w:val="0"/>
                  <w:marRight w:val="0"/>
                  <w:marTop w:val="0"/>
                  <w:marBottom w:val="0"/>
                  <w:divBdr>
                    <w:top w:val="none" w:sz="0" w:space="0" w:color="auto"/>
                    <w:left w:val="none" w:sz="0" w:space="0" w:color="auto"/>
                    <w:bottom w:val="none" w:sz="0" w:space="0" w:color="auto"/>
                    <w:right w:val="none" w:sz="0" w:space="0" w:color="auto"/>
                  </w:divBdr>
                  <w:divsChild>
                    <w:div w:id="741371165">
                      <w:marLeft w:val="0"/>
                      <w:marRight w:val="0"/>
                      <w:marTop w:val="0"/>
                      <w:marBottom w:val="0"/>
                      <w:divBdr>
                        <w:top w:val="none" w:sz="0" w:space="0" w:color="auto"/>
                        <w:left w:val="none" w:sz="0" w:space="0" w:color="auto"/>
                        <w:bottom w:val="none" w:sz="0" w:space="0" w:color="auto"/>
                        <w:right w:val="none" w:sz="0" w:space="0" w:color="auto"/>
                      </w:divBdr>
                    </w:div>
                    <w:div w:id="1830755725">
                      <w:marLeft w:val="0"/>
                      <w:marRight w:val="0"/>
                      <w:marTop w:val="120"/>
                      <w:marBottom w:val="0"/>
                      <w:divBdr>
                        <w:top w:val="none" w:sz="0" w:space="0" w:color="auto"/>
                        <w:left w:val="none" w:sz="0" w:space="0" w:color="auto"/>
                        <w:bottom w:val="none" w:sz="0" w:space="0" w:color="auto"/>
                        <w:right w:val="none" w:sz="0" w:space="0" w:color="auto"/>
                      </w:divBdr>
                    </w:div>
                  </w:divsChild>
                </w:div>
                <w:div w:id="2046708914">
                  <w:marLeft w:val="0"/>
                  <w:marRight w:val="0"/>
                  <w:marTop w:val="0"/>
                  <w:marBottom w:val="0"/>
                  <w:divBdr>
                    <w:top w:val="none" w:sz="0" w:space="0" w:color="auto"/>
                    <w:left w:val="none" w:sz="0" w:space="0" w:color="auto"/>
                    <w:bottom w:val="none" w:sz="0" w:space="0" w:color="auto"/>
                    <w:right w:val="none" w:sz="0" w:space="0" w:color="auto"/>
                  </w:divBdr>
                  <w:divsChild>
                    <w:div w:id="1839540393">
                      <w:marLeft w:val="0"/>
                      <w:marRight w:val="0"/>
                      <w:marTop w:val="120"/>
                      <w:marBottom w:val="0"/>
                      <w:divBdr>
                        <w:top w:val="none" w:sz="0" w:space="0" w:color="auto"/>
                        <w:left w:val="none" w:sz="0" w:space="0" w:color="auto"/>
                        <w:bottom w:val="none" w:sz="0" w:space="0" w:color="auto"/>
                        <w:right w:val="none" w:sz="0" w:space="0" w:color="auto"/>
                      </w:divBdr>
                    </w:div>
                    <w:div w:id="193154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563827">
          <w:marLeft w:val="0"/>
          <w:marRight w:val="0"/>
          <w:marTop w:val="0"/>
          <w:marBottom w:val="0"/>
          <w:divBdr>
            <w:top w:val="none" w:sz="0" w:space="0" w:color="auto"/>
            <w:left w:val="none" w:sz="0" w:space="0" w:color="auto"/>
            <w:bottom w:val="none" w:sz="0" w:space="0" w:color="auto"/>
            <w:right w:val="none" w:sz="0" w:space="0" w:color="auto"/>
          </w:divBdr>
        </w:div>
        <w:div w:id="1867400366">
          <w:marLeft w:val="0"/>
          <w:marRight w:val="0"/>
          <w:marTop w:val="0"/>
          <w:marBottom w:val="0"/>
          <w:divBdr>
            <w:top w:val="none" w:sz="0" w:space="0" w:color="auto"/>
            <w:left w:val="none" w:sz="0" w:space="0" w:color="auto"/>
            <w:bottom w:val="none" w:sz="0" w:space="0" w:color="auto"/>
            <w:right w:val="none" w:sz="0" w:space="0" w:color="auto"/>
          </w:divBdr>
          <w:divsChild>
            <w:div w:id="1320309515">
              <w:marLeft w:val="0"/>
              <w:marRight w:val="0"/>
              <w:marTop w:val="0"/>
              <w:marBottom w:val="0"/>
              <w:divBdr>
                <w:top w:val="none" w:sz="0" w:space="0" w:color="auto"/>
                <w:left w:val="none" w:sz="0" w:space="0" w:color="auto"/>
                <w:bottom w:val="none" w:sz="0" w:space="0" w:color="auto"/>
                <w:right w:val="none" w:sz="0" w:space="0" w:color="auto"/>
              </w:divBdr>
            </w:div>
          </w:divsChild>
        </w:div>
        <w:div w:id="2020616137">
          <w:marLeft w:val="0"/>
          <w:marRight w:val="0"/>
          <w:marTop w:val="0"/>
          <w:marBottom w:val="0"/>
          <w:divBdr>
            <w:top w:val="none" w:sz="0" w:space="0" w:color="auto"/>
            <w:left w:val="none" w:sz="0" w:space="0" w:color="auto"/>
            <w:bottom w:val="none" w:sz="0" w:space="0" w:color="auto"/>
            <w:right w:val="none" w:sz="0" w:space="0" w:color="auto"/>
          </w:divBdr>
          <w:divsChild>
            <w:div w:id="1401248344">
              <w:marLeft w:val="0"/>
              <w:marRight w:val="0"/>
              <w:marTop w:val="0"/>
              <w:marBottom w:val="0"/>
              <w:divBdr>
                <w:top w:val="none" w:sz="0" w:space="0" w:color="auto"/>
                <w:left w:val="none" w:sz="0" w:space="0" w:color="auto"/>
                <w:bottom w:val="none" w:sz="0" w:space="0" w:color="auto"/>
                <w:right w:val="none" w:sz="0" w:space="0" w:color="auto"/>
              </w:divBdr>
            </w:div>
          </w:divsChild>
        </w:div>
        <w:div w:id="2079089426">
          <w:marLeft w:val="0"/>
          <w:marRight w:val="0"/>
          <w:marTop w:val="0"/>
          <w:marBottom w:val="0"/>
          <w:divBdr>
            <w:top w:val="none" w:sz="0" w:space="0" w:color="auto"/>
            <w:left w:val="none" w:sz="0" w:space="0" w:color="auto"/>
            <w:bottom w:val="none" w:sz="0" w:space="0" w:color="auto"/>
            <w:right w:val="none" w:sz="0" w:space="0" w:color="auto"/>
          </w:divBdr>
          <w:divsChild>
            <w:div w:id="136440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7364144">
      <w:bodyDiv w:val="1"/>
      <w:marLeft w:val="0"/>
      <w:marRight w:val="0"/>
      <w:marTop w:val="0"/>
      <w:marBottom w:val="0"/>
      <w:divBdr>
        <w:top w:val="none" w:sz="0" w:space="0" w:color="auto"/>
        <w:left w:val="none" w:sz="0" w:space="0" w:color="auto"/>
        <w:bottom w:val="none" w:sz="0" w:space="0" w:color="auto"/>
        <w:right w:val="none" w:sz="0" w:space="0" w:color="auto"/>
      </w:divBdr>
      <w:divsChild>
        <w:div w:id="1294553916">
          <w:marLeft w:val="0"/>
          <w:marRight w:val="0"/>
          <w:marTop w:val="0"/>
          <w:marBottom w:val="0"/>
          <w:divBdr>
            <w:top w:val="none" w:sz="0" w:space="0" w:color="auto"/>
            <w:left w:val="none" w:sz="0" w:space="0" w:color="auto"/>
            <w:bottom w:val="none" w:sz="0" w:space="0" w:color="auto"/>
            <w:right w:val="none" w:sz="0" w:space="0" w:color="auto"/>
          </w:divBdr>
        </w:div>
      </w:divsChild>
    </w:div>
    <w:div w:id="1347369549">
      <w:bodyDiv w:val="1"/>
      <w:marLeft w:val="0"/>
      <w:marRight w:val="0"/>
      <w:marTop w:val="0"/>
      <w:marBottom w:val="0"/>
      <w:divBdr>
        <w:top w:val="none" w:sz="0" w:space="0" w:color="auto"/>
        <w:left w:val="none" w:sz="0" w:space="0" w:color="auto"/>
        <w:bottom w:val="none" w:sz="0" w:space="0" w:color="auto"/>
        <w:right w:val="none" w:sz="0" w:space="0" w:color="auto"/>
      </w:divBdr>
      <w:divsChild>
        <w:div w:id="558173844">
          <w:marLeft w:val="0"/>
          <w:marRight w:val="0"/>
          <w:marTop w:val="0"/>
          <w:marBottom w:val="0"/>
          <w:divBdr>
            <w:top w:val="none" w:sz="0" w:space="0" w:color="auto"/>
            <w:left w:val="none" w:sz="0" w:space="0" w:color="auto"/>
            <w:bottom w:val="none" w:sz="0" w:space="0" w:color="auto"/>
            <w:right w:val="none" w:sz="0" w:space="0" w:color="auto"/>
          </w:divBdr>
          <w:divsChild>
            <w:div w:id="608587826">
              <w:marLeft w:val="0"/>
              <w:marRight w:val="0"/>
              <w:marTop w:val="0"/>
              <w:marBottom w:val="0"/>
              <w:divBdr>
                <w:top w:val="none" w:sz="0" w:space="0" w:color="auto"/>
                <w:left w:val="none" w:sz="0" w:space="0" w:color="auto"/>
                <w:bottom w:val="none" w:sz="0" w:space="0" w:color="auto"/>
                <w:right w:val="none" w:sz="0" w:space="0" w:color="auto"/>
              </w:divBdr>
              <w:divsChild>
                <w:div w:id="1032537756">
                  <w:marLeft w:val="0"/>
                  <w:marRight w:val="0"/>
                  <w:marTop w:val="120"/>
                  <w:marBottom w:val="0"/>
                  <w:divBdr>
                    <w:top w:val="none" w:sz="0" w:space="0" w:color="auto"/>
                    <w:left w:val="none" w:sz="0" w:space="0" w:color="auto"/>
                    <w:bottom w:val="none" w:sz="0" w:space="0" w:color="auto"/>
                    <w:right w:val="none" w:sz="0" w:space="0" w:color="auto"/>
                  </w:divBdr>
                </w:div>
                <w:div w:id="1926911793">
                  <w:marLeft w:val="0"/>
                  <w:marRight w:val="0"/>
                  <w:marTop w:val="0"/>
                  <w:marBottom w:val="0"/>
                  <w:divBdr>
                    <w:top w:val="none" w:sz="0" w:space="0" w:color="auto"/>
                    <w:left w:val="none" w:sz="0" w:space="0" w:color="auto"/>
                    <w:bottom w:val="none" w:sz="0" w:space="0" w:color="auto"/>
                    <w:right w:val="none" w:sz="0" w:space="0" w:color="auto"/>
                  </w:divBdr>
                </w:div>
              </w:divsChild>
            </w:div>
            <w:div w:id="633751685">
              <w:marLeft w:val="0"/>
              <w:marRight w:val="0"/>
              <w:marTop w:val="0"/>
              <w:marBottom w:val="0"/>
              <w:divBdr>
                <w:top w:val="none" w:sz="0" w:space="0" w:color="auto"/>
                <w:left w:val="none" w:sz="0" w:space="0" w:color="auto"/>
                <w:bottom w:val="none" w:sz="0" w:space="0" w:color="auto"/>
                <w:right w:val="none" w:sz="0" w:space="0" w:color="auto"/>
              </w:divBdr>
              <w:divsChild>
                <w:div w:id="143737656">
                  <w:marLeft w:val="0"/>
                  <w:marRight w:val="0"/>
                  <w:marTop w:val="120"/>
                  <w:marBottom w:val="0"/>
                  <w:divBdr>
                    <w:top w:val="none" w:sz="0" w:space="0" w:color="auto"/>
                    <w:left w:val="none" w:sz="0" w:space="0" w:color="auto"/>
                    <w:bottom w:val="none" w:sz="0" w:space="0" w:color="auto"/>
                    <w:right w:val="none" w:sz="0" w:space="0" w:color="auto"/>
                  </w:divBdr>
                </w:div>
                <w:div w:id="1327854578">
                  <w:marLeft w:val="0"/>
                  <w:marRight w:val="0"/>
                  <w:marTop w:val="0"/>
                  <w:marBottom w:val="0"/>
                  <w:divBdr>
                    <w:top w:val="none" w:sz="0" w:space="0" w:color="auto"/>
                    <w:left w:val="none" w:sz="0" w:space="0" w:color="auto"/>
                    <w:bottom w:val="none" w:sz="0" w:space="0" w:color="auto"/>
                    <w:right w:val="none" w:sz="0" w:space="0" w:color="auto"/>
                  </w:divBdr>
                </w:div>
              </w:divsChild>
            </w:div>
            <w:div w:id="1054045719">
              <w:marLeft w:val="0"/>
              <w:marRight w:val="0"/>
              <w:marTop w:val="0"/>
              <w:marBottom w:val="0"/>
              <w:divBdr>
                <w:top w:val="none" w:sz="0" w:space="0" w:color="auto"/>
                <w:left w:val="none" w:sz="0" w:space="0" w:color="auto"/>
                <w:bottom w:val="none" w:sz="0" w:space="0" w:color="auto"/>
                <w:right w:val="none" w:sz="0" w:space="0" w:color="auto"/>
              </w:divBdr>
              <w:divsChild>
                <w:div w:id="1529442388">
                  <w:marLeft w:val="0"/>
                  <w:marRight w:val="0"/>
                  <w:marTop w:val="120"/>
                  <w:marBottom w:val="0"/>
                  <w:divBdr>
                    <w:top w:val="none" w:sz="0" w:space="0" w:color="auto"/>
                    <w:left w:val="none" w:sz="0" w:space="0" w:color="auto"/>
                    <w:bottom w:val="none" w:sz="0" w:space="0" w:color="auto"/>
                    <w:right w:val="none" w:sz="0" w:space="0" w:color="auto"/>
                  </w:divBdr>
                </w:div>
                <w:div w:id="2070685704">
                  <w:marLeft w:val="0"/>
                  <w:marRight w:val="0"/>
                  <w:marTop w:val="0"/>
                  <w:marBottom w:val="0"/>
                  <w:divBdr>
                    <w:top w:val="none" w:sz="0" w:space="0" w:color="auto"/>
                    <w:left w:val="none" w:sz="0" w:space="0" w:color="auto"/>
                    <w:bottom w:val="none" w:sz="0" w:space="0" w:color="auto"/>
                    <w:right w:val="none" w:sz="0" w:space="0" w:color="auto"/>
                  </w:divBdr>
                </w:div>
              </w:divsChild>
            </w:div>
            <w:div w:id="1357927315">
              <w:marLeft w:val="0"/>
              <w:marRight w:val="0"/>
              <w:marTop w:val="0"/>
              <w:marBottom w:val="0"/>
              <w:divBdr>
                <w:top w:val="none" w:sz="0" w:space="0" w:color="auto"/>
                <w:left w:val="none" w:sz="0" w:space="0" w:color="auto"/>
                <w:bottom w:val="none" w:sz="0" w:space="0" w:color="auto"/>
                <w:right w:val="none" w:sz="0" w:space="0" w:color="auto"/>
              </w:divBdr>
              <w:divsChild>
                <w:div w:id="343096903">
                  <w:marLeft w:val="0"/>
                  <w:marRight w:val="0"/>
                  <w:marTop w:val="0"/>
                  <w:marBottom w:val="0"/>
                  <w:divBdr>
                    <w:top w:val="none" w:sz="0" w:space="0" w:color="auto"/>
                    <w:left w:val="none" w:sz="0" w:space="0" w:color="auto"/>
                    <w:bottom w:val="none" w:sz="0" w:space="0" w:color="auto"/>
                    <w:right w:val="none" w:sz="0" w:space="0" w:color="auto"/>
                  </w:divBdr>
                </w:div>
                <w:div w:id="1643466915">
                  <w:marLeft w:val="0"/>
                  <w:marRight w:val="0"/>
                  <w:marTop w:val="120"/>
                  <w:marBottom w:val="0"/>
                  <w:divBdr>
                    <w:top w:val="none" w:sz="0" w:space="0" w:color="auto"/>
                    <w:left w:val="none" w:sz="0" w:space="0" w:color="auto"/>
                    <w:bottom w:val="none" w:sz="0" w:space="0" w:color="auto"/>
                    <w:right w:val="none" w:sz="0" w:space="0" w:color="auto"/>
                  </w:divBdr>
                </w:div>
              </w:divsChild>
            </w:div>
            <w:div w:id="2110662011">
              <w:marLeft w:val="0"/>
              <w:marRight w:val="0"/>
              <w:marTop w:val="0"/>
              <w:marBottom w:val="0"/>
              <w:divBdr>
                <w:top w:val="none" w:sz="0" w:space="0" w:color="auto"/>
                <w:left w:val="none" w:sz="0" w:space="0" w:color="auto"/>
                <w:bottom w:val="none" w:sz="0" w:space="0" w:color="auto"/>
                <w:right w:val="none" w:sz="0" w:space="0" w:color="auto"/>
              </w:divBdr>
              <w:divsChild>
                <w:div w:id="235170239">
                  <w:marLeft w:val="0"/>
                  <w:marRight w:val="0"/>
                  <w:marTop w:val="0"/>
                  <w:marBottom w:val="0"/>
                  <w:divBdr>
                    <w:top w:val="none" w:sz="0" w:space="0" w:color="auto"/>
                    <w:left w:val="none" w:sz="0" w:space="0" w:color="auto"/>
                    <w:bottom w:val="none" w:sz="0" w:space="0" w:color="auto"/>
                    <w:right w:val="none" w:sz="0" w:space="0" w:color="auto"/>
                  </w:divBdr>
                </w:div>
                <w:div w:id="3524167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8653199">
      <w:bodyDiv w:val="1"/>
      <w:marLeft w:val="0"/>
      <w:marRight w:val="0"/>
      <w:marTop w:val="0"/>
      <w:marBottom w:val="0"/>
      <w:divBdr>
        <w:top w:val="none" w:sz="0" w:space="0" w:color="auto"/>
        <w:left w:val="none" w:sz="0" w:space="0" w:color="auto"/>
        <w:bottom w:val="none" w:sz="0" w:space="0" w:color="auto"/>
        <w:right w:val="none" w:sz="0" w:space="0" w:color="auto"/>
      </w:divBdr>
      <w:divsChild>
        <w:div w:id="1335885943">
          <w:marLeft w:val="0"/>
          <w:marRight w:val="0"/>
          <w:marTop w:val="0"/>
          <w:marBottom w:val="0"/>
          <w:divBdr>
            <w:top w:val="none" w:sz="0" w:space="0" w:color="auto"/>
            <w:left w:val="none" w:sz="0" w:space="0" w:color="auto"/>
            <w:bottom w:val="none" w:sz="0" w:space="0" w:color="auto"/>
            <w:right w:val="none" w:sz="0" w:space="0" w:color="auto"/>
          </w:divBdr>
        </w:div>
      </w:divsChild>
    </w:div>
    <w:div w:id="1359506893">
      <w:bodyDiv w:val="1"/>
      <w:marLeft w:val="0"/>
      <w:marRight w:val="0"/>
      <w:marTop w:val="0"/>
      <w:marBottom w:val="0"/>
      <w:divBdr>
        <w:top w:val="none" w:sz="0" w:space="0" w:color="auto"/>
        <w:left w:val="none" w:sz="0" w:space="0" w:color="auto"/>
        <w:bottom w:val="none" w:sz="0" w:space="0" w:color="auto"/>
        <w:right w:val="none" w:sz="0" w:space="0" w:color="auto"/>
      </w:divBdr>
      <w:divsChild>
        <w:div w:id="1631011910">
          <w:marLeft w:val="0"/>
          <w:marRight w:val="0"/>
          <w:marTop w:val="0"/>
          <w:marBottom w:val="0"/>
          <w:divBdr>
            <w:top w:val="none" w:sz="0" w:space="0" w:color="auto"/>
            <w:left w:val="none" w:sz="0" w:space="0" w:color="auto"/>
            <w:bottom w:val="none" w:sz="0" w:space="0" w:color="auto"/>
            <w:right w:val="none" w:sz="0" w:space="0" w:color="auto"/>
          </w:divBdr>
          <w:divsChild>
            <w:div w:id="283850208">
              <w:marLeft w:val="0"/>
              <w:marRight w:val="0"/>
              <w:marTop w:val="0"/>
              <w:marBottom w:val="0"/>
              <w:divBdr>
                <w:top w:val="none" w:sz="0" w:space="0" w:color="auto"/>
                <w:left w:val="none" w:sz="0" w:space="0" w:color="auto"/>
                <w:bottom w:val="none" w:sz="0" w:space="0" w:color="auto"/>
                <w:right w:val="none" w:sz="0" w:space="0" w:color="auto"/>
              </w:divBdr>
              <w:divsChild>
                <w:div w:id="938608389">
                  <w:marLeft w:val="0"/>
                  <w:marRight w:val="0"/>
                  <w:marTop w:val="120"/>
                  <w:marBottom w:val="0"/>
                  <w:divBdr>
                    <w:top w:val="none" w:sz="0" w:space="0" w:color="auto"/>
                    <w:left w:val="none" w:sz="0" w:space="0" w:color="auto"/>
                    <w:bottom w:val="none" w:sz="0" w:space="0" w:color="auto"/>
                    <w:right w:val="none" w:sz="0" w:space="0" w:color="auto"/>
                  </w:divBdr>
                </w:div>
                <w:div w:id="1597132142">
                  <w:marLeft w:val="0"/>
                  <w:marRight w:val="0"/>
                  <w:marTop w:val="0"/>
                  <w:marBottom w:val="0"/>
                  <w:divBdr>
                    <w:top w:val="none" w:sz="0" w:space="0" w:color="auto"/>
                    <w:left w:val="none" w:sz="0" w:space="0" w:color="auto"/>
                    <w:bottom w:val="none" w:sz="0" w:space="0" w:color="auto"/>
                    <w:right w:val="none" w:sz="0" w:space="0" w:color="auto"/>
                  </w:divBdr>
                </w:div>
              </w:divsChild>
            </w:div>
            <w:div w:id="565379489">
              <w:marLeft w:val="0"/>
              <w:marRight w:val="0"/>
              <w:marTop w:val="0"/>
              <w:marBottom w:val="0"/>
              <w:divBdr>
                <w:top w:val="none" w:sz="0" w:space="0" w:color="auto"/>
                <w:left w:val="none" w:sz="0" w:space="0" w:color="auto"/>
                <w:bottom w:val="none" w:sz="0" w:space="0" w:color="auto"/>
                <w:right w:val="none" w:sz="0" w:space="0" w:color="auto"/>
              </w:divBdr>
              <w:divsChild>
                <w:div w:id="630550613">
                  <w:marLeft w:val="0"/>
                  <w:marRight w:val="0"/>
                  <w:marTop w:val="0"/>
                  <w:marBottom w:val="0"/>
                  <w:divBdr>
                    <w:top w:val="none" w:sz="0" w:space="0" w:color="auto"/>
                    <w:left w:val="none" w:sz="0" w:space="0" w:color="auto"/>
                    <w:bottom w:val="none" w:sz="0" w:space="0" w:color="auto"/>
                    <w:right w:val="none" w:sz="0" w:space="0" w:color="auto"/>
                  </w:divBdr>
                </w:div>
                <w:div w:id="1965886479">
                  <w:marLeft w:val="0"/>
                  <w:marRight w:val="0"/>
                  <w:marTop w:val="120"/>
                  <w:marBottom w:val="0"/>
                  <w:divBdr>
                    <w:top w:val="none" w:sz="0" w:space="0" w:color="auto"/>
                    <w:left w:val="none" w:sz="0" w:space="0" w:color="auto"/>
                    <w:bottom w:val="none" w:sz="0" w:space="0" w:color="auto"/>
                    <w:right w:val="none" w:sz="0" w:space="0" w:color="auto"/>
                  </w:divBdr>
                </w:div>
              </w:divsChild>
            </w:div>
            <w:div w:id="1460101560">
              <w:marLeft w:val="0"/>
              <w:marRight w:val="0"/>
              <w:marTop w:val="0"/>
              <w:marBottom w:val="0"/>
              <w:divBdr>
                <w:top w:val="none" w:sz="0" w:space="0" w:color="auto"/>
                <w:left w:val="none" w:sz="0" w:space="0" w:color="auto"/>
                <w:bottom w:val="none" w:sz="0" w:space="0" w:color="auto"/>
                <w:right w:val="none" w:sz="0" w:space="0" w:color="auto"/>
              </w:divBdr>
              <w:divsChild>
                <w:div w:id="143863807">
                  <w:marLeft w:val="0"/>
                  <w:marRight w:val="0"/>
                  <w:marTop w:val="0"/>
                  <w:marBottom w:val="0"/>
                  <w:divBdr>
                    <w:top w:val="none" w:sz="0" w:space="0" w:color="auto"/>
                    <w:left w:val="none" w:sz="0" w:space="0" w:color="auto"/>
                    <w:bottom w:val="none" w:sz="0" w:space="0" w:color="auto"/>
                    <w:right w:val="none" w:sz="0" w:space="0" w:color="auto"/>
                  </w:divBdr>
                </w:div>
                <w:div w:id="2027829696">
                  <w:marLeft w:val="0"/>
                  <w:marRight w:val="0"/>
                  <w:marTop w:val="120"/>
                  <w:marBottom w:val="0"/>
                  <w:divBdr>
                    <w:top w:val="none" w:sz="0" w:space="0" w:color="auto"/>
                    <w:left w:val="none" w:sz="0" w:space="0" w:color="auto"/>
                    <w:bottom w:val="none" w:sz="0" w:space="0" w:color="auto"/>
                    <w:right w:val="none" w:sz="0" w:space="0" w:color="auto"/>
                  </w:divBdr>
                </w:div>
              </w:divsChild>
            </w:div>
            <w:div w:id="1553347566">
              <w:marLeft w:val="0"/>
              <w:marRight w:val="0"/>
              <w:marTop w:val="0"/>
              <w:marBottom w:val="0"/>
              <w:divBdr>
                <w:top w:val="none" w:sz="0" w:space="0" w:color="auto"/>
                <w:left w:val="none" w:sz="0" w:space="0" w:color="auto"/>
                <w:bottom w:val="none" w:sz="0" w:space="0" w:color="auto"/>
                <w:right w:val="none" w:sz="0" w:space="0" w:color="auto"/>
              </w:divBdr>
              <w:divsChild>
                <w:div w:id="62602470">
                  <w:marLeft w:val="0"/>
                  <w:marRight w:val="0"/>
                  <w:marTop w:val="120"/>
                  <w:marBottom w:val="0"/>
                  <w:divBdr>
                    <w:top w:val="none" w:sz="0" w:space="0" w:color="auto"/>
                    <w:left w:val="none" w:sz="0" w:space="0" w:color="auto"/>
                    <w:bottom w:val="none" w:sz="0" w:space="0" w:color="auto"/>
                    <w:right w:val="none" w:sz="0" w:space="0" w:color="auto"/>
                  </w:divBdr>
                </w:div>
                <w:div w:id="1679698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972301">
      <w:bodyDiv w:val="1"/>
      <w:marLeft w:val="0"/>
      <w:marRight w:val="0"/>
      <w:marTop w:val="0"/>
      <w:marBottom w:val="0"/>
      <w:divBdr>
        <w:top w:val="none" w:sz="0" w:space="0" w:color="auto"/>
        <w:left w:val="none" w:sz="0" w:space="0" w:color="auto"/>
        <w:bottom w:val="none" w:sz="0" w:space="0" w:color="auto"/>
        <w:right w:val="none" w:sz="0" w:space="0" w:color="auto"/>
      </w:divBdr>
      <w:divsChild>
        <w:div w:id="86001748">
          <w:marLeft w:val="0"/>
          <w:marRight w:val="0"/>
          <w:marTop w:val="0"/>
          <w:marBottom w:val="0"/>
          <w:divBdr>
            <w:top w:val="none" w:sz="0" w:space="0" w:color="auto"/>
            <w:left w:val="none" w:sz="0" w:space="0" w:color="auto"/>
            <w:bottom w:val="none" w:sz="0" w:space="0" w:color="auto"/>
            <w:right w:val="none" w:sz="0" w:space="0" w:color="auto"/>
          </w:divBdr>
        </w:div>
      </w:divsChild>
    </w:div>
    <w:div w:id="1362198221">
      <w:bodyDiv w:val="1"/>
      <w:marLeft w:val="0"/>
      <w:marRight w:val="0"/>
      <w:marTop w:val="0"/>
      <w:marBottom w:val="0"/>
      <w:divBdr>
        <w:top w:val="none" w:sz="0" w:space="0" w:color="auto"/>
        <w:left w:val="none" w:sz="0" w:space="0" w:color="auto"/>
        <w:bottom w:val="none" w:sz="0" w:space="0" w:color="auto"/>
        <w:right w:val="none" w:sz="0" w:space="0" w:color="auto"/>
      </w:divBdr>
      <w:divsChild>
        <w:div w:id="1451246805">
          <w:marLeft w:val="0"/>
          <w:marRight w:val="0"/>
          <w:marTop w:val="0"/>
          <w:marBottom w:val="0"/>
          <w:divBdr>
            <w:top w:val="none" w:sz="0" w:space="0" w:color="auto"/>
            <w:left w:val="none" w:sz="0" w:space="0" w:color="auto"/>
            <w:bottom w:val="none" w:sz="0" w:space="0" w:color="auto"/>
            <w:right w:val="none" w:sz="0" w:space="0" w:color="auto"/>
          </w:divBdr>
          <w:divsChild>
            <w:div w:id="348724242">
              <w:marLeft w:val="0"/>
              <w:marRight w:val="0"/>
              <w:marTop w:val="120"/>
              <w:marBottom w:val="0"/>
              <w:divBdr>
                <w:top w:val="none" w:sz="0" w:space="0" w:color="auto"/>
                <w:left w:val="none" w:sz="0" w:space="0" w:color="auto"/>
                <w:bottom w:val="none" w:sz="0" w:space="0" w:color="auto"/>
                <w:right w:val="none" w:sz="0" w:space="0" w:color="auto"/>
              </w:divBdr>
            </w:div>
            <w:div w:id="1598899664">
              <w:marLeft w:val="0"/>
              <w:marRight w:val="0"/>
              <w:marTop w:val="0"/>
              <w:marBottom w:val="0"/>
              <w:divBdr>
                <w:top w:val="none" w:sz="0" w:space="0" w:color="auto"/>
                <w:left w:val="none" w:sz="0" w:space="0" w:color="auto"/>
                <w:bottom w:val="none" w:sz="0" w:space="0" w:color="auto"/>
                <w:right w:val="none" w:sz="0" w:space="0" w:color="auto"/>
              </w:divBdr>
            </w:div>
          </w:divsChild>
        </w:div>
        <w:div w:id="1673409815">
          <w:marLeft w:val="0"/>
          <w:marRight w:val="0"/>
          <w:marTop w:val="0"/>
          <w:marBottom w:val="0"/>
          <w:divBdr>
            <w:top w:val="none" w:sz="0" w:space="0" w:color="auto"/>
            <w:left w:val="none" w:sz="0" w:space="0" w:color="auto"/>
            <w:bottom w:val="none" w:sz="0" w:space="0" w:color="auto"/>
            <w:right w:val="none" w:sz="0" w:space="0" w:color="auto"/>
          </w:divBdr>
          <w:divsChild>
            <w:div w:id="1150439770">
              <w:marLeft w:val="0"/>
              <w:marRight w:val="0"/>
              <w:marTop w:val="120"/>
              <w:marBottom w:val="0"/>
              <w:divBdr>
                <w:top w:val="none" w:sz="0" w:space="0" w:color="auto"/>
                <w:left w:val="none" w:sz="0" w:space="0" w:color="auto"/>
                <w:bottom w:val="none" w:sz="0" w:space="0" w:color="auto"/>
                <w:right w:val="none" w:sz="0" w:space="0" w:color="auto"/>
              </w:divBdr>
            </w:div>
            <w:div w:id="2022775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36066">
      <w:bodyDiv w:val="1"/>
      <w:marLeft w:val="0"/>
      <w:marRight w:val="0"/>
      <w:marTop w:val="0"/>
      <w:marBottom w:val="0"/>
      <w:divBdr>
        <w:top w:val="none" w:sz="0" w:space="0" w:color="auto"/>
        <w:left w:val="none" w:sz="0" w:space="0" w:color="auto"/>
        <w:bottom w:val="none" w:sz="0" w:space="0" w:color="auto"/>
        <w:right w:val="none" w:sz="0" w:space="0" w:color="auto"/>
      </w:divBdr>
    </w:div>
    <w:div w:id="1363745649">
      <w:bodyDiv w:val="1"/>
      <w:marLeft w:val="0"/>
      <w:marRight w:val="0"/>
      <w:marTop w:val="0"/>
      <w:marBottom w:val="0"/>
      <w:divBdr>
        <w:top w:val="none" w:sz="0" w:space="0" w:color="auto"/>
        <w:left w:val="none" w:sz="0" w:space="0" w:color="auto"/>
        <w:bottom w:val="none" w:sz="0" w:space="0" w:color="auto"/>
        <w:right w:val="none" w:sz="0" w:space="0" w:color="auto"/>
      </w:divBdr>
      <w:divsChild>
        <w:div w:id="276180093">
          <w:marLeft w:val="0"/>
          <w:marRight w:val="0"/>
          <w:marTop w:val="0"/>
          <w:marBottom w:val="0"/>
          <w:divBdr>
            <w:top w:val="none" w:sz="0" w:space="0" w:color="auto"/>
            <w:left w:val="none" w:sz="0" w:space="0" w:color="auto"/>
            <w:bottom w:val="none" w:sz="0" w:space="0" w:color="auto"/>
            <w:right w:val="none" w:sz="0" w:space="0" w:color="auto"/>
          </w:divBdr>
          <w:divsChild>
            <w:div w:id="173613874">
              <w:marLeft w:val="0"/>
              <w:marRight w:val="0"/>
              <w:marTop w:val="120"/>
              <w:marBottom w:val="0"/>
              <w:divBdr>
                <w:top w:val="none" w:sz="0" w:space="0" w:color="auto"/>
                <w:left w:val="none" w:sz="0" w:space="0" w:color="auto"/>
                <w:bottom w:val="none" w:sz="0" w:space="0" w:color="auto"/>
                <w:right w:val="none" w:sz="0" w:space="0" w:color="auto"/>
              </w:divBdr>
            </w:div>
            <w:div w:id="1103762133">
              <w:marLeft w:val="0"/>
              <w:marRight w:val="0"/>
              <w:marTop w:val="0"/>
              <w:marBottom w:val="0"/>
              <w:divBdr>
                <w:top w:val="none" w:sz="0" w:space="0" w:color="auto"/>
                <w:left w:val="none" w:sz="0" w:space="0" w:color="auto"/>
                <w:bottom w:val="none" w:sz="0" w:space="0" w:color="auto"/>
                <w:right w:val="none" w:sz="0" w:space="0" w:color="auto"/>
              </w:divBdr>
            </w:div>
          </w:divsChild>
        </w:div>
        <w:div w:id="1418093275">
          <w:marLeft w:val="0"/>
          <w:marRight w:val="0"/>
          <w:marTop w:val="0"/>
          <w:marBottom w:val="0"/>
          <w:divBdr>
            <w:top w:val="none" w:sz="0" w:space="0" w:color="auto"/>
            <w:left w:val="none" w:sz="0" w:space="0" w:color="auto"/>
            <w:bottom w:val="none" w:sz="0" w:space="0" w:color="auto"/>
            <w:right w:val="none" w:sz="0" w:space="0" w:color="auto"/>
          </w:divBdr>
          <w:divsChild>
            <w:div w:id="557714482">
              <w:marLeft w:val="0"/>
              <w:marRight w:val="0"/>
              <w:marTop w:val="0"/>
              <w:marBottom w:val="0"/>
              <w:divBdr>
                <w:top w:val="none" w:sz="0" w:space="0" w:color="auto"/>
                <w:left w:val="none" w:sz="0" w:space="0" w:color="auto"/>
                <w:bottom w:val="none" w:sz="0" w:space="0" w:color="auto"/>
                <w:right w:val="none" w:sz="0" w:space="0" w:color="auto"/>
              </w:divBdr>
            </w:div>
            <w:div w:id="861091404">
              <w:marLeft w:val="0"/>
              <w:marRight w:val="0"/>
              <w:marTop w:val="120"/>
              <w:marBottom w:val="0"/>
              <w:divBdr>
                <w:top w:val="none" w:sz="0" w:space="0" w:color="auto"/>
                <w:left w:val="none" w:sz="0" w:space="0" w:color="auto"/>
                <w:bottom w:val="none" w:sz="0" w:space="0" w:color="auto"/>
                <w:right w:val="none" w:sz="0" w:space="0" w:color="auto"/>
              </w:divBdr>
            </w:div>
          </w:divsChild>
        </w:div>
        <w:div w:id="2077118524">
          <w:marLeft w:val="0"/>
          <w:marRight w:val="0"/>
          <w:marTop w:val="0"/>
          <w:marBottom w:val="0"/>
          <w:divBdr>
            <w:top w:val="none" w:sz="0" w:space="0" w:color="auto"/>
            <w:left w:val="none" w:sz="0" w:space="0" w:color="auto"/>
            <w:bottom w:val="none" w:sz="0" w:space="0" w:color="auto"/>
            <w:right w:val="none" w:sz="0" w:space="0" w:color="auto"/>
          </w:divBdr>
          <w:divsChild>
            <w:div w:id="753548836">
              <w:marLeft w:val="0"/>
              <w:marRight w:val="0"/>
              <w:marTop w:val="0"/>
              <w:marBottom w:val="0"/>
              <w:divBdr>
                <w:top w:val="none" w:sz="0" w:space="0" w:color="auto"/>
                <w:left w:val="none" w:sz="0" w:space="0" w:color="auto"/>
                <w:bottom w:val="none" w:sz="0" w:space="0" w:color="auto"/>
                <w:right w:val="none" w:sz="0" w:space="0" w:color="auto"/>
              </w:divBdr>
            </w:div>
            <w:div w:id="7650742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78551753">
      <w:bodyDiv w:val="1"/>
      <w:marLeft w:val="0"/>
      <w:marRight w:val="0"/>
      <w:marTop w:val="0"/>
      <w:marBottom w:val="0"/>
      <w:divBdr>
        <w:top w:val="none" w:sz="0" w:space="0" w:color="auto"/>
        <w:left w:val="none" w:sz="0" w:space="0" w:color="auto"/>
        <w:bottom w:val="none" w:sz="0" w:space="0" w:color="auto"/>
        <w:right w:val="none" w:sz="0" w:space="0" w:color="auto"/>
      </w:divBdr>
      <w:divsChild>
        <w:div w:id="125320242">
          <w:marLeft w:val="0"/>
          <w:marRight w:val="0"/>
          <w:marTop w:val="0"/>
          <w:marBottom w:val="0"/>
          <w:divBdr>
            <w:top w:val="none" w:sz="0" w:space="0" w:color="auto"/>
            <w:left w:val="none" w:sz="0" w:space="0" w:color="auto"/>
            <w:bottom w:val="none" w:sz="0" w:space="0" w:color="auto"/>
            <w:right w:val="none" w:sz="0" w:space="0" w:color="auto"/>
          </w:divBdr>
          <w:divsChild>
            <w:div w:id="1007489024">
              <w:marLeft w:val="0"/>
              <w:marRight w:val="0"/>
              <w:marTop w:val="120"/>
              <w:marBottom w:val="0"/>
              <w:divBdr>
                <w:top w:val="none" w:sz="0" w:space="0" w:color="auto"/>
                <w:left w:val="none" w:sz="0" w:space="0" w:color="auto"/>
                <w:bottom w:val="none" w:sz="0" w:space="0" w:color="auto"/>
                <w:right w:val="none" w:sz="0" w:space="0" w:color="auto"/>
              </w:divBdr>
            </w:div>
            <w:div w:id="1456633838">
              <w:marLeft w:val="0"/>
              <w:marRight w:val="0"/>
              <w:marTop w:val="0"/>
              <w:marBottom w:val="0"/>
              <w:divBdr>
                <w:top w:val="none" w:sz="0" w:space="0" w:color="auto"/>
                <w:left w:val="none" w:sz="0" w:space="0" w:color="auto"/>
                <w:bottom w:val="none" w:sz="0" w:space="0" w:color="auto"/>
                <w:right w:val="none" w:sz="0" w:space="0" w:color="auto"/>
              </w:divBdr>
            </w:div>
          </w:divsChild>
        </w:div>
        <w:div w:id="374624315">
          <w:marLeft w:val="0"/>
          <w:marRight w:val="0"/>
          <w:marTop w:val="0"/>
          <w:marBottom w:val="0"/>
          <w:divBdr>
            <w:top w:val="none" w:sz="0" w:space="0" w:color="auto"/>
            <w:left w:val="none" w:sz="0" w:space="0" w:color="auto"/>
            <w:bottom w:val="none" w:sz="0" w:space="0" w:color="auto"/>
            <w:right w:val="none" w:sz="0" w:space="0" w:color="auto"/>
          </w:divBdr>
          <w:divsChild>
            <w:div w:id="1231960412">
              <w:marLeft w:val="0"/>
              <w:marRight w:val="0"/>
              <w:marTop w:val="0"/>
              <w:marBottom w:val="0"/>
              <w:divBdr>
                <w:top w:val="none" w:sz="0" w:space="0" w:color="auto"/>
                <w:left w:val="none" w:sz="0" w:space="0" w:color="auto"/>
                <w:bottom w:val="none" w:sz="0" w:space="0" w:color="auto"/>
                <w:right w:val="none" w:sz="0" w:space="0" w:color="auto"/>
              </w:divBdr>
            </w:div>
            <w:div w:id="1406101033">
              <w:marLeft w:val="0"/>
              <w:marRight w:val="0"/>
              <w:marTop w:val="120"/>
              <w:marBottom w:val="0"/>
              <w:divBdr>
                <w:top w:val="none" w:sz="0" w:space="0" w:color="auto"/>
                <w:left w:val="none" w:sz="0" w:space="0" w:color="auto"/>
                <w:bottom w:val="none" w:sz="0" w:space="0" w:color="auto"/>
                <w:right w:val="none" w:sz="0" w:space="0" w:color="auto"/>
              </w:divBdr>
            </w:div>
          </w:divsChild>
        </w:div>
        <w:div w:id="696782854">
          <w:marLeft w:val="0"/>
          <w:marRight w:val="0"/>
          <w:marTop w:val="0"/>
          <w:marBottom w:val="0"/>
          <w:divBdr>
            <w:top w:val="none" w:sz="0" w:space="0" w:color="auto"/>
            <w:left w:val="none" w:sz="0" w:space="0" w:color="auto"/>
            <w:bottom w:val="none" w:sz="0" w:space="0" w:color="auto"/>
            <w:right w:val="none" w:sz="0" w:space="0" w:color="auto"/>
          </w:divBdr>
          <w:divsChild>
            <w:div w:id="615723473">
              <w:marLeft w:val="0"/>
              <w:marRight w:val="0"/>
              <w:marTop w:val="0"/>
              <w:marBottom w:val="0"/>
              <w:divBdr>
                <w:top w:val="none" w:sz="0" w:space="0" w:color="auto"/>
                <w:left w:val="none" w:sz="0" w:space="0" w:color="auto"/>
                <w:bottom w:val="none" w:sz="0" w:space="0" w:color="auto"/>
                <w:right w:val="none" w:sz="0" w:space="0" w:color="auto"/>
              </w:divBdr>
            </w:div>
            <w:div w:id="869225892">
              <w:marLeft w:val="0"/>
              <w:marRight w:val="0"/>
              <w:marTop w:val="120"/>
              <w:marBottom w:val="0"/>
              <w:divBdr>
                <w:top w:val="none" w:sz="0" w:space="0" w:color="auto"/>
                <w:left w:val="none" w:sz="0" w:space="0" w:color="auto"/>
                <w:bottom w:val="none" w:sz="0" w:space="0" w:color="auto"/>
                <w:right w:val="none" w:sz="0" w:space="0" w:color="auto"/>
              </w:divBdr>
            </w:div>
          </w:divsChild>
        </w:div>
        <w:div w:id="1247572802">
          <w:marLeft w:val="0"/>
          <w:marRight w:val="0"/>
          <w:marTop w:val="0"/>
          <w:marBottom w:val="0"/>
          <w:divBdr>
            <w:top w:val="none" w:sz="0" w:space="0" w:color="auto"/>
            <w:left w:val="none" w:sz="0" w:space="0" w:color="auto"/>
            <w:bottom w:val="none" w:sz="0" w:space="0" w:color="auto"/>
            <w:right w:val="none" w:sz="0" w:space="0" w:color="auto"/>
          </w:divBdr>
          <w:divsChild>
            <w:div w:id="674187027">
              <w:marLeft w:val="0"/>
              <w:marRight w:val="0"/>
              <w:marTop w:val="0"/>
              <w:marBottom w:val="0"/>
              <w:divBdr>
                <w:top w:val="none" w:sz="0" w:space="0" w:color="auto"/>
                <w:left w:val="none" w:sz="0" w:space="0" w:color="auto"/>
                <w:bottom w:val="none" w:sz="0" w:space="0" w:color="auto"/>
                <w:right w:val="none" w:sz="0" w:space="0" w:color="auto"/>
              </w:divBdr>
            </w:div>
            <w:div w:id="1992519662">
              <w:marLeft w:val="0"/>
              <w:marRight w:val="0"/>
              <w:marTop w:val="120"/>
              <w:marBottom w:val="0"/>
              <w:divBdr>
                <w:top w:val="none" w:sz="0" w:space="0" w:color="auto"/>
                <w:left w:val="none" w:sz="0" w:space="0" w:color="auto"/>
                <w:bottom w:val="none" w:sz="0" w:space="0" w:color="auto"/>
                <w:right w:val="none" w:sz="0" w:space="0" w:color="auto"/>
              </w:divBdr>
            </w:div>
          </w:divsChild>
        </w:div>
        <w:div w:id="1341350171">
          <w:marLeft w:val="0"/>
          <w:marRight w:val="0"/>
          <w:marTop w:val="0"/>
          <w:marBottom w:val="0"/>
          <w:divBdr>
            <w:top w:val="none" w:sz="0" w:space="0" w:color="auto"/>
            <w:left w:val="none" w:sz="0" w:space="0" w:color="auto"/>
            <w:bottom w:val="none" w:sz="0" w:space="0" w:color="auto"/>
            <w:right w:val="none" w:sz="0" w:space="0" w:color="auto"/>
          </w:divBdr>
          <w:divsChild>
            <w:div w:id="1255362044">
              <w:marLeft w:val="0"/>
              <w:marRight w:val="0"/>
              <w:marTop w:val="120"/>
              <w:marBottom w:val="0"/>
              <w:divBdr>
                <w:top w:val="none" w:sz="0" w:space="0" w:color="auto"/>
                <w:left w:val="none" w:sz="0" w:space="0" w:color="auto"/>
                <w:bottom w:val="none" w:sz="0" w:space="0" w:color="auto"/>
                <w:right w:val="none" w:sz="0" w:space="0" w:color="auto"/>
              </w:divBdr>
            </w:div>
            <w:div w:id="1860850689">
              <w:marLeft w:val="0"/>
              <w:marRight w:val="0"/>
              <w:marTop w:val="0"/>
              <w:marBottom w:val="0"/>
              <w:divBdr>
                <w:top w:val="none" w:sz="0" w:space="0" w:color="auto"/>
                <w:left w:val="none" w:sz="0" w:space="0" w:color="auto"/>
                <w:bottom w:val="none" w:sz="0" w:space="0" w:color="auto"/>
                <w:right w:val="none" w:sz="0" w:space="0" w:color="auto"/>
              </w:divBdr>
            </w:div>
          </w:divsChild>
        </w:div>
        <w:div w:id="1717968683">
          <w:marLeft w:val="0"/>
          <w:marRight w:val="0"/>
          <w:marTop w:val="0"/>
          <w:marBottom w:val="0"/>
          <w:divBdr>
            <w:top w:val="none" w:sz="0" w:space="0" w:color="auto"/>
            <w:left w:val="none" w:sz="0" w:space="0" w:color="auto"/>
            <w:bottom w:val="none" w:sz="0" w:space="0" w:color="auto"/>
            <w:right w:val="none" w:sz="0" w:space="0" w:color="auto"/>
          </w:divBdr>
          <w:divsChild>
            <w:div w:id="921796483">
              <w:marLeft w:val="0"/>
              <w:marRight w:val="0"/>
              <w:marTop w:val="0"/>
              <w:marBottom w:val="0"/>
              <w:divBdr>
                <w:top w:val="none" w:sz="0" w:space="0" w:color="auto"/>
                <w:left w:val="none" w:sz="0" w:space="0" w:color="auto"/>
                <w:bottom w:val="none" w:sz="0" w:space="0" w:color="auto"/>
                <w:right w:val="none" w:sz="0" w:space="0" w:color="auto"/>
              </w:divBdr>
            </w:div>
            <w:div w:id="152659624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388259408">
      <w:bodyDiv w:val="1"/>
      <w:marLeft w:val="0"/>
      <w:marRight w:val="0"/>
      <w:marTop w:val="0"/>
      <w:marBottom w:val="0"/>
      <w:divBdr>
        <w:top w:val="none" w:sz="0" w:space="0" w:color="auto"/>
        <w:left w:val="none" w:sz="0" w:space="0" w:color="auto"/>
        <w:bottom w:val="none" w:sz="0" w:space="0" w:color="auto"/>
        <w:right w:val="none" w:sz="0" w:space="0" w:color="auto"/>
      </w:divBdr>
      <w:divsChild>
        <w:div w:id="2076928867">
          <w:marLeft w:val="0"/>
          <w:marRight w:val="0"/>
          <w:marTop w:val="0"/>
          <w:marBottom w:val="0"/>
          <w:divBdr>
            <w:top w:val="none" w:sz="0" w:space="0" w:color="auto"/>
            <w:left w:val="none" w:sz="0" w:space="0" w:color="auto"/>
            <w:bottom w:val="none" w:sz="0" w:space="0" w:color="auto"/>
            <w:right w:val="none" w:sz="0" w:space="0" w:color="auto"/>
          </w:divBdr>
          <w:divsChild>
            <w:div w:id="551959771">
              <w:marLeft w:val="0"/>
              <w:marRight w:val="0"/>
              <w:marTop w:val="0"/>
              <w:marBottom w:val="0"/>
              <w:divBdr>
                <w:top w:val="none" w:sz="0" w:space="0" w:color="auto"/>
                <w:left w:val="none" w:sz="0" w:space="0" w:color="auto"/>
                <w:bottom w:val="none" w:sz="0" w:space="0" w:color="auto"/>
                <w:right w:val="none" w:sz="0" w:space="0" w:color="auto"/>
              </w:divBdr>
              <w:divsChild>
                <w:div w:id="726687234">
                  <w:marLeft w:val="0"/>
                  <w:marRight w:val="0"/>
                  <w:marTop w:val="0"/>
                  <w:marBottom w:val="0"/>
                  <w:divBdr>
                    <w:top w:val="none" w:sz="0" w:space="0" w:color="auto"/>
                    <w:left w:val="none" w:sz="0" w:space="0" w:color="auto"/>
                    <w:bottom w:val="none" w:sz="0" w:space="0" w:color="auto"/>
                    <w:right w:val="none" w:sz="0" w:space="0" w:color="auto"/>
                  </w:divBdr>
                </w:div>
                <w:div w:id="983391893">
                  <w:marLeft w:val="0"/>
                  <w:marRight w:val="0"/>
                  <w:marTop w:val="120"/>
                  <w:marBottom w:val="0"/>
                  <w:divBdr>
                    <w:top w:val="none" w:sz="0" w:space="0" w:color="auto"/>
                    <w:left w:val="none" w:sz="0" w:space="0" w:color="auto"/>
                    <w:bottom w:val="none" w:sz="0" w:space="0" w:color="auto"/>
                    <w:right w:val="none" w:sz="0" w:space="0" w:color="auto"/>
                  </w:divBdr>
                </w:div>
              </w:divsChild>
            </w:div>
            <w:div w:id="1999840942">
              <w:marLeft w:val="0"/>
              <w:marRight w:val="0"/>
              <w:marTop w:val="0"/>
              <w:marBottom w:val="0"/>
              <w:divBdr>
                <w:top w:val="none" w:sz="0" w:space="0" w:color="auto"/>
                <w:left w:val="none" w:sz="0" w:space="0" w:color="auto"/>
                <w:bottom w:val="none" w:sz="0" w:space="0" w:color="auto"/>
                <w:right w:val="none" w:sz="0" w:space="0" w:color="auto"/>
              </w:divBdr>
              <w:divsChild>
                <w:div w:id="963384198">
                  <w:marLeft w:val="0"/>
                  <w:marRight w:val="0"/>
                  <w:marTop w:val="0"/>
                  <w:marBottom w:val="0"/>
                  <w:divBdr>
                    <w:top w:val="none" w:sz="0" w:space="0" w:color="auto"/>
                    <w:left w:val="none" w:sz="0" w:space="0" w:color="auto"/>
                    <w:bottom w:val="none" w:sz="0" w:space="0" w:color="auto"/>
                    <w:right w:val="none" w:sz="0" w:space="0" w:color="auto"/>
                  </w:divBdr>
                </w:div>
                <w:div w:id="112966703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98166774">
      <w:bodyDiv w:val="1"/>
      <w:marLeft w:val="0"/>
      <w:marRight w:val="0"/>
      <w:marTop w:val="0"/>
      <w:marBottom w:val="0"/>
      <w:divBdr>
        <w:top w:val="none" w:sz="0" w:space="0" w:color="auto"/>
        <w:left w:val="none" w:sz="0" w:space="0" w:color="auto"/>
        <w:bottom w:val="none" w:sz="0" w:space="0" w:color="auto"/>
        <w:right w:val="none" w:sz="0" w:space="0" w:color="auto"/>
      </w:divBdr>
      <w:divsChild>
        <w:div w:id="1828593688">
          <w:marLeft w:val="0"/>
          <w:marRight w:val="0"/>
          <w:marTop w:val="0"/>
          <w:marBottom w:val="0"/>
          <w:divBdr>
            <w:top w:val="none" w:sz="0" w:space="0" w:color="auto"/>
            <w:left w:val="none" w:sz="0" w:space="0" w:color="auto"/>
            <w:bottom w:val="none" w:sz="0" w:space="0" w:color="auto"/>
            <w:right w:val="none" w:sz="0" w:space="0" w:color="auto"/>
          </w:divBdr>
          <w:divsChild>
            <w:div w:id="35273722">
              <w:marLeft w:val="0"/>
              <w:marRight w:val="0"/>
              <w:marTop w:val="0"/>
              <w:marBottom w:val="0"/>
              <w:divBdr>
                <w:top w:val="none" w:sz="0" w:space="0" w:color="auto"/>
                <w:left w:val="none" w:sz="0" w:space="0" w:color="auto"/>
                <w:bottom w:val="none" w:sz="0" w:space="0" w:color="auto"/>
                <w:right w:val="none" w:sz="0" w:space="0" w:color="auto"/>
              </w:divBdr>
              <w:divsChild>
                <w:div w:id="1083256940">
                  <w:marLeft w:val="0"/>
                  <w:marRight w:val="0"/>
                  <w:marTop w:val="120"/>
                  <w:marBottom w:val="0"/>
                  <w:divBdr>
                    <w:top w:val="none" w:sz="0" w:space="0" w:color="auto"/>
                    <w:left w:val="none" w:sz="0" w:space="0" w:color="auto"/>
                    <w:bottom w:val="none" w:sz="0" w:space="0" w:color="auto"/>
                    <w:right w:val="none" w:sz="0" w:space="0" w:color="auto"/>
                  </w:divBdr>
                </w:div>
                <w:div w:id="1211189083">
                  <w:marLeft w:val="0"/>
                  <w:marRight w:val="0"/>
                  <w:marTop w:val="0"/>
                  <w:marBottom w:val="0"/>
                  <w:divBdr>
                    <w:top w:val="none" w:sz="0" w:space="0" w:color="auto"/>
                    <w:left w:val="none" w:sz="0" w:space="0" w:color="auto"/>
                    <w:bottom w:val="none" w:sz="0" w:space="0" w:color="auto"/>
                    <w:right w:val="none" w:sz="0" w:space="0" w:color="auto"/>
                  </w:divBdr>
                </w:div>
              </w:divsChild>
            </w:div>
            <w:div w:id="2036080857">
              <w:marLeft w:val="0"/>
              <w:marRight w:val="0"/>
              <w:marTop w:val="0"/>
              <w:marBottom w:val="0"/>
              <w:divBdr>
                <w:top w:val="none" w:sz="0" w:space="0" w:color="auto"/>
                <w:left w:val="none" w:sz="0" w:space="0" w:color="auto"/>
                <w:bottom w:val="none" w:sz="0" w:space="0" w:color="auto"/>
                <w:right w:val="none" w:sz="0" w:space="0" w:color="auto"/>
              </w:divBdr>
              <w:divsChild>
                <w:div w:id="6180679">
                  <w:marLeft w:val="0"/>
                  <w:marRight w:val="0"/>
                  <w:marTop w:val="0"/>
                  <w:marBottom w:val="0"/>
                  <w:divBdr>
                    <w:top w:val="none" w:sz="0" w:space="0" w:color="auto"/>
                    <w:left w:val="none" w:sz="0" w:space="0" w:color="auto"/>
                    <w:bottom w:val="none" w:sz="0" w:space="0" w:color="auto"/>
                    <w:right w:val="none" w:sz="0" w:space="0" w:color="auto"/>
                  </w:divBdr>
                </w:div>
                <w:div w:id="140818452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13963231">
      <w:bodyDiv w:val="1"/>
      <w:marLeft w:val="0"/>
      <w:marRight w:val="0"/>
      <w:marTop w:val="0"/>
      <w:marBottom w:val="0"/>
      <w:divBdr>
        <w:top w:val="none" w:sz="0" w:space="0" w:color="auto"/>
        <w:left w:val="none" w:sz="0" w:space="0" w:color="auto"/>
        <w:bottom w:val="none" w:sz="0" w:space="0" w:color="auto"/>
        <w:right w:val="none" w:sz="0" w:space="0" w:color="auto"/>
      </w:divBdr>
      <w:divsChild>
        <w:div w:id="1688142854">
          <w:marLeft w:val="0"/>
          <w:marRight w:val="0"/>
          <w:marTop w:val="0"/>
          <w:marBottom w:val="0"/>
          <w:divBdr>
            <w:top w:val="none" w:sz="0" w:space="0" w:color="auto"/>
            <w:left w:val="none" w:sz="0" w:space="0" w:color="auto"/>
            <w:bottom w:val="none" w:sz="0" w:space="0" w:color="auto"/>
            <w:right w:val="none" w:sz="0" w:space="0" w:color="auto"/>
          </w:divBdr>
          <w:divsChild>
            <w:div w:id="1032849084">
              <w:marLeft w:val="0"/>
              <w:marRight w:val="0"/>
              <w:marTop w:val="0"/>
              <w:marBottom w:val="0"/>
              <w:divBdr>
                <w:top w:val="none" w:sz="0" w:space="0" w:color="auto"/>
                <w:left w:val="none" w:sz="0" w:space="0" w:color="auto"/>
                <w:bottom w:val="none" w:sz="0" w:space="0" w:color="auto"/>
                <w:right w:val="none" w:sz="0" w:space="0" w:color="auto"/>
              </w:divBdr>
              <w:divsChild>
                <w:div w:id="824051605">
                  <w:marLeft w:val="0"/>
                  <w:marRight w:val="0"/>
                  <w:marTop w:val="120"/>
                  <w:marBottom w:val="0"/>
                  <w:divBdr>
                    <w:top w:val="none" w:sz="0" w:space="0" w:color="auto"/>
                    <w:left w:val="none" w:sz="0" w:space="0" w:color="auto"/>
                    <w:bottom w:val="none" w:sz="0" w:space="0" w:color="auto"/>
                    <w:right w:val="none" w:sz="0" w:space="0" w:color="auto"/>
                  </w:divBdr>
                </w:div>
                <w:div w:id="2080902243">
                  <w:marLeft w:val="0"/>
                  <w:marRight w:val="0"/>
                  <w:marTop w:val="0"/>
                  <w:marBottom w:val="0"/>
                  <w:divBdr>
                    <w:top w:val="none" w:sz="0" w:space="0" w:color="auto"/>
                    <w:left w:val="none" w:sz="0" w:space="0" w:color="auto"/>
                    <w:bottom w:val="none" w:sz="0" w:space="0" w:color="auto"/>
                    <w:right w:val="none" w:sz="0" w:space="0" w:color="auto"/>
                  </w:divBdr>
                </w:div>
              </w:divsChild>
            </w:div>
            <w:div w:id="1541431991">
              <w:marLeft w:val="0"/>
              <w:marRight w:val="0"/>
              <w:marTop w:val="0"/>
              <w:marBottom w:val="0"/>
              <w:divBdr>
                <w:top w:val="none" w:sz="0" w:space="0" w:color="auto"/>
                <w:left w:val="none" w:sz="0" w:space="0" w:color="auto"/>
                <w:bottom w:val="none" w:sz="0" w:space="0" w:color="auto"/>
                <w:right w:val="none" w:sz="0" w:space="0" w:color="auto"/>
              </w:divBdr>
              <w:divsChild>
                <w:div w:id="21640598">
                  <w:marLeft w:val="0"/>
                  <w:marRight w:val="0"/>
                  <w:marTop w:val="0"/>
                  <w:marBottom w:val="0"/>
                  <w:divBdr>
                    <w:top w:val="none" w:sz="0" w:space="0" w:color="auto"/>
                    <w:left w:val="none" w:sz="0" w:space="0" w:color="auto"/>
                    <w:bottom w:val="none" w:sz="0" w:space="0" w:color="auto"/>
                    <w:right w:val="none" w:sz="0" w:space="0" w:color="auto"/>
                  </w:divBdr>
                </w:div>
                <w:div w:id="41525149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20909933">
      <w:bodyDiv w:val="1"/>
      <w:marLeft w:val="0"/>
      <w:marRight w:val="0"/>
      <w:marTop w:val="0"/>
      <w:marBottom w:val="0"/>
      <w:divBdr>
        <w:top w:val="none" w:sz="0" w:space="0" w:color="auto"/>
        <w:left w:val="none" w:sz="0" w:space="0" w:color="auto"/>
        <w:bottom w:val="none" w:sz="0" w:space="0" w:color="auto"/>
        <w:right w:val="none" w:sz="0" w:space="0" w:color="auto"/>
      </w:divBdr>
      <w:divsChild>
        <w:div w:id="1155032564">
          <w:marLeft w:val="0"/>
          <w:marRight w:val="0"/>
          <w:marTop w:val="0"/>
          <w:marBottom w:val="0"/>
          <w:divBdr>
            <w:top w:val="none" w:sz="0" w:space="0" w:color="auto"/>
            <w:left w:val="none" w:sz="0" w:space="0" w:color="auto"/>
            <w:bottom w:val="none" w:sz="0" w:space="0" w:color="auto"/>
            <w:right w:val="none" w:sz="0" w:space="0" w:color="auto"/>
          </w:divBdr>
          <w:divsChild>
            <w:div w:id="1496647152">
              <w:marLeft w:val="0"/>
              <w:marRight w:val="0"/>
              <w:marTop w:val="0"/>
              <w:marBottom w:val="0"/>
              <w:divBdr>
                <w:top w:val="none" w:sz="0" w:space="0" w:color="auto"/>
                <w:left w:val="none" w:sz="0" w:space="0" w:color="auto"/>
                <w:bottom w:val="none" w:sz="0" w:space="0" w:color="auto"/>
                <w:right w:val="none" w:sz="0" w:space="0" w:color="auto"/>
              </w:divBdr>
            </w:div>
          </w:divsChild>
        </w:div>
        <w:div w:id="1982222824">
          <w:marLeft w:val="0"/>
          <w:marRight w:val="0"/>
          <w:marTop w:val="0"/>
          <w:marBottom w:val="0"/>
          <w:divBdr>
            <w:top w:val="none" w:sz="0" w:space="0" w:color="auto"/>
            <w:left w:val="none" w:sz="0" w:space="0" w:color="auto"/>
            <w:bottom w:val="none" w:sz="0" w:space="0" w:color="auto"/>
            <w:right w:val="none" w:sz="0" w:space="0" w:color="auto"/>
          </w:divBdr>
          <w:divsChild>
            <w:div w:id="158298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7672628">
      <w:bodyDiv w:val="1"/>
      <w:marLeft w:val="0"/>
      <w:marRight w:val="0"/>
      <w:marTop w:val="0"/>
      <w:marBottom w:val="0"/>
      <w:divBdr>
        <w:top w:val="none" w:sz="0" w:space="0" w:color="auto"/>
        <w:left w:val="none" w:sz="0" w:space="0" w:color="auto"/>
        <w:bottom w:val="none" w:sz="0" w:space="0" w:color="auto"/>
        <w:right w:val="none" w:sz="0" w:space="0" w:color="auto"/>
      </w:divBdr>
    </w:div>
    <w:div w:id="1451048051">
      <w:bodyDiv w:val="1"/>
      <w:marLeft w:val="0"/>
      <w:marRight w:val="0"/>
      <w:marTop w:val="0"/>
      <w:marBottom w:val="0"/>
      <w:divBdr>
        <w:top w:val="none" w:sz="0" w:space="0" w:color="auto"/>
        <w:left w:val="none" w:sz="0" w:space="0" w:color="auto"/>
        <w:bottom w:val="none" w:sz="0" w:space="0" w:color="auto"/>
        <w:right w:val="none" w:sz="0" w:space="0" w:color="auto"/>
      </w:divBdr>
      <w:divsChild>
        <w:div w:id="833685590">
          <w:marLeft w:val="0"/>
          <w:marRight w:val="0"/>
          <w:marTop w:val="0"/>
          <w:marBottom w:val="0"/>
          <w:divBdr>
            <w:top w:val="none" w:sz="0" w:space="0" w:color="auto"/>
            <w:left w:val="none" w:sz="0" w:space="0" w:color="auto"/>
            <w:bottom w:val="none" w:sz="0" w:space="0" w:color="auto"/>
            <w:right w:val="none" w:sz="0" w:space="0" w:color="auto"/>
          </w:divBdr>
          <w:divsChild>
            <w:div w:id="1140072216">
              <w:marLeft w:val="0"/>
              <w:marRight w:val="0"/>
              <w:marTop w:val="120"/>
              <w:marBottom w:val="0"/>
              <w:divBdr>
                <w:top w:val="none" w:sz="0" w:space="0" w:color="auto"/>
                <w:left w:val="none" w:sz="0" w:space="0" w:color="auto"/>
                <w:bottom w:val="none" w:sz="0" w:space="0" w:color="auto"/>
                <w:right w:val="none" w:sz="0" w:space="0" w:color="auto"/>
              </w:divBdr>
            </w:div>
            <w:div w:id="1674263631">
              <w:marLeft w:val="0"/>
              <w:marRight w:val="0"/>
              <w:marTop w:val="0"/>
              <w:marBottom w:val="0"/>
              <w:divBdr>
                <w:top w:val="none" w:sz="0" w:space="0" w:color="auto"/>
                <w:left w:val="none" w:sz="0" w:space="0" w:color="auto"/>
                <w:bottom w:val="none" w:sz="0" w:space="0" w:color="auto"/>
                <w:right w:val="none" w:sz="0" w:space="0" w:color="auto"/>
              </w:divBdr>
            </w:div>
          </w:divsChild>
        </w:div>
        <w:div w:id="985012321">
          <w:marLeft w:val="0"/>
          <w:marRight w:val="0"/>
          <w:marTop w:val="0"/>
          <w:marBottom w:val="0"/>
          <w:divBdr>
            <w:top w:val="none" w:sz="0" w:space="0" w:color="auto"/>
            <w:left w:val="none" w:sz="0" w:space="0" w:color="auto"/>
            <w:bottom w:val="none" w:sz="0" w:space="0" w:color="auto"/>
            <w:right w:val="none" w:sz="0" w:space="0" w:color="auto"/>
          </w:divBdr>
          <w:divsChild>
            <w:div w:id="525562873">
              <w:marLeft w:val="0"/>
              <w:marRight w:val="0"/>
              <w:marTop w:val="0"/>
              <w:marBottom w:val="0"/>
              <w:divBdr>
                <w:top w:val="none" w:sz="0" w:space="0" w:color="auto"/>
                <w:left w:val="none" w:sz="0" w:space="0" w:color="auto"/>
                <w:bottom w:val="none" w:sz="0" w:space="0" w:color="auto"/>
                <w:right w:val="none" w:sz="0" w:space="0" w:color="auto"/>
              </w:divBdr>
            </w:div>
            <w:div w:id="1244535307">
              <w:marLeft w:val="0"/>
              <w:marRight w:val="0"/>
              <w:marTop w:val="120"/>
              <w:marBottom w:val="0"/>
              <w:divBdr>
                <w:top w:val="none" w:sz="0" w:space="0" w:color="auto"/>
                <w:left w:val="none" w:sz="0" w:space="0" w:color="auto"/>
                <w:bottom w:val="none" w:sz="0" w:space="0" w:color="auto"/>
                <w:right w:val="none" w:sz="0" w:space="0" w:color="auto"/>
              </w:divBdr>
            </w:div>
          </w:divsChild>
        </w:div>
        <w:div w:id="1338531824">
          <w:marLeft w:val="0"/>
          <w:marRight w:val="0"/>
          <w:marTop w:val="0"/>
          <w:marBottom w:val="0"/>
          <w:divBdr>
            <w:top w:val="none" w:sz="0" w:space="0" w:color="auto"/>
            <w:left w:val="none" w:sz="0" w:space="0" w:color="auto"/>
            <w:bottom w:val="none" w:sz="0" w:space="0" w:color="auto"/>
            <w:right w:val="none" w:sz="0" w:space="0" w:color="auto"/>
          </w:divBdr>
          <w:divsChild>
            <w:div w:id="1058019562">
              <w:marLeft w:val="0"/>
              <w:marRight w:val="0"/>
              <w:marTop w:val="0"/>
              <w:marBottom w:val="0"/>
              <w:divBdr>
                <w:top w:val="none" w:sz="0" w:space="0" w:color="auto"/>
                <w:left w:val="none" w:sz="0" w:space="0" w:color="auto"/>
                <w:bottom w:val="none" w:sz="0" w:space="0" w:color="auto"/>
                <w:right w:val="none" w:sz="0" w:space="0" w:color="auto"/>
              </w:divBdr>
            </w:div>
            <w:div w:id="1292320620">
              <w:marLeft w:val="0"/>
              <w:marRight w:val="0"/>
              <w:marTop w:val="120"/>
              <w:marBottom w:val="0"/>
              <w:divBdr>
                <w:top w:val="none" w:sz="0" w:space="0" w:color="auto"/>
                <w:left w:val="none" w:sz="0" w:space="0" w:color="auto"/>
                <w:bottom w:val="none" w:sz="0" w:space="0" w:color="auto"/>
                <w:right w:val="none" w:sz="0" w:space="0" w:color="auto"/>
              </w:divBdr>
            </w:div>
          </w:divsChild>
        </w:div>
        <w:div w:id="1498419440">
          <w:marLeft w:val="0"/>
          <w:marRight w:val="0"/>
          <w:marTop w:val="0"/>
          <w:marBottom w:val="0"/>
          <w:divBdr>
            <w:top w:val="none" w:sz="0" w:space="0" w:color="auto"/>
            <w:left w:val="none" w:sz="0" w:space="0" w:color="auto"/>
            <w:bottom w:val="none" w:sz="0" w:space="0" w:color="auto"/>
            <w:right w:val="none" w:sz="0" w:space="0" w:color="auto"/>
          </w:divBdr>
          <w:divsChild>
            <w:div w:id="329649078">
              <w:marLeft w:val="0"/>
              <w:marRight w:val="0"/>
              <w:marTop w:val="0"/>
              <w:marBottom w:val="0"/>
              <w:divBdr>
                <w:top w:val="none" w:sz="0" w:space="0" w:color="auto"/>
                <w:left w:val="none" w:sz="0" w:space="0" w:color="auto"/>
                <w:bottom w:val="none" w:sz="0" w:space="0" w:color="auto"/>
                <w:right w:val="none" w:sz="0" w:space="0" w:color="auto"/>
              </w:divBdr>
            </w:div>
            <w:div w:id="43313606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461917156">
      <w:bodyDiv w:val="1"/>
      <w:marLeft w:val="0"/>
      <w:marRight w:val="0"/>
      <w:marTop w:val="0"/>
      <w:marBottom w:val="0"/>
      <w:divBdr>
        <w:top w:val="none" w:sz="0" w:space="0" w:color="auto"/>
        <w:left w:val="none" w:sz="0" w:space="0" w:color="auto"/>
        <w:bottom w:val="none" w:sz="0" w:space="0" w:color="auto"/>
        <w:right w:val="none" w:sz="0" w:space="0" w:color="auto"/>
      </w:divBdr>
      <w:divsChild>
        <w:div w:id="25718070">
          <w:marLeft w:val="0"/>
          <w:marRight w:val="0"/>
          <w:marTop w:val="0"/>
          <w:marBottom w:val="0"/>
          <w:divBdr>
            <w:top w:val="none" w:sz="0" w:space="0" w:color="auto"/>
            <w:left w:val="none" w:sz="0" w:space="0" w:color="auto"/>
            <w:bottom w:val="none" w:sz="0" w:space="0" w:color="auto"/>
            <w:right w:val="none" w:sz="0" w:space="0" w:color="auto"/>
          </w:divBdr>
        </w:div>
        <w:div w:id="1922718710">
          <w:marLeft w:val="0"/>
          <w:marRight w:val="0"/>
          <w:marTop w:val="120"/>
          <w:marBottom w:val="0"/>
          <w:divBdr>
            <w:top w:val="none" w:sz="0" w:space="0" w:color="auto"/>
            <w:left w:val="none" w:sz="0" w:space="0" w:color="auto"/>
            <w:bottom w:val="none" w:sz="0" w:space="0" w:color="auto"/>
            <w:right w:val="none" w:sz="0" w:space="0" w:color="auto"/>
          </w:divBdr>
        </w:div>
      </w:divsChild>
    </w:div>
    <w:div w:id="1475558099">
      <w:bodyDiv w:val="1"/>
      <w:marLeft w:val="0"/>
      <w:marRight w:val="0"/>
      <w:marTop w:val="0"/>
      <w:marBottom w:val="0"/>
      <w:divBdr>
        <w:top w:val="none" w:sz="0" w:space="0" w:color="auto"/>
        <w:left w:val="none" w:sz="0" w:space="0" w:color="auto"/>
        <w:bottom w:val="none" w:sz="0" w:space="0" w:color="auto"/>
        <w:right w:val="none" w:sz="0" w:space="0" w:color="auto"/>
      </w:divBdr>
    </w:div>
    <w:div w:id="1497645339">
      <w:bodyDiv w:val="1"/>
      <w:marLeft w:val="0"/>
      <w:marRight w:val="0"/>
      <w:marTop w:val="0"/>
      <w:marBottom w:val="0"/>
      <w:divBdr>
        <w:top w:val="none" w:sz="0" w:space="0" w:color="auto"/>
        <w:left w:val="none" w:sz="0" w:space="0" w:color="auto"/>
        <w:bottom w:val="none" w:sz="0" w:space="0" w:color="auto"/>
        <w:right w:val="none" w:sz="0" w:space="0" w:color="auto"/>
      </w:divBdr>
      <w:divsChild>
        <w:div w:id="127480728">
          <w:marLeft w:val="0"/>
          <w:marRight w:val="0"/>
          <w:marTop w:val="120"/>
          <w:marBottom w:val="0"/>
          <w:divBdr>
            <w:top w:val="none" w:sz="0" w:space="0" w:color="auto"/>
            <w:left w:val="none" w:sz="0" w:space="0" w:color="auto"/>
            <w:bottom w:val="none" w:sz="0" w:space="0" w:color="auto"/>
            <w:right w:val="none" w:sz="0" w:space="0" w:color="auto"/>
          </w:divBdr>
        </w:div>
        <w:div w:id="1744523609">
          <w:marLeft w:val="0"/>
          <w:marRight w:val="0"/>
          <w:marTop w:val="0"/>
          <w:marBottom w:val="0"/>
          <w:divBdr>
            <w:top w:val="none" w:sz="0" w:space="0" w:color="auto"/>
            <w:left w:val="none" w:sz="0" w:space="0" w:color="auto"/>
            <w:bottom w:val="none" w:sz="0" w:space="0" w:color="auto"/>
            <w:right w:val="none" w:sz="0" w:space="0" w:color="auto"/>
          </w:divBdr>
        </w:div>
      </w:divsChild>
    </w:div>
    <w:div w:id="1499467236">
      <w:bodyDiv w:val="1"/>
      <w:marLeft w:val="0"/>
      <w:marRight w:val="0"/>
      <w:marTop w:val="0"/>
      <w:marBottom w:val="0"/>
      <w:divBdr>
        <w:top w:val="none" w:sz="0" w:space="0" w:color="auto"/>
        <w:left w:val="none" w:sz="0" w:space="0" w:color="auto"/>
        <w:bottom w:val="none" w:sz="0" w:space="0" w:color="auto"/>
        <w:right w:val="none" w:sz="0" w:space="0" w:color="auto"/>
      </w:divBdr>
      <w:divsChild>
        <w:div w:id="687945557">
          <w:marLeft w:val="0"/>
          <w:marRight w:val="0"/>
          <w:marTop w:val="0"/>
          <w:marBottom w:val="0"/>
          <w:divBdr>
            <w:top w:val="none" w:sz="0" w:space="0" w:color="auto"/>
            <w:left w:val="none" w:sz="0" w:space="0" w:color="auto"/>
            <w:bottom w:val="none" w:sz="0" w:space="0" w:color="auto"/>
            <w:right w:val="none" w:sz="0" w:space="0" w:color="auto"/>
          </w:divBdr>
        </w:div>
        <w:div w:id="1099332254">
          <w:marLeft w:val="0"/>
          <w:marRight w:val="0"/>
          <w:marTop w:val="120"/>
          <w:marBottom w:val="0"/>
          <w:divBdr>
            <w:top w:val="none" w:sz="0" w:space="0" w:color="auto"/>
            <w:left w:val="none" w:sz="0" w:space="0" w:color="auto"/>
            <w:bottom w:val="none" w:sz="0" w:space="0" w:color="auto"/>
            <w:right w:val="none" w:sz="0" w:space="0" w:color="auto"/>
          </w:divBdr>
        </w:div>
      </w:divsChild>
    </w:div>
    <w:div w:id="1511022268">
      <w:bodyDiv w:val="1"/>
      <w:marLeft w:val="0"/>
      <w:marRight w:val="0"/>
      <w:marTop w:val="0"/>
      <w:marBottom w:val="0"/>
      <w:divBdr>
        <w:top w:val="none" w:sz="0" w:space="0" w:color="auto"/>
        <w:left w:val="none" w:sz="0" w:space="0" w:color="auto"/>
        <w:bottom w:val="none" w:sz="0" w:space="0" w:color="auto"/>
        <w:right w:val="none" w:sz="0" w:space="0" w:color="auto"/>
      </w:divBdr>
      <w:divsChild>
        <w:div w:id="1101267784">
          <w:marLeft w:val="0"/>
          <w:marRight w:val="0"/>
          <w:marTop w:val="0"/>
          <w:marBottom w:val="0"/>
          <w:divBdr>
            <w:top w:val="none" w:sz="0" w:space="0" w:color="auto"/>
            <w:left w:val="none" w:sz="0" w:space="0" w:color="auto"/>
            <w:bottom w:val="none" w:sz="0" w:space="0" w:color="auto"/>
            <w:right w:val="none" w:sz="0" w:space="0" w:color="auto"/>
          </w:divBdr>
        </w:div>
      </w:divsChild>
    </w:div>
    <w:div w:id="1517691372">
      <w:bodyDiv w:val="1"/>
      <w:marLeft w:val="0"/>
      <w:marRight w:val="0"/>
      <w:marTop w:val="0"/>
      <w:marBottom w:val="0"/>
      <w:divBdr>
        <w:top w:val="none" w:sz="0" w:space="0" w:color="auto"/>
        <w:left w:val="none" w:sz="0" w:space="0" w:color="auto"/>
        <w:bottom w:val="none" w:sz="0" w:space="0" w:color="auto"/>
        <w:right w:val="none" w:sz="0" w:space="0" w:color="auto"/>
      </w:divBdr>
      <w:divsChild>
        <w:div w:id="1222136516">
          <w:marLeft w:val="0"/>
          <w:marRight w:val="0"/>
          <w:marTop w:val="0"/>
          <w:marBottom w:val="0"/>
          <w:divBdr>
            <w:top w:val="none" w:sz="0" w:space="0" w:color="auto"/>
            <w:left w:val="none" w:sz="0" w:space="0" w:color="auto"/>
            <w:bottom w:val="none" w:sz="0" w:space="0" w:color="auto"/>
            <w:right w:val="none" w:sz="0" w:space="0" w:color="auto"/>
          </w:divBdr>
        </w:div>
      </w:divsChild>
    </w:div>
    <w:div w:id="1525553169">
      <w:bodyDiv w:val="1"/>
      <w:marLeft w:val="0"/>
      <w:marRight w:val="0"/>
      <w:marTop w:val="0"/>
      <w:marBottom w:val="0"/>
      <w:divBdr>
        <w:top w:val="none" w:sz="0" w:space="0" w:color="auto"/>
        <w:left w:val="none" w:sz="0" w:space="0" w:color="auto"/>
        <w:bottom w:val="none" w:sz="0" w:space="0" w:color="auto"/>
        <w:right w:val="none" w:sz="0" w:space="0" w:color="auto"/>
      </w:divBdr>
      <w:divsChild>
        <w:div w:id="119618079">
          <w:marLeft w:val="0"/>
          <w:marRight w:val="0"/>
          <w:marTop w:val="0"/>
          <w:marBottom w:val="0"/>
          <w:divBdr>
            <w:top w:val="none" w:sz="0" w:space="0" w:color="auto"/>
            <w:left w:val="none" w:sz="0" w:space="0" w:color="auto"/>
            <w:bottom w:val="none" w:sz="0" w:space="0" w:color="auto"/>
            <w:right w:val="none" w:sz="0" w:space="0" w:color="auto"/>
          </w:divBdr>
          <w:divsChild>
            <w:div w:id="1935823501">
              <w:marLeft w:val="0"/>
              <w:marRight w:val="0"/>
              <w:marTop w:val="0"/>
              <w:marBottom w:val="0"/>
              <w:divBdr>
                <w:top w:val="none" w:sz="0" w:space="0" w:color="auto"/>
                <w:left w:val="none" w:sz="0" w:space="0" w:color="auto"/>
                <w:bottom w:val="none" w:sz="0" w:space="0" w:color="auto"/>
                <w:right w:val="none" w:sz="0" w:space="0" w:color="auto"/>
              </w:divBdr>
            </w:div>
          </w:divsChild>
        </w:div>
        <w:div w:id="225267707">
          <w:marLeft w:val="0"/>
          <w:marRight w:val="0"/>
          <w:marTop w:val="0"/>
          <w:marBottom w:val="0"/>
          <w:divBdr>
            <w:top w:val="none" w:sz="0" w:space="0" w:color="auto"/>
            <w:left w:val="none" w:sz="0" w:space="0" w:color="auto"/>
            <w:bottom w:val="none" w:sz="0" w:space="0" w:color="auto"/>
            <w:right w:val="none" w:sz="0" w:space="0" w:color="auto"/>
          </w:divBdr>
          <w:divsChild>
            <w:div w:id="1114864806">
              <w:marLeft w:val="0"/>
              <w:marRight w:val="0"/>
              <w:marTop w:val="0"/>
              <w:marBottom w:val="0"/>
              <w:divBdr>
                <w:top w:val="none" w:sz="0" w:space="0" w:color="auto"/>
                <w:left w:val="none" w:sz="0" w:space="0" w:color="auto"/>
                <w:bottom w:val="none" w:sz="0" w:space="0" w:color="auto"/>
                <w:right w:val="none" w:sz="0" w:space="0" w:color="auto"/>
              </w:divBdr>
            </w:div>
          </w:divsChild>
        </w:div>
        <w:div w:id="597104798">
          <w:marLeft w:val="0"/>
          <w:marRight w:val="0"/>
          <w:marTop w:val="0"/>
          <w:marBottom w:val="0"/>
          <w:divBdr>
            <w:top w:val="none" w:sz="0" w:space="0" w:color="auto"/>
            <w:left w:val="none" w:sz="0" w:space="0" w:color="auto"/>
            <w:bottom w:val="none" w:sz="0" w:space="0" w:color="auto"/>
            <w:right w:val="none" w:sz="0" w:space="0" w:color="auto"/>
          </w:divBdr>
          <w:divsChild>
            <w:div w:id="473447312">
              <w:marLeft w:val="0"/>
              <w:marRight w:val="0"/>
              <w:marTop w:val="0"/>
              <w:marBottom w:val="0"/>
              <w:divBdr>
                <w:top w:val="none" w:sz="0" w:space="0" w:color="auto"/>
                <w:left w:val="none" w:sz="0" w:space="0" w:color="auto"/>
                <w:bottom w:val="none" w:sz="0" w:space="0" w:color="auto"/>
                <w:right w:val="none" w:sz="0" w:space="0" w:color="auto"/>
              </w:divBdr>
            </w:div>
          </w:divsChild>
        </w:div>
        <w:div w:id="734089954">
          <w:marLeft w:val="0"/>
          <w:marRight w:val="0"/>
          <w:marTop w:val="0"/>
          <w:marBottom w:val="0"/>
          <w:divBdr>
            <w:top w:val="none" w:sz="0" w:space="0" w:color="auto"/>
            <w:left w:val="none" w:sz="0" w:space="0" w:color="auto"/>
            <w:bottom w:val="none" w:sz="0" w:space="0" w:color="auto"/>
            <w:right w:val="none" w:sz="0" w:space="0" w:color="auto"/>
          </w:divBdr>
          <w:divsChild>
            <w:div w:id="352807357">
              <w:marLeft w:val="0"/>
              <w:marRight w:val="0"/>
              <w:marTop w:val="0"/>
              <w:marBottom w:val="0"/>
              <w:divBdr>
                <w:top w:val="none" w:sz="0" w:space="0" w:color="auto"/>
                <w:left w:val="none" w:sz="0" w:space="0" w:color="auto"/>
                <w:bottom w:val="none" w:sz="0" w:space="0" w:color="auto"/>
                <w:right w:val="none" w:sz="0" w:space="0" w:color="auto"/>
              </w:divBdr>
            </w:div>
          </w:divsChild>
        </w:div>
        <w:div w:id="1815903291">
          <w:marLeft w:val="0"/>
          <w:marRight w:val="0"/>
          <w:marTop w:val="0"/>
          <w:marBottom w:val="0"/>
          <w:divBdr>
            <w:top w:val="none" w:sz="0" w:space="0" w:color="auto"/>
            <w:left w:val="none" w:sz="0" w:space="0" w:color="auto"/>
            <w:bottom w:val="none" w:sz="0" w:space="0" w:color="auto"/>
            <w:right w:val="none" w:sz="0" w:space="0" w:color="auto"/>
          </w:divBdr>
          <w:divsChild>
            <w:div w:id="277420857">
              <w:marLeft w:val="0"/>
              <w:marRight w:val="0"/>
              <w:marTop w:val="0"/>
              <w:marBottom w:val="0"/>
              <w:divBdr>
                <w:top w:val="none" w:sz="0" w:space="0" w:color="auto"/>
                <w:left w:val="none" w:sz="0" w:space="0" w:color="auto"/>
                <w:bottom w:val="none" w:sz="0" w:space="0" w:color="auto"/>
                <w:right w:val="none" w:sz="0" w:space="0" w:color="auto"/>
              </w:divBdr>
              <w:divsChild>
                <w:div w:id="189530904">
                  <w:marLeft w:val="0"/>
                  <w:marRight w:val="0"/>
                  <w:marTop w:val="0"/>
                  <w:marBottom w:val="0"/>
                  <w:divBdr>
                    <w:top w:val="none" w:sz="0" w:space="0" w:color="auto"/>
                    <w:left w:val="none" w:sz="0" w:space="0" w:color="auto"/>
                    <w:bottom w:val="none" w:sz="0" w:space="0" w:color="auto"/>
                    <w:right w:val="none" w:sz="0" w:space="0" w:color="auto"/>
                  </w:divBdr>
                  <w:divsChild>
                    <w:div w:id="788203700">
                      <w:marLeft w:val="0"/>
                      <w:marRight w:val="0"/>
                      <w:marTop w:val="120"/>
                      <w:marBottom w:val="0"/>
                      <w:divBdr>
                        <w:top w:val="none" w:sz="0" w:space="0" w:color="auto"/>
                        <w:left w:val="none" w:sz="0" w:space="0" w:color="auto"/>
                        <w:bottom w:val="none" w:sz="0" w:space="0" w:color="auto"/>
                        <w:right w:val="none" w:sz="0" w:space="0" w:color="auto"/>
                      </w:divBdr>
                    </w:div>
                    <w:div w:id="1666275318">
                      <w:marLeft w:val="0"/>
                      <w:marRight w:val="0"/>
                      <w:marTop w:val="0"/>
                      <w:marBottom w:val="0"/>
                      <w:divBdr>
                        <w:top w:val="none" w:sz="0" w:space="0" w:color="auto"/>
                        <w:left w:val="none" w:sz="0" w:space="0" w:color="auto"/>
                        <w:bottom w:val="none" w:sz="0" w:space="0" w:color="auto"/>
                        <w:right w:val="none" w:sz="0" w:space="0" w:color="auto"/>
                      </w:divBdr>
                    </w:div>
                  </w:divsChild>
                </w:div>
                <w:div w:id="265121344">
                  <w:marLeft w:val="0"/>
                  <w:marRight w:val="0"/>
                  <w:marTop w:val="0"/>
                  <w:marBottom w:val="0"/>
                  <w:divBdr>
                    <w:top w:val="none" w:sz="0" w:space="0" w:color="auto"/>
                    <w:left w:val="none" w:sz="0" w:space="0" w:color="auto"/>
                    <w:bottom w:val="none" w:sz="0" w:space="0" w:color="auto"/>
                    <w:right w:val="none" w:sz="0" w:space="0" w:color="auto"/>
                  </w:divBdr>
                  <w:divsChild>
                    <w:div w:id="517088402">
                      <w:marLeft w:val="0"/>
                      <w:marRight w:val="0"/>
                      <w:marTop w:val="0"/>
                      <w:marBottom w:val="0"/>
                      <w:divBdr>
                        <w:top w:val="none" w:sz="0" w:space="0" w:color="auto"/>
                        <w:left w:val="none" w:sz="0" w:space="0" w:color="auto"/>
                        <w:bottom w:val="none" w:sz="0" w:space="0" w:color="auto"/>
                        <w:right w:val="none" w:sz="0" w:space="0" w:color="auto"/>
                      </w:divBdr>
                    </w:div>
                    <w:div w:id="1600721388">
                      <w:marLeft w:val="0"/>
                      <w:marRight w:val="0"/>
                      <w:marTop w:val="120"/>
                      <w:marBottom w:val="0"/>
                      <w:divBdr>
                        <w:top w:val="none" w:sz="0" w:space="0" w:color="auto"/>
                        <w:left w:val="none" w:sz="0" w:space="0" w:color="auto"/>
                        <w:bottom w:val="none" w:sz="0" w:space="0" w:color="auto"/>
                        <w:right w:val="none" w:sz="0" w:space="0" w:color="auto"/>
                      </w:divBdr>
                    </w:div>
                  </w:divsChild>
                </w:div>
                <w:div w:id="664669575">
                  <w:marLeft w:val="0"/>
                  <w:marRight w:val="0"/>
                  <w:marTop w:val="0"/>
                  <w:marBottom w:val="0"/>
                  <w:divBdr>
                    <w:top w:val="none" w:sz="0" w:space="0" w:color="auto"/>
                    <w:left w:val="none" w:sz="0" w:space="0" w:color="auto"/>
                    <w:bottom w:val="none" w:sz="0" w:space="0" w:color="auto"/>
                    <w:right w:val="none" w:sz="0" w:space="0" w:color="auto"/>
                  </w:divBdr>
                  <w:divsChild>
                    <w:div w:id="146438313">
                      <w:marLeft w:val="0"/>
                      <w:marRight w:val="0"/>
                      <w:marTop w:val="0"/>
                      <w:marBottom w:val="0"/>
                      <w:divBdr>
                        <w:top w:val="none" w:sz="0" w:space="0" w:color="auto"/>
                        <w:left w:val="none" w:sz="0" w:space="0" w:color="auto"/>
                        <w:bottom w:val="none" w:sz="0" w:space="0" w:color="auto"/>
                        <w:right w:val="none" w:sz="0" w:space="0" w:color="auto"/>
                      </w:divBdr>
                    </w:div>
                    <w:div w:id="9890896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529178203">
      <w:bodyDiv w:val="1"/>
      <w:marLeft w:val="0"/>
      <w:marRight w:val="0"/>
      <w:marTop w:val="0"/>
      <w:marBottom w:val="0"/>
      <w:divBdr>
        <w:top w:val="none" w:sz="0" w:space="0" w:color="auto"/>
        <w:left w:val="none" w:sz="0" w:space="0" w:color="auto"/>
        <w:bottom w:val="none" w:sz="0" w:space="0" w:color="auto"/>
        <w:right w:val="none" w:sz="0" w:space="0" w:color="auto"/>
      </w:divBdr>
    </w:div>
    <w:div w:id="1535196782">
      <w:bodyDiv w:val="1"/>
      <w:marLeft w:val="0"/>
      <w:marRight w:val="0"/>
      <w:marTop w:val="0"/>
      <w:marBottom w:val="0"/>
      <w:divBdr>
        <w:top w:val="none" w:sz="0" w:space="0" w:color="auto"/>
        <w:left w:val="none" w:sz="0" w:space="0" w:color="auto"/>
        <w:bottom w:val="none" w:sz="0" w:space="0" w:color="auto"/>
        <w:right w:val="none" w:sz="0" w:space="0" w:color="auto"/>
      </w:divBdr>
      <w:divsChild>
        <w:div w:id="90903327">
          <w:marLeft w:val="0"/>
          <w:marRight w:val="0"/>
          <w:marTop w:val="0"/>
          <w:marBottom w:val="0"/>
          <w:divBdr>
            <w:top w:val="none" w:sz="0" w:space="0" w:color="auto"/>
            <w:left w:val="none" w:sz="0" w:space="0" w:color="auto"/>
            <w:bottom w:val="none" w:sz="0" w:space="0" w:color="auto"/>
            <w:right w:val="none" w:sz="0" w:space="0" w:color="auto"/>
          </w:divBdr>
          <w:divsChild>
            <w:div w:id="21247363">
              <w:marLeft w:val="0"/>
              <w:marRight w:val="0"/>
              <w:marTop w:val="0"/>
              <w:marBottom w:val="0"/>
              <w:divBdr>
                <w:top w:val="none" w:sz="0" w:space="0" w:color="auto"/>
                <w:left w:val="none" w:sz="0" w:space="0" w:color="auto"/>
                <w:bottom w:val="none" w:sz="0" w:space="0" w:color="auto"/>
                <w:right w:val="none" w:sz="0" w:space="0" w:color="auto"/>
              </w:divBdr>
            </w:div>
          </w:divsChild>
        </w:div>
        <w:div w:id="187571564">
          <w:marLeft w:val="0"/>
          <w:marRight w:val="0"/>
          <w:marTop w:val="0"/>
          <w:marBottom w:val="0"/>
          <w:divBdr>
            <w:top w:val="none" w:sz="0" w:space="0" w:color="auto"/>
            <w:left w:val="none" w:sz="0" w:space="0" w:color="auto"/>
            <w:bottom w:val="none" w:sz="0" w:space="0" w:color="auto"/>
            <w:right w:val="none" w:sz="0" w:space="0" w:color="auto"/>
          </w:divBdr>
          <w:divsChild>
            <w:div w:id="397172463">
              <w:marLeft w:val="0"/>
              <w:marRight w:val="0"/>
              <w:marTop w:val="0"/>
              <w:marBottom w:val="0"/>
              <w:divBdr>
                <w:top w:val="none" w:sz="0" w:space="0" w:color="auto"/>
                <w:left w:val="none" w:sz="0" w:space="0" w:color="auto"/>
                <w:bottom w:val="none" w:sz="0" w:space="0" w:color="auto"/>
                <w:right w:val="none" w:sz="0" w:space="0" w:color="auto"/>
              </w:divBdr>
            </w:div>
          </w:divsChild>
        </w:div>
        <w:div w:id="1478450140">
          <w:marLeft w:val="0"/>
          <w:marRight w:val="0"/>
          <w:marTop w:val="0"/>
          <w:marBottom w:val="0"/>
          <w:divBdr>
            <w:top w:val="none" w:sz="0" w:space="0" w:color="auto"/>
            <w:left w:val="none" w:sz="0" w:space="0" w:color="auto"/>
            <w:bottom w:val="none" w:sz="0" w:space="0" w:color="auto"/>
            <w:right w:val="none" w:sz="0" w:space="0" w:color="auto"/>
          </w:divBdr>
          <w:divsChild>
            <w:div w:id="1175536200">
              <w:marLeft w:val="0"/>
              <w:marRight w:val="0"/>
              <w:marTop w:val="0"/>
              <w:marBottom w:val="0"/>
              <w:divBdr>
                <w:top w:val="none" w:sz="0" w:space="0" w:color="auto"/>
                <w:left w:val="none" w:sz="0" w:space="0" w:color="auto"/>
                <w:bottom w:val="none" w:sz="0" w:space="0" w:color="auto"/>
                <w:right w:val="none" w:sz="0" w:space="0" w:color="auto"/>
              </w:divBdr>
            </w:div>
          </w:divsChild>
        </w:div>
        <w:div w:id="2071344081">
          <w:marLeft w:val="0"/>
          <w:marRight w:val="0"/>
          <w:marTop w:val="0"/>
          <w:marBottom w:val="0"/>
          <w:divBdr>
            <w:top w:val="none" w:sz="0" w:space="0" w:color="auto"/>
            <w:left w:val="none" w:sz="0" w:space="0" w:color="auto"/>
            <w:bottom w:val="none" w:sz="0" w:space="0" w:color="auto"/>
            <w:right w:val="none" w:sz="0" w:space="0" w:color="auto"/>
          </w:divBdr>
          <w:divsChild>
            <w:div w:id="389158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38269">
      <w:bodyDiv w:val="1"/>
      <w:marLeft w:val="0"/>
      <w:marRight w:val="0"/>
      <w:marTop w:val="0"/>
      <w:marBottom w:val="0"/>
      <w:divBdr>
        <w:top w:val="none" w:sz="0" w:space="0" w:color="auto"/>
        <w:left w:val="none" w:sz="0" w:space="0" w:color="auto"/>
        <w:bottom w:val="none" w:sz="0" w:space="0" w:color="auto"/>
        <w:right w:val="none" w:sz="0" w:space="0" w:color="auto"/>
      </w:divBdr>
    </w:div>
    <w:div w:id="1551184089">
      <w:bodyDiv w:val="1"/>
      <w:marLeft w:val="0"/>
      <w:marRight w:val="0"/>
      <w:marTop w:val="0"/>
      <w:marBottom w:val="0"/>
      <w:divBdr>
        <w:top w:val="none" w:sz="0" w:space="0" w:color="auto"/>
        <w:left w:val="none" w:sz="0" w:space="0" w:color="auto"/>
        <w:bottom w:val="none" w:sz="0" w:space="0" w:color="auto"/>
        <w:right w:val="none" w:sz="0" w:space="0" w:color="auto"/>
      </w:divBdr>
      <w:divsChild>
        <w:div w:id="83579565">
          <w:marLeft w:val="0"/>
          <w:marRight w:val="0"/>
          <w:marTop w:val="0"/>
          <w:marBottom w:val="0"/>
          <w:divBdr>
            <w:top w:val="none" w:sz="0" w:space="0" w:color="auto"/>
            <w:left w:val="none" w:sz="0" w:space="0" w:color="auto"/>
            <w:bottom w:val="none" w:sz="0" w:space="0" w:color="auto"/>
            <w:right w:val="none" w:sz="0" w:space="0" w:color="auto"/>
          </w:divBdr>
          <w:divsChild>
            <w:div w:id="233786950">
              <w:marLeft w:val="0"/>
              <w:marRight w:val="0"/>
              <w:marTop w:val="0"/>
              <w:marBottom w:val="0"/>
              <w:divBdr>
                <w:top w:val="none" w:sz="0" w:space="0" w:color="auto"/>
                <w:left w:val="none" w:sz="0" w:space="0" w:color="auto"/>
                <w:bottom w:val="none" w:sz="0" w:space="0" w:color="auto"/>
                <w:right w:val="none" w:sz="0" w:space="0" w:color="auto"/>
              </w:divBdr>
              <w:divsChild>
                <w:div w:id="973412144">
                  <w:marLeft w:val="0"/>
                  <w:marRight w:val="0"/>
                  <w:marTop w:val="0"/>
                  <w:marBottom w:val="0"/>
                  <w:divBdr>
                    <w:top w:val="none" w:sz="0" w:space="0" w:color="auto"/>
                    <w:left w:val="none" w:sz="0" w:space="0" w:color="auto"/>
                    <w:bottom w:val="none" w:sz="0" w:space="0" w:color="auto"/>
                    <w:right w:val="none" w:sz="0" w:space="0" w:color="auto"/>
                  </w:divBdr>
                  <w:divsChild>
                    <w:div w:id="1015427754">
                      <w:marLeft w:val="0"/>
                      <w:marRight w:val="0"/>
                      <w:marTop w:val="120"/>
                      <w:marBottom w:val="0"/>
                      <w:divBdr>
                        <w:top w:val="none" w:sz="0" w:space="0" w:color="auto"/>
                        <w:left w:val="none" w:sz="0" w:space="0" w:color="auto"/>
                        <w:bottom w:val="none" w:sz="0" w:space="0" w:color="auto"/>
                        <w:right w:val="none" w:sz="0" w:space="0" w:color="auto"/>
                      </w:divBdr>
                    </w:div>
                    <w:div w:id="1053306935">
                      <w:marLeft w:val="0"/>
                      <w:marRight w:val="0"/>
                      <w:marTop w:val="0"/>
                      <w:marBottom w:val="0"/>
                      <w:divBdr>
                        <w:top w:val="none" w:sz="0" w:space="0" w:color="auto"/>
                        <w:left w:val="none" w:sz="0" w:space="0" w:color="auto"/>
                        <w:bottom w:val="none" w:sz="0" w:space="0" w:color="auto"/>
                        <w:right w:val="none" w:sz="0" w:space="0" w:color="auto"/>
                      </w:divBdr>
                      <w:divsChild>
                        <w:div w:id="449131258">
                          <w:marLeft w:val="0"/>
                          <w:marRight w:val="0"/>
                          <w:marTop w:val="0"/>
                          <w:marBottom w:val="0"/>
                          <w:divBdr>
                            <w:top w:val="none" w:sz="0" w:space="0" w:color="auto"/>
                            <w:left w:val="none" w:sz="0" w:space="0" w:color="auto"/>
                            <w:bottom w:val="none" w:sz="0" w:space="0" w:color="auto"/>
                            <w:right w:val="none" w:sz="0" w:space="0" w:color="auto"/>
                          </w:divBdr>
                          <w:divsChild>
                            <w:div w:id="558177271">
                              <w:marLeft w:val="0"/>
                              <w:marRight w:val="0"/>
                              <w:marTop w:val="120"/>
                              <w:marBottom w:val="0"/>
                              <w:divBdr>
                                <w:top w:val="none" w:sz="0" w:space="0" w:color="auto"/>
                                <w:left w:val="none" w:sz="0" w:space="0" w:color="auto"/>
                                <w:bottom w:val="none" w:sz="0" w:space="0" w:color="auto"/>
                                <w:right w:val="none" w:sz="0" w:space="0" w:color="auto"/>
                              </w:divBdr>
                            </w:div>
                            <w:div w:id="1598977086">
                              <w:marLeft w:val="0"/>
                              <w:marRight w:val="0"/>
                              <w:marTop w:val="0"/>
                              <w:marBottom w:val="0"/>
                              <w:divBdr>
                                <w:top w:val="none" w:sz="0" w:space="0" w:color="auto"/>
                                <w:left w:val="none" w:sz="0" w:space="0" w:color="auto"/>
                                <w:bottom w:val="none" w:sz="0" w:space="0" w:color="auto"/>
                                <w:right w:val="none" w:sz="0" w:space="0" w:color="auto"/>
                              </w:divBdr>
                            </w:div>
                          </w:divsChild>
                        </w:div>
                        <w:div w:id="2105296305">
                          <w:marLeft w:val="0"/>
                          <w:marRight w:val="0"/>
                          <w:marTop w:val="0"/>
                          <w:marBottom w:val="0"/>
                          <w:divBdr>
                            <w:top w:val="none" w:sz="0" w:space="0" w:color="auto"/>
                            <w:left w:val="none" w:sz="0" w:space="0" w:color="auto"/>
                            <w:bottom w:val="none" w:sz="0" w:space="0" w:color="auto"/>
                            <w:right w:val="none" w:sz="0" w:space="0" w:color="auto"/>
                          </w:divBdr>
                          <w:divsChild>
                            <w:div w:id="250816138">
                              <w:marLeft w:val="0"/>
                              <w:marRight w:val="0"/>
                              <w:marTop w:val="0"/>
                              <w:marBottom w:val="0"/>
                              <w:divBdr>
                                <w:top w:val="none" w:sz="0" w:space="0" w:color="auto"/>
                                <w:left w:val="none" w:sz="0" w:space="0" w:color="auto"/>
                                <w:bottom w:val="none" w:sz="0" w:space="0" w:color="auto"/>
                                <w:right w:val="none" w:sz="0" w:space="0" w:color="auto"/>
                              </w:divBdr>
                            </w:div>
                            <w:div w:id="99117482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46231135">
                  <w:marLeft w:val="0"/>
                  <w:marRight w:val="0"/>
                  <w:marTop w:val="0"/>
                  <w:marBottom w:val="0"/>
                  <w:divBdr>
                    <w:top w:val="none" w:sz="0" w:space="0" w:color="auto"/>
                    <w:left w:val="none" w:sz="0" w:space="0" w:color="auto"/>
                    <w:bottom w:val="none" w:sz="0" w:space="0" w:color="auto"/>
                    <w:right w:val="none" w:sz="0" w:space="0" w:color="auto"/>
                  </w:divBdr>
                  <w:divsChild>
                    <w:div w:id="692533408">
                      <w:marLeft w:val="0"/>
                      <w:marRight w:val="0"/>
                      <w:marTop w:val="0"/>
                      <w:marBottom w:val="0"/>
                      <w:divBdr>
                        <w:top w:val="none" w:sz="0" w:space="0" w:color="auto"/>
                        <w:left w:val="none" w:sz="0" w:space="0" w:color="auto"/>
                        <w:bottom w:val="none" w:sz="0" w:space="0" w:color="auto"/>
                        <w:right w:val="none" w:sz="0" w:space="0" w:color="auto"/>
                      </w:divBdr>
                    </w:div>
                    <w:div w:id="196916800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562517549">
      <w:bodyDiv w:val="1"/>
      <w:marLeft w:val="0"/>
      <w:marRight w:val="0"/>
      <w:marTop w:val="0"/>
      <w:marBottom w:val="0"/>
      <w:divBdr>
        <w:top w:val="none" w:sz="0" w:space="0" w:color="auto"/>
        <w:left w:val="none" w:sz="0" w:space="0" w:color="auto"/>
        <w:bottom w:val="none" w:sz="0" w:space="0" w:color="auto"/>
        <w:right w:val="none" w:sz="0" w:space="0" w:color="auto"/>
      </w:divBdr>
      <w:divsChild>
        <w:div w:id="186607135">
          <w:marLeft w:val="0"/>
          <w:marRight w:val="0"/>
          <w:marTop w:val="0"/>
          <w:marBottom w:val="0"/>
          <w:divBdr>
            <w:top w:val="none" w:sz="0" w:space="0" w:color="auto"/>
            <w:left w:val="none" w:sz="0" w:space="0" w:color="auto"/>
            <w:bottom w:val="none" w:sz="0" w:space="0" w:color="auto"/>
            <w:right w:val="none" w:sz="0" w:space="0" w:color="auto"/>
          </w:divBdr>
        </w:div>
      </w:divsChild>
    </w:div>
    <w:div w:id="1567717936">
      <w:bodyDiv w:val="1"/>
      <w:marLeft w:val="0"/>
      <w:marRight w:val="0"/>
      <w:marTop w:val="0"/>
      <w:marBottom w:val="0"/>
      <w:divBdr>
        <w:top w:val="none" w:sz="0" w:space="0" w:color="auto"/>
        <w:left w:val="none" w:sz="0" w:space="0" w:color="auto"/>
        <w:bottom w:val="none" w:sz="0" w:space="0" w:color="auto"/>
        <w:right w:val="none" w:sz="0" w:space="0" w:color="auto"/>
      </w:divBdr>
      <w:divsChild>
        <w:div w:id="1791701438">
          <w:marLeft w:val="0"/>
          <w:marRight w:val="0"/>
          <w:marTop w:val="0"/>
          <w:marBottom w:val="0"/>
          <w:divBdr>
            <w:top w:val="none" w:sz="0" w:space="0" w:color="auto"/>
            <w:left w:val="none" w:sz="0" w:space="0" w:color="auto"/>
            <w:bottom w:val="none" w:sz="0" w:space="0" w:color="auto"/>
            <w:right w:val="none" w:sz="0" w:space="0" w:color="auto"/>
          </w:divBdr>
          <w:divsChild>
            <w:div w:id="2143185503">
              <w:marLeft w:val="0"/>
              <w:marRight w:val="0"/>
              <w:marTop w:val="0"/>
              <w:marBottom w:val="0"/>
              <w:divBdr>
                <w:top w:val="none" w:sz="0" w:space="0" w:color="auto"/>
                <w:left w:val="none" w:sz="0" w:space="0" w:color="auto"/>
                <w:bottom w:val="none" w:sz="0" w:space="0" w:color="auto"/>
                <w:right w:val="none" w:sz="0" w:space="0" w:color="auto"/>
              </w:divBdr>
            </w:div>
          </w:divsChild>
        </w:div>
        <w:div w:id="2016571670">
          <w:marLeft w:val="0"/>
          <w:marRight w:val="0"/>
          <w:marTop w:val="0"/>
          <w:marBottom w:val="0"/>
          <w:divBdr>
            <w:top w:val="none" w:sz="0" w:space="0" w:color="auto"/>
            <w:left w:val="none" w:sz="0" w:space="0" w:color="auto"/>
            <w:bottom w:val="none" w:sz="0" w:space="0" w:color="auto"/>
            <w:right w:val="none" w:sz="0" w:space="0" w:color="auto"/>
          </w:divBdr>
          <w:divsChild>
            <w:div w:id="698815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300993">
      <w:bodyDiv w:val="1"/>
      <w:marLeft w:val="0"/>
      <w:marRight w:val="0"/>
      <w:marTop w:val="0"/>
      <w:marBottom w:val="0"/>
      <w:divBdr>
        <w:top w:val="none" w:sz="0" w:space="0" w:color="auto"/>
        <w:left w:val="none" w:sz="0" w:space="0" w:color="auto"/>
        <w:bottom w:val="none" w:sz="0" w:space="0" w:color="auto"/>
        <w:right w:val="none" w:sz="0" w:space="0" w:color="auto"/>
      </w:divBdr>
    </w:div>
    <w:div w:id="1570773881">
      <w:bodyDiv w:val="1"/>
      <w:marLeft w:val="0"/>
      <w:marRight w:val="0"/>
      <w:marTop w:val="0"/>
      <w:marBottom w:val="0"/>
      <w:divBdr>
        <w:top w:val="none" w:sz="0" w:space="0" w:color="auto"/>
        <w:left w:val="none" w:sz="0" w:space="0" w:color="auto"/>
        <w:bottom w:val="none" w:sz="0" w:space="0" w:color="auto"/>
        <w:right w:val="none" w:sz="0" w:space="0" w:color="auto"/>
      </w:divBdr>
      <w:divsChild>
        <w:div w:id="6489291">
          <w:marLeft w:val="0"/>
          <w:marRight w:val="0"/>
          <w:marTop w:val="0"/>
          <w:marBottom w:val="0"/>
          <w:divBdr>
            <w:top w:val="none" w:sz="0" w:space="0" w:color="auto"/>
            <w:left w:val="none" w:sz="0" w:space="0" w:color="auto"/>
            <w:bottom w:val="none" w:sz="0" w:space="0" w:color="auto"/>
            <w:right w:val="none" w:sz="0" w:space="0" w:color="auto"/>
          </w:divBdr>
          <w:divsChild>
            <w:div w:id="1712654984">
              <w:marLeft w:val="0"/>
              <w:marRight w:val="0"/>
              <w:marTop w:val="0"/>
              <w:marBottom w:val="0"/>
              <w:divBdr>
                <w:top w:val="none" w:sz="0" w:space="0" w:color="auto"/>
                <w:left w:val="none" w:sz="0" w:space="0" w:color="auto"/>
                <w:bottom w:val="none" w:sz="0" w:space="0" w:color="auto"/>
                <w:right w:val="none" w:sz="0" w:space="0" w:color="auto"/>
              </w:divBdr>
            </w:div>
          </w:divsChild>
        </w:div>
        <w:div w:id="388656295">
          <w:marLeft w:val="0"/>
          <w:marRight w:val="0"/>
          <w:marTop w:val="0"/>
          <w:marBottom w:val="0"/>
          <w:divBdr>
            <w:top w:val="none" w:sz="0" w:space="0" w:color="auto"/>
            <w:left w:val="none" w:sz="0" w:space="0" w:color="auto"/>
            <w:bottom w:val="none" w:sz="0" w:space="0" w:color="auto"/>
            <w:right w:val="none" w:sz="0" w:space="0" w:color="auto"/>
          </w:divBdr>
          <w:divsChild>
            <w:div w:id="1918587593">
              <w:marLeft w:val="0"/>
              <w:marRight w:val="0"/>
              <w:marTop w:val="0"/>
              <w:marBottom w:val="0"/>
              <w:divBdr>
                <w:top w:val="none" w:sz="0" w:space="0" w:color="auto"/>
                <w:left w:val="none" w:sz="0" w:space="0" w:color="auto"/>
                <w:bottom w:val="none" w:sz="0" w:space="0" w:color="auto"/>
                <w:right w:val="none" w:sz="0" w:space="0" w:color="auto"/>
              </w:divBdr>
            </w:div>
          </w:divsChild>
        </w:div>
        <w:div w:id="601182790">
          <w:marLeft w:val="0"/>
          <w:marRight w:val="0"/>
          <w:marTop w:val="0"/>
          <w:marBottom w:val="0"/>
          <w:divBdr>
            <w:top w:val="none" w:sz="0" w:space="0" w:color="auto"/>
            <w:left w:val="none" w:sz="0" w:space="0" w:color="auto"/>
            <w:bottom w:val="none" w:sz="0" w:space="0" w:color="auto"/>
            <w:right w:val="none" w:sz="0" w:space="0" w:color="auto"/>
          </w:divBdr>
          <w:divsChild>
            <w:div w:id="1616132955">
              <w:marLeft w:val="0"/>
              <w:marRight w:val="0"/>
              <w:marTop w:val="0"/>
              <w:marBottom w:val="0"/>
              <w:divBdr>
                <w:top w:val="none" w:sz="0" w:space="0" w:color="auto"/>
                <w:left w:val="none" w:sz="0" w:space="0" w:color="auto"/>
                <w:bottom w:val="none" w:sz="0" w:space="0" w:color="auto"/>
                <w:right w:val="none" w:sz="0" w:space="0" w:color="auto"/>
              </w:divBdr>
            </w:div>
          </w:divsChild>
        </w:div>
        <w:div w:id="1181820413">
          <w:marLeft w:val="0"/>
          <w:marRight w:val="0"/>
          <w:marTop w:val="0"/>
          <w:marBottom w:val="0"/>
          <w:divBdr>
            <w:top w:val="none" w:sz="0" w:space="0" w:color="auto"/>
            <w:left w:val="none" w:sz="0" w:space="0" w:color="auto"/>
            <w:bottom w:val="none" w:sz="0" w:space="0" w:color="auto"/>
            <w:right w:val="none" w:sz="0" w:space="0" w:color="auto"/>
          </w:divBdr>
          <w:divsChild>
            <w:div w:id="1673295619">
              <w:marLeft w:val="0"/>
              <w:marRight w:val="0"/>
              <w:marTop w:val="0"/>
              <w:marBottom w:val="0"/>
              <w:divBdr>
                <w:top w:val="none" w:sz="0" w:space="0" w:color="auto"/>
                <w:left w:val="none" w:sz="0" w:space="0" w:color="auto"/>
                <w:bottom w:val="none" w:sz="0" w:space="0" w:color="auto"/>
                <w:right w:val="none" w:sz="0" w:space="0" w:color="auto"/>
              </w:divBdr>
            </w:div>
          </w:divsChild>
        </w:div>
        <w:div w:id="1261911499">
          <w:marLeft w:val="0"/>
          <w:marRight w:val="0"/>
          <w:marTop w:val="0"/>
          <w:marBottom w:val="0"/>
          <w:divBdr>
            <w:top w:val="none" w:sz="0" w:space="0" w:color="auto"/>
            <w:left w:val="none" w:sz="0" w:space="0" w:color="auto"/>
            <w:bottom w:val="none" w:sz="0" w:space="0" w:color="auto"/>
            <w:right w:val="none" w:sz="0" w:space="0" w:color="auto"/>
          </w:divBdr>
          <w:divsChild>
            <w:div w:id="2099867985">
              <w:marLeft w:val="0"/>
              <w:marRight w:val="0"/>
              <w:marTop w:val="0"/>
              <w:marBottom w:val="0"/>
              <w:divBdr>
                <w:top w:val="none" w:sz="0" w:space="0" w:color="auto"/>
                <w:left w:val="none" w:sz="0" w:space="0" w:color="auto"/>
                <w:bottom w:val="none" w:sz="0" w:space="0" w:color="auto"/>
                <w:right w:val="none" w:sz="0" w:space="0" w:color="auto"/>
              </w:divBdr>
              <w:divsChild>
                <w:div w:id="802423528">
                  <w:marLeft w:val="0"/>
                  <w:marRight w:val="0"/>
                  <w:marTop w:val="0"/>
                  <w:marBottom w:val="0"/>
                  <w:divBdr>
                    <w:top w:val="none" w:sz="0" w:space="0" w:color="auto"/>
                    <w:left w:val="none" w:sz="0" w:space="0" w:color="auto"/>
                    <w:bottom w:val="none" w:sz="0" w:space="0" w:color="auto"/>
                    <w:right w:val="none" w:sz="0" w:space="0" w:color="auto"/>
                  </w:divBdr>
                  <w:divsChild>
                    <w:div w:id="1191991778">
                      <w:marLeft w:val="0"/>
                      <w:marRight w:val="0"/>
                      <w:marTop w:val="120"/>
                      <w:marBottom w:val="0"/>
                      <w:divBdr>
                        <w:top w:val="none" w:sz="0" w:space="0" w:color="auto"/>
                        <w:left w:val="none" w:sz="0" w:space="0" w:color="auto"/>
                        <w:bottom w:val="none" w:sz="0" w:space="0" w:color="auto"/>
                        <w:right w:val="none" w:sz="0" w:space="0" w:color="auto"/>
                      </w:divBdr>
                    </w:div>
                    <w:div w:id="1268805077">
                      <w:marLeft w:val="0"/>
                      <w:marRight w:val="0"/>
                      <w:marTop w:val="0"/>
                      <w:marBottom w:val="0"/>
                      <w:divBdr>
                        <w:top w:val="none" w:sz="0" w:space="0" w:color="auto"/>
                        <w:left w:val="none" w:sz="0" w:space="0" w:color="auto"/>
                        <w:bottom w:val="none" w:sz="0" w:space="0" w:color="auto"/>
                        <w:right w:val="none" w:sz="0" w:space="0" w:color="auto"/>
                      </w:divBdr>
                    </w:div>
                  </w:divsChild>
                </w:div>
                <w:div w:id="2043819145">
                  <w:marLeft w:val="0"/>
                  <w:marRight w:val="0"/>
                  <w:marTop w:val="0"/>
                  <w:marBottom w:val="0"/>
                  <w:divBdr>
                    <w:top w:val="none" w:sz="0" w:space="0" w:color="auto"/>
                    <w:left w:val="none" w:sz="0" w:space="0" w:color="auto"/>
                    <w:bottom w:val="none" w:sz="0" w:space="0" w:color="auto"/>
                    <w:right w:val="none" w:sz="0" w:space="0" w:color="auto"/>
                  </w:divBdr>
                  <w:divsChild>
                    <w:div w:id="1665039732">
                      <w:marLeft w:val="0"/>
                      <w:marRight w:val="0"/>
                      <w:marTop w:val="0"/>
                      <w:marBottom w:val="0"/>
                      <w:divBdr>
                        <w:top w:val="none" w:sz="0" w:space="0" w:color="auto"/>
                        <w:left w:val="none" w:sz="0" w:space="0" w:color="auto"/>
                        <w:bottom w:val="none" w:sz="0" w:space="0" w:color="auto"/>
                        <w:right w:val="none" w:sz="0" w:space="0" w:color="auto"/>
                      </w:divBdr>
                    </w:div>
                    <w:div w:id="20396989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71389128">
          <w:marLeft w:val="0"/>
          <w:marRight w:val="0"/>
          <w:marTop w:val="0"/>
          <w:marBottom w:val="0"/>
          <w:divBdr>
            <w:top w:val="none" w:sz="0" w:space="0" w:color="auto"/>
            <w:left w:val="none" w:sz="0" w:space="0" w:color="auto"/>
            <w:bottom w:val="none" w:sz="0" w:space="0" w:color="auto"/>
            <w:right w:val="none" w:sz="0" w:space="0" w:color="auto"/>
          </w:divBdr>
          <w:divsChild>
            <w:div w:id="516117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7977742">
      <w:bodyDiv w:val="1"/>
      <w:marLeft w:val="0"/>
      <w:marRight w:val="0"/>
      <w:marTop w:val="0"/>
      <w:marBottom w:val="0"/>
      <w:divBdr>
        <w:top w:val="none" w:sz="0" w:space="0" w:color="auto"/>
        <w:left w:val="none" w:sz="0" w:space="0" w:color="auto"/>
        <w:bottom w:val="none" w:sz="0" w:space="0" w:color="auto"/>
        <w:right w:val="none" w:sz="0" w:space="0" w:color="auto"/>
      </w:divBdr>
      <w:divsChild>
        <w:div w:id="1252278092">
          <w:marLeft w:val="0"/>
          <w:marRight w:val="0"/>
          <w:marTop w:val="0"/>
          <w:marBottom w:val="0"/>
          <w:divBdr>
            <w:top w:val="none" w:sz="0" w:space="0" w:color="auto"/>
            <w:left w:val="none" w:sz="0" w:space="0" w:color="auto"/>
            <w:bottom w:val="none" w:sz="0" w:space="0" w:color="auto"/>
            <w:right w:val="none" w:sz="0" w:space="0" w:color="auto"/>
          </w:divBdr>
          <w:divsChild>
            <w:div w:id="138500772">
              <w:marLeft w:val="0"/>
              <w:marRight w:val="0"/>
              <w:marTop w:val="0"/>
              <w:marBottom w:val="0"/>
              <w:divBdr>
                <w:top w:val="none" w:sz="0" w:space="0" w:color="auto"/>
                <w:left w:val="none" w:sz="0" w:space="0" w:color="auto"/>
                <w:bottom w:val="none" w:sz="0" w:space="0" w:color="auto"/>
                <w:right w:val="none" w:sz="0" w:space="0" w:color="auto"/>
              </w:divBdr>
              <w:divsChild>
                <w:div w:id="1328090485">
                  <w:marLeft w:val="0"/>
                  <w:marRight w:val="0"/>
                  <w:marTop w:val="120"/>
                  <w:marBottom w:val="0"/>
                  <w:divBdr>
                    <w:top w:val="none" w:sz="0" w:space="0" w:color="auto"/>
                    <w:left w:val="none" w:sz="0" w:space="0" w:color="auto"/>
                    <w:bottom w:val="none" w:sz="0" w:space="0" w:color="auto"/>
                    <w:right w:val="none" w:sz="0" w:space="0" w:color="auto"/>
                  </w:divBdr>
                </w:div>
                <w:div w:id="1343632428">
                  <w:marLeft w:val="0"/>
                  <w:marRight w:val="0"/>
                  <w:marTop w:val="0"/>
                  <w:marBottom w:val="0"/>
                  <w:divBdr>
                    <w:top w:val="none" w:sz="0" w:space="0" w:color="auto"/>
                    <w:left w:val="none" w:sz="0" w:space="0" w:color="auto"/>
                    <w:bottom w:val="none" w:sz="0" w:space="0" w:color="auto"/>
                    <w:right w:val="none" w:sz="0" w:space="0" w:color="auto"/>
                  </w:divBdr>
                </w:div>
              </w:divsChild>
            </w:div>
            <w:div w:id="1149442812">
              <w:marLeft w:val="0"/>
              <w:marRight w:val="0"/>
              <w:marTop w:val="0"/>
              <w:marBottom w:val="0"/>
              <w:divBdr>
                <w:top w:val="none" w:sz="0" w:space="0" w:color="auto"/>
                <w:left w:val="none" w:sz="0" w:space="0" w:color="auto"/>
                <w:bottom w:val="none" w:sz="0" w:space="0" w:color="auto"/>
                <w:right w:val="none" w:sz="0" w:space="0" w:color="auto"/>
              </w:divBdr>
              <w:divsChild>
                <w:div w:id="518589506">
                  <w:marLeft w:val="0"/>
                  <w:marRight w:val="0"/>
                  <w:marTop w:val="0"/>
                  <w:marBottom w:val="0"/>
                  <w:divBdr>
                    <w:top w:val="none" w:sz="0" w:space="0" w:color="auto"/>
                    <w:left w:val="none" w:sz="0" w:space="0" w:color="auto"/>
                    <w:bottom w:val="none" w:sz="0" w:space="0" w:color="auto"/>
                    <w:right w:val="none" w:sz="0" w:space="0" w:color="auto"/>
                  </w:divBdr>
                </w:div>
                <w:div w:id="895891184">
                  <w:marLeft w:val="0"/>
                  <w:marRight w:val="0"/>
                  <w:marTop w:val="120"/>
                  <w:marBottom w:val="0"/>
                  <w:divBdr>
                    <w:top w:val="none" w:sz="0" w:space="0" w:color="auto"/>
                    <w:left w:val="none" w:sz="0" w:space="0" w:color="auto"/>
                    <w:bottom w:val="none" w:sz="0" w:space="0" w:color="auto"/>
                    <w:right w:val="none" w:sz="0" w:space="0" w:color="auto"/>
                  </w:divBdr>
                </w:div>
              </w:divsChild>
            </w:div>
            <w:div w:id="2080593917">
              <w:marLeft w:val="0"/>
              <w:marRight w:val="0"/>
              <w:marTop w:val="0"/>
              <w:marBottom w:val="0"/>
              <w:divBdr>
                <w:top w:val="none" w:sz="0" w:space="0" w:color="auto"/>
                <w:left w:val="none" w:sz="0" w:space="0" w:color="auto"/>
                <w:bottom w:val="none" w:sz="0" w:space="0" w:color="auto"/>
                <w:right w:val="none" w:sz="0" w:space="0" w:color="auto"/>
              </w:divBdr>
              <w:divsChild>
                <w:div w:id="704015057">
                  <w:marLeft w:val="0"/>
                  <w:marRight w:val="0"/>
                  <w:marTop w:val="0"/>
                  <w:marBottom w:val="0"/>
                  <w:divBdr>
                    <w:top w:val="none" w:sz="0" w:space="0" w:color="auto"/>
                    <w:left w:val="none" w:sz="0" w:space="0" w:color="auto"/>
                    <w:bottom w:val="none" w:sz="0" w:space="0" w:color="auto"/>
                    <w:right w:val="none" w:sz="0" w:space="0" w:color="auto"/>
                  </w:divBdr>
                </w:div>
                <w:div w:id="145085875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582762116">
      <w:bodyDiv w:val="1"/>
      <w:marLeft w:val="0"/>
      <w:marRight w:val="0"/>
      <w:marTop w:val="0"/>
      <w:marBottom w:val="0"/>
      <w:divBdr>
        <w:top w:val="none" w:sz="0" w:space="0" w:color="auto"/>
        <w:left w:val="none" w:sz="0" w:space="0" w:color="auto"/>
        <w:bottom w:val="none" w:sz="0" w:space="0" w:color="auto"/>
        <w:right w:val="none" w:sz="0" w:space="0" w:color="auto"/>
      </w:divBdr>
      <w:divsChild>
        <w:div w:id="1046373399">
          <w:marLeft w:val="0"/>
          <w:marRight w:val="0"/>
          <w:marTop w:val="0"/>
          <w:marBottom w:val="0"/>
          <w:divBdr>
            <w:top w:val="none" w:sz="0" w:space="0" w:color="auto"/>
            <w:left w:val="none" w:sz="0" w:space="0" w:color="auto"/>
            <w:bottom w:val="none" w:sz="0" w:space="0" w:color="auto"/>
            <w:right w:val="none" w:sz="0" w:space="0" w:color="auto"/>
          </w:divBdr>
        </w:div>
      </w:divsChild>
    </w:div>
    <w:div w:id="1584799515">
      <w:bodyDiv w:val="1"/>
      <w:marLeft w:val="0"/>
      <w:marRight w:val="0"/>
      <w:marTop w:val="0"/>
      <w:marBottom w:val="0"/>
      <w:divBdr>
        <w:top w:val="none" w:sz="0" w:space="0" w:color="auto"/>
        <w:left w:val="none" w:sz="0" w:space="0" w:color="auto"/>
        <w:bottom w:val="none" w:sz="0" w:space="0" w:color="auto"/>
        <w:right w:val="none" w:sz="0" w:space="0" w:color="auto"/>
      </w:divBdr>
      <w:divsChild>
        <w:div w:id="1603876043">
          <w:marLeft w:val="0"/>
          <w:marRight w:val="0"/>
          <w:marTop w:val="0"/>
          <w:marBottom w:val="0"/>
          <w:divBdr>
            <w:top w:val="none" w:sz="0" w:space="0" w:color="auto"/>
            <w:left w:val="none" w:sz="0" w:space="0" w:color="auto"/>
            <w:bottom w:val="none" w:sz="0" w:space="0" w:color="auto"/>
            <w:right w:val="none" w:sz="0" w:space="0" w:color="auto"/>
          </w:divBdr>
          <w:divsChild>
            <w:div w:id="106586460">
              <w:marLeft w:val="0"/>
              <w:marRight w:val="0"/>
              <w:marTop w:val="120"/>
              <w:marBottom w:val="0"/>
              <w:divBdr>
                <w:top w:val="none" w:sz="0" w:space="0" w:color="auto"/>
                <w:left w:val="none" w:sz="0" w:space="0" w:color="auto"/>
                <w:bottom w:val="none" w:sz="0" w:space="0" w:color="auto"/>
                <w:right w:val="none" w:sz="0" w:space="0" w:color="auto"/>
              </w:divBdr>
            </w:div>
            <w:div w:id="905843412">
              <w:marLeft w:val="0"/>
              <w:marRight w:val="0"/>
              <w:marTop w:val="0"/>
              <w:marBottom w:val="0"/>
              <w:divBdr>
                <w:top w:val="none" w:sz="0" w:space="0" w:color="auto"/>
                <w:left w:val="none" w:sz="0" w:space="0" w:color="auto"/>
                <w:bottom w:val="none" w:sz="0" w:space="0" w:color="auto"/>
                <w:right w:val="none" w:sz="0" w:space="0" w:color="auto"/>
              </w:divBdr>
            </w:div>
          </w:divsChild>
        </w:div>
        <w:div w:id="2086685458">
          <w:marLeft w:val="0"/>
          <w:marRight w:val="0"/>
          <w:marTop w:val="0"/>
          <w:marBottom w:val="0"/>
          <w:divBdr>
            <w:top w:val="none" w:sz="0" w:space="0" w:color="auto"/>
            <w:left w:val="none" w:sz="0" w:space="0" w:color="auto"/>
            <w:bottom w:val="none" w:sz="0" w:space="0" w:color="auto"/>
            <w:right w:val="none" w:sz="0" w:space="0" w:color="auto"/>
          </w:divBdr>
          <w:divsChild>
            <w:div w:id="96760143">
              <w:marLeft w:val="0"/>
              <w:marRight w:val="0"/>
              <w:marTop w:val="0"/>
              <w:marBottom w:val="0"/>
              <w:divBdr>
                <w:top w:val="none" w:sz="0" w:space="0" w:color="auto"/>
                <w:left w:val="none" w:sz="0" w:space="0" w:color="auto"/>
                <w:bottom w:val="none" w:sz="0" w:space="0" w:color="auto"/>
                <w:right w:val="none" w:sz="0" w:space="0" w:color="auto"/>
              </w:divBdr>
            </w:div>
            <w:div w:id="77386758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585840939">
      <w:bodyDiv w:val="1"/>
      <w:marLeft w:val="0"/>
      <w:marRight w:val="0"/>
      <w:marTop w:val="0"/>
      <w:marBottom w:val="0"/>
      <w:divBdr>
        <w:top w:val="none" w:sz="0" w:space="0" w:color="auto"/>
        <w:left w:val="none" w:sz="0" w:space="0" w:color="auto"/>
        <w:bottom w:val="none" w:sz="0" w:space="0" w:color="auto"/>
        <w:right w:val="none" w:sz="0" w:space="0" w:color="auto"/>
      </w:divBdr>
      <w:divsChild>
        <w:div w:id="769929459">
          <w:marLeft w:val="0"/>
          <w:marRight w:val="0"/>
          <w:marTop w:val="0"/>
          <w:marBottom w:val="0"/>
          <w:divBdr>
            <w:top w:val="none" w:sz="0" w:space="0" w:color="auto"/>
            <w:left w:val="none" w:sz="0" w:space="0" w:color="auto"/>
            <w:bottom w:val="none" w:sz="0" w:space="0" w:color="auto"/>
            <w:right w:val="none" w:sz="0" w:space="0" w:color="auto"/>
          </w:divBdr>
        </w:div>
      </w:divsChild>
    </w:div>
    <w:div w:id="1592857843">
      <w:bodyDiv w:val="1"/>
      <w:marLeft w:val="0"/>
      <w:marRight w:val="0"/>
      <w:marTop w:val="0"/>
      <w:marBottom w:val="0"/>
      <w:divBdr>
        <w:top w:val="none" w:sz="0" w:space="0" w:color="auto"/>
        <w:left w:val="none" w:sz="0" w:space="0" w:color="auto"/>
        <w:bottom w:val="none" w:sz="0" w:space="0" w:color="auto"/>
        <w:right w:val="none" w:sz="0" w:space="0" w:color="auto"/>
      </w:divBdr>
      <w:divsChild>
        <w:div w:id="465701978">
          <w:marLeft w:val="0"/>
          <w:marRight w:val="0"/>
          <w:marTop w:val="0"/>
          <w:marBottom w:val="0"/>
          <w:divBdr>
            <w:top w:val="none" w:sz="0" w:space="0" w:color="auto"/>
            <w:left w:val="none" w:sz="0" w:space="0" w:color="auto"/>
            <w:bottom w:val="none" w:sz="0" w:space="0" w:color="auto"/>
            <w:right w:val="none" w:sz="0" w:space="0" w:color="auto"/>
          </w:divBdr>
          <w:divsChild>
            <w:div w:id="252981152">
              <w:marLeft w:val="0"/>
              <w:marRight w:val="0"/>
              <w:marTop w:val="0"/>
              <w:marBottom w:val="0"/>
              <w:divBdr>
                <w:top w:val="none" w:sz="0" w:space="0" w:color="auto"/>
                <w:left w:val="none" w:sz="0" w:space="0" w:color="auto"/>
                <w:bottom w:val="none" w:sz="0" w:space="0" w:color="auto"/>
                <w:right w:val="none" w:sz="0" w:space="0" w:color="auto"/>
              </w:divBdr>
              <w:divsChild>
                <w:div w:id="1294484724">
                  <w:marLeft w:val="0"/>
                  <w:marRight w:val="0"/>
                  <w:marTop w:val="120"/>
                  <w:marBottom w:val="0"/>
                  <w:divBdr>
                    <w:top w:val="none" w:sz="0" w:space="0" w:color="auto"/>
                    <w:left w:val="none" w:sz="0" w:space="0" w:color="auto"/>
                    <w:bottom w:val="none" w:sz="0" w:space="0" w:color="auto"/>
                    <w:right w:val="none" w:sz="0" w:space="0" w:color="auto"/>
                  </w:divBdr>
                </w:div>
                <w:div w:id="1378972160">
                  <w:marLeft w:val="0"/>
                  <w:marRight w:val="0"/>
                  <w:marTop w:val="0"/>
                  <w:marBottom w:val="0"/>
                  <w:divBdr>
                    <w:top w:val="none" w:sz="0" w:space="0" w:color="auto"/>
                    <w:left w:val="none" w:sz="0" w:space="0" w:color="auto"/>
                    <w:bottom w:val="none" w:sz="0" w:space="0" w:color="auto"/>
                    <w:right w:val="none" w:sz="0" w:space="0" w:color="auto"/>
                  </w:divBdr>
                </w:div>
              </w:divsChild>
            </w:div>
            <w:div w:id="786239094">
              <w:marLeft w:val="0"/>
              <w:marRight w:val="0"/>
              <w:marTop w:val="0"/>
              <w:marBottom w:val="0"/>
              <w:divBdr>
                <w:top w:val="none" w:sz="0" w:space="0" w:color="auto"/>
                <w:left w:val="none" w:sz="0" w:space="0" w:color="auto"/>
                <w:bottom w:val="none" w:sz="0" w:space="0" w:color="auto"/>
                <w:right w:val="none" w:sz="0" w:space="0" w:color="auto"/>
              </w:divBdr>
              <w:divsChild>
                <w:div w:id="843058322">
                  <w:marLeft w:val="0"/>
                  <w:marRight w:val="0"/>
                  <w:marTop w:val="120"/>
                  <w:marBottom w:val="0"/>
                  <w:divBdr>
                    <w:top w:val="none" w:sz="0" w:space="0" w:color="auto"/>
                    <w:left w:val="none" w:sz="0" w:space="0" w:color="auto"/>
                    <w:bottom w:val="none" w:sz="0" w:space="0" w:color="auto"/>
                    <w:right w:val="none" w:sz="0" w:space="0" w:color="auto"/>
                  </w:divBdr>
                </w:div>
                <w:div w:id="1535727256">
                  <w:marLeft w:val="0"/>
                  <w:marRight w:val="0"/>
                  <w:marTop w:val="0"/>
                  <w:marBottom w:val="0"/>
                  <w:divBdr>
                    <w:top w:val="none" w:sz="0" w:space="0" w:color="auto"/>
                    <w:left w:val="none" w:sz="0" w:space="0" w:color="auto"/>
                    <w:bottom w:val="none" w:sz="0" w:space="0" w:color="auto"/>
                    <w:right w:val="none" w:sz="0" w:space="0" w:color="auto"/>
                  </w:divBdr>
                </w:div>
              </w:divsChild>
            </w:div>
            <w:div w:id="988442269">
              <w:marLeft w:val="0"/>
              <w:marRight w:val="0"/>
              <w:marTop w:val="0"/>
              <w:marBottom w:val="0"/>
              <w:divBdr>
                <w:top w:val="none" w:sz="0" w:space="0" w:color="auto"/>
                <w:left w:val="none" w:sz="0" w:space="0" w:color="auto"/>
                <w:bottom w:val="none" w:sz="0" w:space="0" w:color="auto"/>
                <w:right w:val="none" w:sz="0" w:space="0" w:color="auto"/>
              </w:divBdr>
              <w:divsChild>
                <w:div w:id="796028514">
                  <w:marLeft w:val="0"/>
                  <w:marRight w:val="0"/>
                  <w:marTop w:val="120"/>
                  <w:marBottom w:val="0"/>
                  <w:divBdr>
                    <w:top w:val="none" w:sz="0" w:space="0" w:color="auto"/>
                    <w:left w:val="none" w:sz="0" w:space="0" w:color="auto"/>
                    <w:bottom w:val="none" w:sz="0" w:space="0" w:color="auto"/>
                    <w:right w:val="none" w:sz="0" w:space="0" w:color="auto"/>
                  </w:divBdr>
                </w:div>
                <w:div w:id="1393311566">
                  <w:marLeft w:val="0"/>
                  <w:marRight w:val="0"/>
                  <w:marTop w:val="0"/>
                  <w:marBottom w:val="0"/>
                  <w:divBdr>
                    <w:top w:val="none" w:sz="0" w:space="0" w:color="auto"/>
                    <w:left w:val="none" w:sz="0" w:space="0" w:color="auto"/>
                    <w:bottom w:val="none" w:sz="0" w:space="0" w:color="auto"/>
                    <w:right w:val="none" w:sz="0" w:space="0" w:color="auto"/>
                  </w:divBdr>
                </w:div>
              </w:divsChild>
            </w:div>
            <w:div w:id="1078139283">
              <w:marLeft w:val="0"/>
              <w:marRight w:val="0"/>
              <w:marTop w:val="0"/>
              <w:marBottom w:val="0"/>
              <w:divBdr>
                <w:top w:val="none" w:sz="0" w:space="0" w:color="auto"/>
                <w:left w:val="none" w:sz="0" w:space="0" w:color="auto"/>
                <w:bottom w:val="none" w:sz="0" w:space="0" w:color="auto"/>
                <w:right w:val="none" w:sz="0" w:space="0" w:color="auto"/>
              </w:divBdr>
              <w:divsChild>
                <w:div w:id="1219244526">
                  <w:marLeft w:val="0"/>
                  <w:marRight w:val="0"/>
                  <w:marTop w:val="120"/>
                  <w:marBottom w:val="0"/>
                  <w:divBdr>
                    <w:top w:val="none" w:sz="0" w:space="0" w:color="auto"/>
                    <w:left w:val="none" w:sz="0" w:space="0" w:color="auto"/>
                    <w:bottom w:val="none" w:sz="0" w:space="0" w:color="auto"/>
                    <w:right w:val="none" w:sz="0" w:space="0" w:color="auto"/>
                  </w:divBdr>
                </w:div>
                <w:div w:id="2099911006">
                  <w:marLeft w:val="0"/>
                  <w:marRight w:val="0"/>
                  <w:marTop w:val="0"/>
                  <w:marBottom w:val="0"/>
                  <w:divBdr>
                    <w:top w:val="none" w:sz="0" w:space="0" w:color="auto"/>
                    <w:left w:val="none" w:sz="0" w:space="0" w:color="auto"/>
                    <w:bottom w:val="none" w:sz="0" w:space="0" w:color="auto"/>
                    <w:right w:val="none" w:sz="0" w:space="0" w:color="auto"/>
                  </w:divBdr>
                </w:div>
              </w:divsChild>
            </w:div>
            <w:div w:id="1393040861">
              <w:marLeft w:val="0"/>
              <w:marRight w:val="0"/>
              <w:marTop w:val="0"/>
              <w:marBottom w:val="0"/>
              <w:divBdr>
                <w:top w:val="none" w:sz="0" w:space="0" w:color="auto"/>
                <w:left w:val="none" w:sz="0" w:space="0" w:color="auto"/>
                <w:bottom w:val="none" w:sz="0" w:space="0" w:color="auto"/>
                <w:right w:val="none" w:sz="0" w:space="0" w:color="auto"/>
              </w:divBdr>
              <w:divsChild>
                <w:div w:id="102236559">
                  <w:marLeft w:val="0"/>
                  <w:marRight w:val="0"/>
                  <w:marTop w:val="0"/>
                  <w:marBottom w:val="0"/>
                  <w:divBdr>
                    <w:top w:val="none" w:sz="0" w:space="0" w:color="auto"/>
                    <w:left w:val="none" w:sz="0" w:space="0" w:color="auto"/>
                    <w:bottom w:val="none" w:sz="0" w:space="0" w:color="auto"/>
                    <w:right w:val="none" w:sz="0" w:space="0" w:color="auto"/>
                  </w:divBdr>
                </w:div>
                <w:div w:id="5883202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727069301">
          <w:marLeft w:val="0"/>
          <w:marRight w:val="0"/>
          <w:marTop w:val="120"/>
          <w:marBottom w:val="0"/>
          <w:divBdr>
            <w:top w:val="none" w:sz="0" w:space="0" w:color="auto"/>
            <w:left w:val="none" w:sz="0" w:space="0" w:color="auto"/>
            <w:bottom w:val="none" w:sz="0" w:space="0" w:color="auto"/>
            <w:right w:val="none" w:sz="0" w:space="0" w:color="auto"/>
          </w:divBdr>
        </w:div>
      </w:divsChild>
    </w:div>
    <w:div w:id="1593779847">
      <w:bodyDiv w:val="1"/>
      <w:marLeft w:val="0"/>
      <w:marRight w:val="0"/>
      <w:marTop w:val="0"/>
      <w:marBottom w:val="0"/>
      <w:divBdr>
        <w:top w:val="none" w:sz="0" w:space="0" w:color="auto"/>
        <w:left w:val="none" w:sz="0" w:space="0" w:color="auto"/>
        <w:bottom w:val="none" w:sz="0" w:space="0" w:color="auto"/>
        <w:right w:val="none" w:sz="0" w:space="0" w:color="auto"/>
      </w:divBdr>
      <w:divsChild>
        <w:div w:id="1753118494">
          <w:marLeft w:val="0"/>
          <w:marRight w:val="0"/>
          <w:marTop w:val="0"/>
          <w:marBottom w:val="0"/>
          <w:divBdr>
            <w:top w:val="none" w:sz="0" w:space="0" w:color="auto"/>
            <w:left w:val="none" w:sz="0" w:space="0" w:color="auto"/>
            <w:bottom w:val="none" w:sz="0" w:space="0" w:color="auto"/>
            <w:right w:val="none" w:sz="0" w:space="0" w:color="auto"/>
          </w:divBdr>
        </w:div>
      </w:divsChild>
    </w:div>
    <w:div w:id="1596329189">
      <w:bodyDiv w:val="1"/>
      <w:marLeft w:val="0"/>
      <w:marRight w:val="0"/>
      <w:marTop w:val="0"/>
      <w:marBottom w:val="0"/>
      <w:divBdr>
        <w:top w:val="none" w:sz="0" w:space="0" w:color="auto"/>
        <w:left w:val="none" w:sz="0" w:space="0" w:color="auto"/>
        <w:bottom w:val="none" w:sz="0" w:space="0" w:color="auto"/>
        <w:right w:val="none" w:sz="0" w:space="0" w:color="auto"/>
      </w:divBdr>
    </w:div>
    <w:div w:id="1602295598">
      <w:bodyDiv w:val="1"/>
      <w:marLeft w:val="0"/>
      <w:marRight w:val="0"/>
      <w:marTop w:val="0"/>
      <w:marBottom w:val="0"/>
      <w:divBdr>
        <w:top w:val="none" w:sz="0" w:space="0" w:color="auto"/>
        <w:left w:val="none" w:sz="0" w:space="0" w:color="auto"/>
        <w:bottom w:val="none" w:sz="0" w:space="0" w:color="auto"/>
        <w:right w:val="none" w:sz="0" w:space="0" w:color="auto"/>
      </w:divBdr>
      <w:divsChild>
        <w:div w:id="1798642475">
          <w:marLeft w:val="0"/>
          <w:marRight w:val="0"/>
          <w:marTop w:val="0"/>
          <w:marBottom w:val="0"/>
          <w:divBdr>
            <w:top w:val="none" w:sz="0" w:space="0" w:color="auto"/>
            <w:left w:val="none" w:sz="0" w:space="0" w:color="auto"/>
            <w:bottom w:val="none" w:sz="0" w:space="0" w:color="auto"/>
            <w:right w:val="none" w:sz="0" w:space="0" w:color="auto"/>
          </w:divBdr>
          <w:divsChild>
            <w:div w:id="1240018156">
              <w:marLeft w:val="0"/>
              <w:marRight w:val="0"/>
              <w:marTop w:val="0"/>
              <w:marBottom w:val="0"/>
              <w:divBdr>
                <w:top w:val="none" w:sz="0" w:space="0" w:color="auto"/>
                <w:left w:val="none" w:sz="0" w:space="0" w:color="auto"/>
                <w:bottom w:val="none" w:sz="0" w:space="0" w:color="auto"/>
                <w:right w:val="none" w:sz="0" w:space="0" w:color="auto"/>
              </w:divBdr>
              <w:divsChild>
                <w:div w:id="946036848">
                  <w:marLeft w:val="0"/>
                  <w:marRight w:val="0"/>
                  <w:marTop w:val="0"/>
                  <w:marBottom w:val="0"/>
                  <w:divBdr>
                    <w:top w:val="none" w:sz="0" w:space="0" w:color="auto"/>
                    <w:left w:val="none" w:sz="0" w:space="0" w:color="auto"/>
                    <w:bottom w:val="none" w:sz="0" w:space="0" w:color="auto"/>
                    <w:right w:val="none" w:sz="0" w:space="0" w:color="auto"/>
                  </w:divBdr>
                </w:div>
                <w:div w:id="14094947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606767984">
      <w:bodyDiv w:val="1"/>
      <w:marLeft w:val="0"/>
      <w:marRight w:val="0"/>
      <w:marTop w:val="0"/>
      <w:marBottom w:val="0"/>
      <w:divBdr>
        <w:top w:val="none" w:sz="0" w:space="0" w:color="auto"/>
        <w:left w:val="none" w:sz="0" w:space="0" w:color="auto"/>
        <w:bottom w:val="none" w:sz="0" w:space="0" w:color="auto"/>
        <w:right w:val="none" w:sz="0" w:space="0" w:color="auto"/>
      </w:divBdr>
      <w:divsChild>
        <w:div w:id="923880142">
          <w:marLeft w:val="0"/>
          <w:marRight w:val="0"/>
          <w:marTop w:val="0"/>
          <w:marBottom w:val="0"/>
          <w:divBdr>
            <w:top w:val="none" w:sz="0" w:space="0" w:color="auto"/>
            <w:left w:val="none" w:sz="0" w:space="0" w:color="auto"/>
            <w:bottom w:val="none" w:sz="0" w:space="0" w:color="auto"/>
            <w:right w:val="none" w:sz="0" w:space="0" w:color="auto"/>
          </w:divBdr>
          <w:divsChild>
            <w:div w:id="1413553022">
              <w:marLeft w:val="0"/>
              <w:marRight w:val="0"/>
              <w:marTop w:val="0"/>
              <w:marBottom w:val="0"/>
              <w:divBdr>
                <w:top w:val="none" w:sz="0" w:space="0" w:color="auto"/>
                <w:left w:val="none" w:sz="0" w:space="0" w:color="auto"/>
                <w:bottom w:val="none" w:sz="0" w:space="0" w:color="auto"/>
                <w:right w:val="none" w:sz="0" w:space="0" w:color="auto"/>
              </w:divBdr>
              <w:divsChild>
                <w:div w:id="1366368568">
                  <w:marLeft w:val="0"/>
                  <w:marRight w:val="0"/>
                  <w:marTop w:val="0"/>
                  <w:marBottom w:val="0"/>
                  <w:divBdr>
                    <w:top w:val="none" w:sz="0" w:space="0" w:color="auto"/>
                    <w:left w:val="none" w:sz="0" w:space="0" w:color="auto"/>
                    <w:bottom w:val="none" w:sz="0" w:space="0" w:color="auto"/>
                    <w:right w:val="none" w:sz="0" w:space="0" w:color="auto"/>
                  </w:divBdr>
                  <w:divsChild>
                    <w:div w:id="176576697">
                      <w:marLeft w:val="0"/>
                      <w:marRight w:val="0"/>
                      <w:marTop w:val="0"/>
                      <w:marBottom w:val="0"/>
                      <w:divBdr>
                        <w:top w:val="none" w:sz="0" w:space="0" w:color="auto"/>
                        <w:left w:val="none" w:sz="0" w:space="0" w:color="auto"/>
                        <w:bottom w:val="none" w:sz="0" w:space="0" w:color="auto"/>
                        <w:right w:val="none" w:sz="0" w:space="0" w:color="auto"/>
                      </w:divBdr>
                    </w:div>
                    <w:div w:id="868760927">
                      <w:marLeft w:val="0"/>
                      <w:marRight w:val="0"/>
                      <w:marTop w:val="120"/>
                      <w:marBottom w:val="0"/>
                      <w:divBdr>
                        <w:top w:val="none" w:sz="0" w:space="0" w:color="auto"/>
                        <w:left w:val="none" w:sz="0" w:space="0" w:color="auto"/>
                        <w:bottom w:val="none" w:sz="0" w:space="0" w:color="auto"/>
                        <w:right w:val="none" w:sz="0" w:space="0" w:color="auto"/>
                      </w:divBdr>
                    </w:div>
                  </w:divsChild>
                </w:div>
                <w:div w:id="1996882152">
                  <w:marLeft w:val="0"/>
                  <w:marRight w:val="0"/>
                  <w:marTop w:val="0"/>
                  <w:marBottom w:val="0"/>
                  <w:divBdr>
                    <w:top w:val="none" w:sz="0" w:space="0" w:color="auto"/>
                    <w:left w:val="none" w:sz="0" w:space="0" w:color="auto"/>
                    <w:bottom w:val="none" w:sz="0" w:space="0" w:color="auto"/>
                    <w:right w:val="none" w:sz="0" w:space="0" w:color="auto"/>
                  </w:divBdr>
                  <w:divsChild>
                    <w:div w:id="66420666">
                      <w:marLeft w:val="0"/>
                      <w:marRight w:val="0"/>
                      <w:marTop w:val="120"/>
                      <w:marBottom w:val="0"/>
                      <w:divBdr>
                        <w:top w:val="none" w:sz="0" w:space="0" w:color="auto"/>
                        <w:left w:val="none" w:sz="0" w:space="0" w:color="auto"/>
                        <w:bottom w:val="none" w:sz="0" w:space="0" w:color="auto"/>
                        <w:right w:val="none" w:sz="0" w:space="0" w:color="auto"/>
                      </w:divBdr>
                    </w:div>
                    <w:div w:id="94156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3531634">
          <w:marLeft w:val="0"/>
          <w:marRight w:val="0"/>
          <w:marTop w:val="0"/>
          <w:marBottom w:val="0"/>
          <w:divBdr>
            <w:top w:val="none" w:sz="0" w:space="0" w:color="auto"/>
            <w:left w:val="none" w:sz="0" w:space="0" w:color="auto"/>
            <w:bottom w:val="none" w:sz="0" w:space="0" w:color="auto"/>
            <w:right w:val="none" w:sz="0" w:space="0" w:color="auto"/>
          </w:divBdr>
          <w:divsChild>
            <w:div w:id="604310941">
              <w:marLeft w:val="0"/>
              <w:marRight w:val="0"/>
              <w:marTop w:val="0"/>
              <w:marBottom w:val="0"/>
              <w:divBdr>
                <w:top w:val="none" w:sz="0" w:space="0" w:color="auto"/>
                <w:left w:val="none" w:sz="0" w:space="0" w:color="auto"/>
                <w:bottom w:val="none" w:sz="0" w:space="0" w:color="auto"/>
                <w:right w:val="none" w:sz="0" w:space="0" w:color="auto"/>
              </w:divBdr>
            </w:div>
          </w:divsChild>
        </w:div>
        <w:div w:id="1814954408">
          <w:marLeft w:val="0"/>
          <w:marRight w:val="0"/>
          <w:marTop w:val="0"/>
          <w:marBottom w:val="0"/>
          <w:divBdr>
            <w:top w:val="none" w:sz="0" w:space="0" w:color="auto"/>
            <w:left w:val="none" w:sz="0" w:space="0" w:color="auto"/>
            <w:bottom w:val="none" w:sz="0" w:space="0" w:color="auto"/>
            <w:right w:val="none" w:sz="0" w:space="0" w:color="auto"/>
          </w:divBdr>
          <w:divsChild>
            <w:div w:id="42676350">
              <w:marLeft w:val="0"/>
              <w:marRight w:val="0"/>
              <w:marTop w:val="0"/>
              <w:marBottom w:val="0"/>
              <w:divBdr>
                <w:top w:val="none" w:sz="0" w:space="0" w:color="auto"/>
                <w:left w:val="none" w:sz="0" w:space="0" w:color="auto"/>
                <w:bottom w:val="none" w:sz="0" w:space="0" w:color="auto"/>
                <w:right w:val="none" w:sz="0" w:space="0" w:color="auto"/>
              </w:divBdr>
            </w:div>
          </w:divsChild>
        </w:div>
        <w:div w:id="1831824381">
          <w:marLeft w:val="0"/>
          <w:marRight w:val="0"/>
          <w:marTop w:val="0"/>
          <w:marBottom w:val="0"/>
          <w:divBdr>
            <w:top w:val="none" w:sz="0" w:space="0" w:color="auto"/>
            <w:left w:val="none" w:sz="0" w:space="0" w:color="auto"/>
            <w:bottom w:val="none" w:sz="0" w:space="0" w:color="auto"/>
            <w:right w:val="none" w:sz="0" w:space="0" w:color="auto"/>
          </w:divBdr>
          <w:divsChild>
            <w:div w:id="137430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9191219">
      <w:bodyDiv w:val="1"/>
      <w:marLeft w:val="0"/>
      <w:marRight w:val="0"/>
      <w:marTop w:val="0"/>
      <w:marBottom w:val="0"/>
      <w:divBdr>
        <w:top w:val="none" w:sz="0" w:space="0" w:color="auto"/>
        <w:left w:val="none" w:sz="0" w:space="0" w:color="auto"/>
        <w:bottom w:val="none" w:sz="0" w:space="0" w:color="auto"/>
        <w:right w:val="none" w:sz="0" w:space="0" w:color="auto"/>
      </w:divBdr>
      <w:divsChild>
        <w:div w:id="501772792">
          <w:marLeft w:val="0"/>
          <w:marRight w:val="0"/>
          <w:marTop w:val="0"/>
          <w:marBottom w:val="0"/>
          <w:divBdr>
            <w:top w:val="none" w:sz="0" w:space="0" w:color="auto"/>
            <w:left w:val="none" w:sz="0" w:space="0" w:color="auto"/>
            <w:bottom w:val="none" w:sz="0" w:space="0" w:color="auto"/>
            <w:right w:val="none" w:sz="0" w:space="0" w:color="auto"/>
          </w:divBdr>
          <w:divsChild>
            <w:div w:id="109668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2568517">
      <w:bodyDiv w:val="1"/>
      <w:marLeft w:val="0"/>
      <w:marRight w:val="0"/>
      <w:marTop w:val="0"/>
      <w:marBottom w:val="0"/>
      <w:divBdr>
        <w:top w:val="none" w:sz="0" w:space="0" w:color="auto"/>
        <w:left w:val="none" w:sz="0" w:space="0" w:color="auto"/>
        <w:bottom w:val="none" w:sz="0" w:space="0" w:color="auto"/>
        <w:right w:val="none" w:sz="0" w:space="0" w:color="auto"/>
      </w:divBdr>
      <w:divsChild>
        <w:div w:id="301077361">
          <w:marLeft w:val="0"/>
          <w:marRight w:val="0"/>
          <w:marTop w:val="120"/>
          <w:marBottom w:val="0"/>
          <w:divBdr>
            <w:top w:val="none" w:sz="0" w:space="0" w:color="auto"/>
            <w:left w:val="none" w:sz="0" w:space="0" w:color="auto"/>
            <w:bottom w:val="none" w:sz="0" w:space="0" w:color="auto"/>
            <w:right w:val="none" w:sz="0" w:space="0" w:color="auto"/>
          </w:divBdr>
        </w:div>
        <w:div w:id="1900748985">
          <w:marLeft w:val="0"/>
          <w:marRight w:val="0"/>
          <w:marTop w:val="0"/>
          <w:marBottom w:val="0"/>
          <w:divBdr>
            <w:top w:val="none" w:sz="0" w:space="0" w:color="auto"/>
            <w:left w:val="none" w:sz="0" w:space="0" w:color="auto"/>
            <w:bottom w:val="none" w:sz="0" w:space="0" w:color="auto"/>
            <w:right w:val="none" w:sz="0" w:space="0" w:color="auto"/>
          </w:divBdr>
        </w:div>
      </w:divsChild>
    </w:div>
    <w:div w:id="1660160231">
      <w:bodyDiv w:val="1"/>
      <w:marLeft w:val="0"/>
      <w:marRight w:val="0"/>
      <w:marTop w:val="0"/>
      <w:marBottom w:val="0"/>
      <w:divBdr>
        <w:top w:val="none" w:sz="0" w:space="0" w:color="auto"/>
        <w:left w:val="none" w:sz="0" w:space="0" w:color="auto"/>
        <w:bottom w:val="none" w:sz="0" w:space="0" w:color="auto"/>
        <w:right w:val="none" w:sz="0" w:space="0" w:color="auto"/>
      </w:divBdr>
      <w:divsChild>
        <w:div w:id="1753772046">
          <w:marLeft w:val="0"/>
          <w:marRight w:val="0"/>
          <w:marTop w:val="0"/>
          <w:marBottom w:val="0"/>
          <w:divBdr>
            <w:top w:val="none" w:sz="0" w:space="0" w:color="auto"/>
            <w:left w:val="none" w:sz="0" w:space="0" w:color="auto"/>
            <w:bottom w:val="none" w:sz="0" w:space="0" w:color="auto"/>
            <w:right w:val="none" w:sz="0" w:space="0" w:color="auto"/>
          </w:divBdr>
        </w:div>
      </w:divsChild>
    </w:div>
    <w:div w:id="1669820691">
      <w:bodyDiv w:val="1"/>
      <w:marLeft w:val="0"/>
      <w:marRight w:val="0"/>
      <w:marTop w:val="0"/>
      <w:marBottom w:val="0"/>
      <w:divBdr>
        <w:top w:val="none" w:sz="0" w:space="0" w:color="auto"/>
        <w:left w:val="none" w:sz="0" w:space="0" w:color="auto"/>
        <w:bottom w:val="none" w:sz="0" w:space="0" w:color="auto"/>
        <w:right w:val="none" w:sz="0" w:space="0" w:color="auto"/>
      </w:divBdr>
      <w:divsChild>
        <w:div w:id="1245801535">
          <w:marLeft w:val="0"/>
          <w:marRight w:val="0"/>
          <w:marTop w:val="0"/>
          <w:marBottom w:val="0"/>
          <w:divBdr>
            <w:top w:val="none" w:sz="0" w:space="0" w:color="auto"/>
            <w:left w:val="none" w:sz="0" w:space="0" w:color="auto"/>
            <w:bottom w:val="none" w:sz="0" w:space="0" w:color="auto"/>
            <w:right w:val="none" w:sz="0" w:space="0" w:color="auto"/>
          </w:divBdr>
          <w:divsChild>
            <w:div w:id="1604679425">
              <w:marLeft w:val="0"/>
              <w:marRight w:val="0"/>
              <w:marTop w:val="0"/>
              <w:marBottom w:val="0"/>
              <w:divBdr>
                <w:top w:val="none" w:sz="0" w:space="0" w:color="auto"/>
                <w:left w:val="none" w:sz="0" w:space="0" w:color="auto"/>
                <w:bottom w:val="none" w:sz="0" w:space="0" w:color="auto"/>
                <w:right w:val="none" w:sz="0" w:space="0" w:color="auto"/>
              </w:divBdr>
              <w:divsChild>
                <w:div w:id="1196191691">
                  <w:marLeft w:val="0"/>
                  <w:marRight w:val="0"/>
                  <w:marTop w:val="0"/>
                  <w:marBottom w:val="0"/>
                  <w:divBdr>
                    <w:top w:val="none" w:sz="0" w:space="0" w:color="auto"/>
                    <w:left w:val="none" w:sz="0" w:space="0" w:color="auto"/>
                    <w:bottom w:val="none" w:sz="0" w:space="0" w:color="auto"/>
                    <w:right w:val="none" w:sz="0" w:space="0" w:color="auto"/>
                  </w:divBdr>
                </w:div>
                <w:div w:id="1688363203">
                  <w:marLeft w:val="0"/>
                  <w:marRight w:val="0"/>
                  <w:marTop w:val="120"/>
                  <w:marBottom w:val="0"/>
                  <w:divBdr>
                    <w:top w:val="none" w:sz="0" w:space="0" w:color="auto"/>
                    <w:left w:val="none" w:sz="0" w:space="0" w:color="auto"/>
                    <w:bottom w:val="none" w:sz="0" w:space="0" w:color="auto"/>
                    <w:right w:val="none" w:sz="0" w:space="0" w:color="auto"/>
                  </w:divBdr>
                </w:div>
              </w:divsChild>
            </w:div>
            <w:div w:id="1877348425">
              <w:marLeft w:val="0"/>
              <w:marRight w:val="0"/>
              <w:marTop w:val="0"/>
              <w:marBottom w:val="0"/>
              <w:divBdr>
                <w:top w:val="none" w:sz="0" w:space="0" w:color="auto"/>
                <w:left w:val="none" w:sz="0" w:space="0" w:color="auto"/>
                <w:bottom w:val="none" w:sz="0" w:space="0" w:color="auto"/>
                <w:right w:val="none" w:sz="0" w:space="0" w:color="auto"/>
              </w:divBdr>
              <w:divsChild>
                <w:div w:id="38214712">
                  <w:marLeft w:val="0"/>
                  <w:marRight w:val="0"/>
                  <w:marTop w:val="120"/>
                  <w:marBottom w:val="0"/>
                  <w:divBdr>
                    <w:top w:val="none" w:sz="0" w:space="0" w:color="auto"/>
                    <w:left w:val="none" w:sz="0" w:space="0" w:color="auto"/>
                    <w:bottom w:val="none" w:sz="0" w:space="0" w:color="auto"/>
                    <w:right w:val="none" w:sz="0" w:space="0" w:color="auto"/>
                  </w:divBdr>
                </w:div>
                <w:div w:id="84216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679881">
      <w:bodyDiv w:val="1"/>
      <w:marLeft w:val="0"/>
      <w:marRight w:val="0"/>
      <w:marTop w:val="0"/>
      <w:marBottom w:val="0"/>
      <w:divBdr>
        <w:top w:val="none" w:sz="0" w:space="0" w:color="auto"/>
        <w:left w:val="none" w:sz="0" w:space="0" w:color="auto"/>
        <w:bottom w:val="none" w:sz="0" w:space="0" w:color="auto"/>
        <w:right w:val="none" w:sz="0" w:space="0" w:color="auto"/>
      </w:divBdr>
      <w:divsChild>
        <w:div w:id="39520826">
          <w:marLeft w:val="0"/>
          <w:marRight w:val="0"/>
          <w:marTop w:val="0"/>
          <w:marBottom w:val="0"/>
          <w:divBdr>
            <w:top w:val="none" w:sz="0" w:space="0" w:color="auto"/>
            <w:left w:val="none" w:sz="0" w:space="0" w:color="auto"/>
            <w:bottom w:val="none" w:sz="0" w:space="0" w:color="auto"/>
            <w:right w:val="none" w:sz="0" w:space="0" w:color="auto"/>
          </w:divBdr>
        </w:div>
      </w:divsChild>
    </w:div>
    <w:div w:id="1686635955">
      <w:bodyDiv w:val="1"/>
      <w:marLeft w:val="0"/>
      <w:marRight w:val="0"/>
      <w:marTop w:val="0"/>
      <w:marBottom w:val="0"/>
      <w:divBdr>
        <w:top w:val="none" w:sz="0" w:space="0" w:color="auto"/>
        <w:left w:val="none" w:sz="0" w:space="0" w:color="auto"/>
        <w:bottom w:val="none" w:sz="0" w:space="0" w:color="auto"/>
        <w:right w:val="none" w:sz="0" w:space="0" w:color="auto"/>
      </w:divBdr>
      <w:divsChild>
        <w:div w:id="246578371">
          <w:marLeft w:val="0"/>
          <w:marRight w:val="0"/>
          <w:marTop w:val="0"/>
          <w:marBottom w:val="0"/>
          <w:divBdr>
            <w:top w:val="none" w:sz="0" w:space="0" w:color="auto"/>
            <w:left w:val="none" w:sz="0" w:space="0" w:color="auto"/>
            <w:bottom w:val="none" w:sz="0" w:space="0" w:color="auto"/>
            <w:right w:val="none" w:sz="0" w:space="0" w:color="auto"/>
          </w:divBdr>
          <w:divsChild>
            <w:div w:id="544030804">
              <w:marLeft w:val="0"/>
              <w:marRight w:val="0"/>
              <w:marTop w:val="120"/>
              <w:marBottom w:val="0"/>
              <w:divBdr>
                <w:top w:val="none" w:sz="0" w:space="0" w:color="auto"/>
                <w:left w:val="none" w:sz="0" w:space="0" w:color="auto"/>
                <w:bottom w:val="none" w:sz="0" w:space="0" w:color="auto"/>
                <w:right w:val="none" w:sz="0" w:space="0" w:color="auto"/>
              </w:divBdr>
            </w:div>
            <w:div w:id="1829320264">
              <w:marLeft w:val="0"/>
              <w:marRight w:val="0"/>
              <w:marTop w:val="0"/>
              <w:marBottom w:val="0"/>
              <w:divBdr>
                <w:top w:val="none" w:sz="0" w:space="0" w:color="auto"/>
                <w:left w:val="none" w:sz="0" w:space="0" w:color="auto"/>
                <w:bottom w:val="none" w:sz="0" w:space="0" w:color="auto"/>
                <w:right w:val="none" w:sz="0" w:space="0" w:color="auto"/>
              </w:divBdr>
            </w:div>
          </w:divsChild>
        </w:div>
        <w:div w:id="828205838">
          <w:marLeft w:val="0"/>
          <w:marRight w:val="0"/>
          <w:marTop w:val="0"/>
          <w:marBottom w:val="0"/>
          <w:divBdr>
            <w:top w:val="none" w:sz="0" w:space="0" w:color="auto"/>
            <w:left w:val="none" w:sz="0" w:space="0" w:color="auto"/>
            <w:bottom w:val="none" w:sz="0" w:space="0" w:color="auto"/>
            <w:right w:val="none" w:sz="0" w:space="0" w:color="auto"/>
          </w:divBdr>
          <w:divsChild>
            <w:div w:id="1613782192">
              <w:marLeft w:val="0"/>
              <w:marRight w:val="0"/>
              <w:marTop w:val="120"/>
              <w:marBottom w:val="0"/>
              <w:divBdr>
                <w:top w:val="none" w:sz="0" w:space="0" w:color="auto"/>
                <w:left w:val="none" w:sz="0" w:space="0" w:color="auto"/>
                <w:bottom w:val="none" w:sz="0" w:space="0" w:color="auto"/>
                <w:right w:val="none" w:sz="0" w:space="0" w:color="auto"/>
              </w:divBdr>
            </w:div>
            <w:div w:id="1643002001">
              <w:marLeft w:val="0"/>
              <w:marRight w:val="0"/>
              <w:marTop w:val="0"/>
              <w:marBottom w:val="0"/>
              <w:divBdr>
                <w:top w:val="none" w:sz="0" w:space="0" w:color="auto"/>
                <w:left w:val="none" w:sz="0" w:space="0" w:color="auto"/>
                <w:bottom w:val="none" w:sz="0" w:space="0" w:color="auto"/>
                <w:right w:val="none" w:sz="0" w:space="0" w:color="auto"/>
              </w:divBdr>
            </w:div>
          </w:divsChild>
        </w:div>
        <w:div w:id="850417066">
          <w:marLeft w:val="0"/>
          <w:marRight w:val="0"/>
          <w:marTop w:val="0"/>
          <w:marBottom w:val="0"/>
          <w:divBdr>
            <w:top w:val="none" w:sz="0" w:space="0" w:color="auto"/>
            <w:left w:val="none" w:sz="0" w:space="0" w:color="auto"/>
            <w:bottom w:val="none" w:sz="0" w:space="0" w:color="auto"/>
            <w:right w:val="none" w:sz="0" w:space="0" w:color="auto"/>
          </w:divBdr>
          <w:divsChild>
            <w:div w:id="1204904284">
              <w:marLeft w:val="0"/>
              <w:marRight w:val="0"/>
              <w:marTop w:val="0"/>
              <w:marBottom w:val="0"/>
              <w:divBdr>
                <w:top w:val="none" w:sz="0" w:space="0" w:color="auto"/>
                <w:left w:val="none" w:sz="0" w:space="0" w:color="auto"/>
                <w:bottom w:val="none" w:sz="0" w:space="0" w:color="auto"/>
                <w:right w:val="none" w:sz="0" w:space="0" w:color="auto"/>
              </w:divBdr>
            </w:div>
            <w:div w:id="2032025439">
              <w:marLeft w:val="0"/>
              <w:marRight w:val="0"/>
              <w:marTop w:val="120"/>
              <w:marBottom w:val="0"/>
              <w:divBdr>
                <w:top w:val="none" w:sz="0" w:space="0" w:color="auto"/>
                <w:left w:val="none" w:sz="0" w:space="0" w:color="auto"/>
                <w:bottom w:val="none" w:sz="0" w:space="0" w:color="auto"/>
                <w:right w:val="none" w:sz="0" w:space="0" w:color="auto"/>
              </w:divBdr>
            </w:div>
          </w:divsChild>
        </w:div>
        <w:div w:id="949245773">
          <w:marLeft w:val="0"/>
          <w:marRight w:val="0"/>
          <w:marTop w:val="0"/>
          <w:marBottom w:val="0"/>
          <w:divBdr>
            <w:top w:val="none" w:sz="0" w:space="0" w:color="auto"/>
            <w:left w:val="none" w:sz="0" w:space="0" w:color="auto"/>
            <w:bottom w:val="none" w:sz="0" w:space="0" w:color="auto"/>
            <w:right w:val="none" w:sz="0" w:space="0" w:color="auto"/>
          </w:divBdr>
          <w:divsChild>
            <w:div w:id="903101125">
              <w:marLeft w:val="0"/>
              <w:marRight w:val="0"/>
              <w:marTop w:val="0"/>
              <w:marBottom w:val="0"/>
              <w:divBdr>
                <w:top w:val="none" w:sz="0" w:space="0" w:color="auto"/>
                <w:left w:val="none" w:sz="0" w:space="0" w:color="auto"/>
                <w:bottom w:val="none" w:sz="0" w:space="0" w:color="auto"/>
                <w:right w:val="none" w:sz="0" w:space="0" w:color="auto"/>
              </w:divBdr>
            </w:div>
            <w:div w:id="1475369067">
              <w:marLeft w:val="0"/>
              <w:marRight w:val="0"/>
              <w:marTop w:val="120"/>
              <w:marBottom w:val="0"/>
              <w:divBdr>
                <w:top w:val="none" w:sz="0" w:space="0" w:color="auto"/>
                <w:left w:val="none" w:sz="0" w:space="0" w:color="auto"/>
                <w:bottom w:val="none" w:sz="0" w:space="0" w:color="auto"/>
                <w:right w:val="none" w:sz="0" w:space="0" w:color="auto"/>
              </w:divBdr>
            </w:div>
          </w:divsChild>
        </w:div>
        <w:div w:id="1099446866">
          <w:marLeft w:val="0"/>
          <w:marRight w:val="0"/>
          <w:marTop w:val="0"/>
          <w:marBottom w:val="0"/>
          <w:divBdr>
            <w:top w:val="none" w:sz="0" w:space="0" w:color="auto"/>
            <w:left w:val="none" w:sz="0" w:space="0" w:color="auto"/>
            <w:bottom w:val="none" w:sz="0" w:space="0" w:color="auto"/>
            <w:right w:val="none" w:sz="0" w:space="0" w:color="auto"/>
          </w:divBdr>
          <w:divsChild>
            <w:div w:id="292564300">
              <w:marLeft w:val="0"/>
              <w:marRight w:val="0"/>
              <w:marTop w:val="0"/>
              <w:marBottom w:val="0"/>
              <w:divBdr>
                <w:top w:val="none" w:sz="0" w:space="0" w:color="auto"/>
                <w:left w:val="none" w:sz="0" w:space="0" w:color="auto"/>
                <w:bottom w:val="none" w:sz="0" w:space="0" w:color="auto"/>
                <w:right w:val="none" w:sz="0" w:space="0" w:color="auto"/>
              </w:divBdr>
            </w:div>
            <w:div w:id="1649818488">
              <w:marLeft w:val="0"/>
              <w:marRight w:val="0"/>
              <w:marTop w:val="120"/>
              <w:marBottom w:val="0"/>
              <w:divBdr>
                <w:top w:val="none" w:sz="0" w:space="0" w:color="auto"/>
                <w:left w:val="none" w:sz="0" w:space="0" w:color="auto"/>
                <w:bottom w:val="none" w:sz="0" w:space="0" w:color="auto"/>
                <w:right w:val="none" w:sz="0" w:space="0" w:color="auto"/>
              </w:divBdr>
            </w:div>
          </w:divsChild>
        </w:div>
        <w:div w:id="1366829585">
          <w:marLeft w:val="0"/>
          <w:marRight w:val="0"/>
          <w:marTop w:val="0"/>
          <w:marBottom w:val="0"/>
          <w:divBdr>
            <w:top w:val="none" w:sz="0" w:space="0" w:color="auto"/>
            <w:left w:val="none" w:sz="0" w:space="0" w:color="auto"/>
            <w:bottom w:val="none" w:sz="0" w:space="0" w:color="auto"/>
            <w:right w:val="none" w:sz="0" w:space="0" w:color="auto"/>
          </w:divBdr>
          <w:divsChild>
            <w:div w:id="828982489">
              <w:marLeft w:val="0"/>
              <w:marRight w:val="0"/>
              <w:marTop w:val="0"/>
              <w:marBottom w:val="0"/>
              <w:divBdr>
                <w:top w:val="none" w:sz="0" w:space="0" w:color="auto"/>
                <w:left w:val="none" w:sz="0" w:space="0" w:color="auto"/>
                <w:bottom w:val="none" w:sz="0" w:space="0" w:color="auto"/>
                <w:right w:val="none" w:sz="0" w:space="0" w:color="auto"/>
              </w:divBdr>
            </w:div>
            <w:div w:id="1790850813">
              <w:marLeft w:val="0"/>
              <w:marRight w:val="0"/>
              <w:marTop w:val="120"/>
              <w:marBottom w:val="0"/>
              <w:divBdr>
                <w:top w:val="none" w:sz="0" w:space="0" w:color="auto"/>
                <w:left w:val="none" w:sz="0" w:space="0" w:color="auto"/>
                <w:bottom w:val="none" w:sz="0" w:space="0" w:color="auto"/>
                <w:right w:val="none" w:sz="0" w:space="0" w:color="auto"/>
              </w:divBdr>
            </w:div>
          </w:divsChild>
        </w:div>
        <w:div w:id="1967348988">
          <w:marLeft w:val="0"/>
          <w:marRight w:val="0"/>
          <w:marTop w:val="0"/>
          <w:marBottom w:val="0"/>
          <w:divBdr>
            <w:top w:val="none" w:sz="0" w:space="0" w:color="auto"/>
            <w:left w:val="none" w:sz="0" w:space="0" w:color="auto"/>
            <w:bottom w:val="none" w:sz="0" w:space="0" w:color="auto"/>
            <w:right w:val="none" w:sz="0" w:space="0" w:color="auto"/>
          </w:divBdr>
          <w:divsChild>
            <w:div w:id="894584730">
              <w:marLeft w:val="0"/>
              <w:marRight w:val="0"/>
              <w:marTop w:val="0"/>
              <w:marBottom w:val="0"/>
              <w:divBdr>
                <w:top w:val="none" w:sz="0" w:space="0" w:color="auto"/>
                <w:left w:val="none" w:sz="0" w:space="0" w:color="auto"/>
                <w:bottom w:val="none" w:sz="0" w:space="0" w:color="auto"/>
                <w:right w:val="none" w:sz="0" w:space="0" w:color="auto"/>
              </w:divBdr>
            </w:div>
            <w:div w:id="142333678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691299240">
      <w:bodyDiv w:val="1"/>
      <w:marLeft w:val="0"/>
      <w:marRight w:val="0"/>
      <w:marTop w:val="0"/>
      <w:marBottom w:val="0"/>
      <w:divBdr>
        <w:top w:val="none" w:sz="0" w:space="0" w:color="auto"/>
        <w:left w:val="none" w:sz="0" w:space="0" w:color="auto"/>
        <w:bottom w:val="none" w:sz="0" w:space="0" w:color="auto"/>
        <w:right w:val="none" w:sz="0" w:space="0" w:color="auto"/>
      </w:divBdr>
      <w:divsChild>
        <w:div w:id="1944072551">
          <w:marLeft w:val="0"/>
          <w:marRight w:val="0"/>
          <w:marTop w:val="0"/>
          <w:marBottom w:val="0"/>
          <w:divBdr>
            <w:top w:val="none" w:sz="0" w:space="0" w:color="auto"/>
            <w:left w:val="none" w:sz="0" w:space="0" w:color="auto"/>
            <w:bottom w:val="none" w:sz="0" w:space="0" w:color="auto"/>
            <w:right w:val="none" w:sz="0" w:space="0" w:color="auto"/>
          </w:divBdr>
        </w:div>
      </w:divsChild>
    </w:div>
    <w:div w:id="1692490817">
      <w:bodyDiv w:val="1"/>
      <w:marLeft w:val="0"/>
      <w:marRight w:val="0"/>
      <w:marTop w:val="0"/>
      <w:marBottom w:val="0"/>
      <w:divBdr>
        <w:top w:val="none" w:sz="0" w:space="0" w:color="auto"/>
        <w:left w:val="none" w:sz="0" w:space="0" w:color="auto"/>
        <w:bottom w:val="none" w:sz="0" w:space="0" w:color="auto"/>
        <w:right w:val="none" w:sz="0" w:space="0" w:color="auto"/>
      </w:divBdr>
    </w:div>
    <w:div w:id="1700664576">
      <w:bodyDiv w:val="1"/>
      <w:marLeft w:val="0"/>
      <w:marRight w:val="0"/>
      <w:marTop w:val="0"/>
      <w:marBottom w:val="0"/>
      <w:divBdr>
        <w:top w:val="none" w:sz="0" w:space="0" w:color="auto"/>
        <w:left w:val="none" w:sz="0" w:space="0" w:color="auto"/>
        <w:bottom w:val="none" w:sz="0" w:space="0" w:color="auto"/>
        <w:right w:val="none" w:sz="0" w:space="0" w:color="auto"/>
      </w:divBdr>
      <w:divsChild>
        <w:div w:id="302128182">
          <w:marLeft w:val="0"/>
          <w:marRight w:val="0"/>
          <w:marTop w:val="0"/>
          <w:marBottom w:val="0"/>
          <w:divBdr>
            <w:top w:val="none" w:sz="0" w:space="0" w:color="auto"/>
            <w:left w:val="none" w:sz="0" w:space="0" w:color="auto"/>
            <w:bottom w:val="none" w:sz="0" w:space="0" w:color="auto"/>
            <w:right w:val="none" w:sz="0" w:space="0" w:color="auto"/>
          </w:divBdr>
          <w:divsChild>
            <w:div w:id="42295243">
              <w:marLeft w:val="0"/>
              <w:marRight w:val="0"/>
              <w:marTop w:val="120"/>
              <w:marBottom w:val="0"/>
              <w:divBdr>
                <w:top w:val="none" w:sz="0" w:space="0" w:color="auto"/>
                <w:left w:val="none" w:sz="0" w:space="0" w:color="auto"/>
                <w:bottom w:val="none" w:sz="0" w:space="0" w:color="auto"/>
                <w:right w:val="none" w:sz="0" w:space="0" w:color="auto"/>
              </w:divBdr>
            </w:div>
            <w:div w:id="55293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8304730">
      <w:bodyDiv w:val="1"/>
      <w:marLeft w:val="0"/>
      <w:marRight w:val="0"/>
      <w:marTop w:val="0"/>
      <w:marBottom w:val="0"/>
      <w:divBdr>
        <w:top w:val="none" w:sz="0" w:space="0" w:color="auto"/>
        <w:left w:val="none" w:sz="0" w:space="0" w:color="auto"/>
        <w:bottom w:val="none" w:sz="0" w:space="0" w:color="auto"/>
        <w:right w:val="none" w:sz="0" w:space="0" w:color="auto"/>
      </w:divBdr>
    </w:div>
    <w:div w:id="1759323724">
      <w:bodyDiv w:val="1"/>
      <w:marLeft w:val="0"/>
      <w:marRight w:val="0"/>
      <w:marTop w:val="0"/>
      <w:marBottom w:val="0"/>
      <w:divBdr>
        <w:top w:val="none" w:sz="0" w:space="0" w:color="auto"/>
        <w:left w:val="none" w:sz="0" w:space="0" w:color="auto"/>
        <w:bottom w:val="none" w:sz="0" w:space="0" w:color="auto"/>
        <w:right w:val="none" w:sz="0" w:space="0" w:color="auto"/>
      </w:divBdr>
      <w:divsChild>
        <w:div w:id="993799804">
          <w:marLeft w:val="0"/>
          <w:marRight w:val="0"/>
          <w:marTop w:val="0"/>
          <w:marBottom w:val="0"/>
          <w:divBdr>
            <w:top w:val="none" w:sz="0" w:space="0" w:color="auto"/>
            <w:left w:val="none" w:sz="0" w:space="0" w:color="auto"/>
            <w:bottom w:val="none" w:sz="0" w:space="0" w:color="auto"/>
            <w:right w:val="none" w:sz="0" w:space="0" w:color="auto"/>
          </w:divBdr>
        </w:div>
      </w:divsChild>
    </w:div>
    <w:div w:id="1761443618">
      <w:bodyDiv w:val="1"/>
      <w:marLeft w:val="0"/>
      <w:marRight w:val="0"/>
      <w:marTop w:val="0"/>
      <w:marBottom w:val="0"/>
      <w:divBdr>
        <w:top w:val="none" w:sz="0" w:space="0" w:color="auto"/>
        <w:left w:val="none" w:sz="0" w:space="0" w:color="auto"/>
        <w:bottom w:val="none" w:sz="0" w:space="0" w:color="auto"/>
        <w:right w:val="none" w:sz="0" w:space="0" w:color="auto"/>
      </w:divBdr>
    </w:div>
    <w:div w:id="1762096570">
      <w:bodyDiv w:val="1"/>
      <w:marLeft w:val="0"/>
      <w:marRight w:val="0"/>
      <w:marTop w:val="0"/>
      <w:marBottom w:val="0"/>
      <w:divBdr>
        <w:top w:val="none" w:sz="0" w:space="0" w:color="auto"/>
        <w:left w:val="none" w:sz="0" w:space="0" w:color="auto"/>
        <w:bottom w:val="none" w:sz="0" w:space="0" w:color="auto"/>
        <w:right w:val="none" w:sz="0" w:space="0" w:color="auto"/>
      </w:divBdr>
      <w:divsChild>
        <w:div w:id="278993701">
          <w:marLeft w:val="0"/>
          <w:marRight w:val="0"/>
          <w:marTop w:val="0"/>
          <w:marBottom w:val="0"/>
          <w:divBdr>
            <w:top w:val="none" w:sz="0" w:space="0" w:color="auto"/>
            <w:left w:val="none" w:sz="0" w:space="0" w:color="auto"/>
            <w:bottom w:val="none" w:sz="0" w:space="0" w:color="auto"/>
            <w:right w:val="none" w:sz="0" w:space="0" w:color="auto"/>
          </w:divBdr>
          <w:divsChild>
            <w:div w:id="112602272">
              <w:marLeft w:val="0"/>
              <w:marRight w:val="0"/>
              <w:marTop w:val="0"/>
              <w:marBottom w:val="0"/>
              <w:divBdr>
                <w:top w:val="none" w:sz="0" w:space="0" w:color="auto"/>
                <w:left w:val="none" w:sz="0" w:space="0" w:color="auto"/>
                <w:bottom w:val="none" w:sz="0" w:space="0" w:color="auto"/>
                <w:right w:val="none" w:sz="0" w:space="0" w:color="auto"/>
              </w:divBdr>
              <w:divsChild>
                <w:div w:id="379476725">
                  <w:marLeft w:val="0"/>
                  <w:marRight w:val="0"/>
                  <w:marTop w:val="0"/>
                  <w:marBottom w:val="0"/>
                  <w:divBdr>
                    <w:top w:val="none" w:sz="0" w:space="0" w:color="auto"/>
                    <w:left w:val="none" w:sz="0" w:space="0" w:color="auto"/>
                    <w:bottom w:val="none" w:sz="0" w:space="0" w:color="auto"/>
                    <w:right w:val="none" w:sz="0" w:space="0" w:color="auto"/>
                  </w:divBdr>
                  <w:divsChild>
                    <w:div w:id="2020308253">
                      <w:marLeft w:val="0"/>
                      <w:marRight w:val="0"/>
                      <w:marTop w:val="0"/>
                      <w:marBottom w:val="0"/>
                      <w:divBdr>
                        <w:top w:val="none" w:sz="0" w:space="0" w:color="auto"/>
                        <w:left w:val="none" w:sz="0" w:space="0" w:color="auto"/>
                        <w:bottom w:val="none" w:sz="0" w:space="0" w:color="auto"/>
                        <w:right w:val="none" w:sz="0" w:space="0" w:color="auto"/>
                      </w:divBdr>
                      <w:divsChild>
                        <w:div w:id="578250105">
                          <w:marLeft w:val="0"/>
                          <w:marRight w:val="0"/>
                          <w:marTop w:val="0"/>
                          <w:marBottom w:val="0"/>
                          <w:divBdr>
                            <w:top w:val="none" w:sz="0" w:space="0" w:color="auto"/>
                            <w:left w:val="none" w:sz="0" w:space="0" w:color="auto"/>
                            <w:bottom w:val="none" w:sz="0" w:space="0" w:color="auto"/>
                            <w:right w:val="none" w:sz="0" w:space="0" w:color="auto"/>
                          </w:divBdr>
                          <w:divsChild>
                            <w:div w:id="1079250069">
                              <w:marLeft w:val="0"/>
                              <w:marRight w:val="0"/>
                              <w:marTop w:val="120"/>
                              <w:marBottom w:val="0"/>
                              <w:divBdr>
                                <w:top w:val="none" w:sz="0" w:space="0" w:color="auto"/>
                                <w:left w:val="none" w:sz="0" w:space="0" w:color="auto"/>
                                <w:bottom w:val="none" w:sz="0" w:space="0" w:color="auto"/>
                                <w:right w:val="none" w:sz="0" w:space="0" w:color="auto"/>
                              </w:divBdr>
                            </w:div>
                            <w:div w:id="1245918282">
                              <w:marLeft w:val="0"/>
                              <w:marRight w:val="0"/>
                              <w:marTop w:val="0"/>
                              <w:marBottom w:val="0"/>
                              <w:divBdr>
                                <w:top w:val="none" w:sz="0" w:space="0" w:color="auto"/>
                                <w:left w:val="none" w:sz="0" w:space="0" w:color="auto"/>
                                <w:bottom w:val="none" w:sz="0" w:space="0" w:color="auto"/>
                                <w:right w:val="none" w:sz="0" w:space="0" w:color="auto"/>
                              </w:divBdr>
                            </w:div>
                          </w:divsChild>
                        </w:div>
                        <w:div w:id="782269367">
                          <w:marLeft w:val="0"/>
                          <w:marRight w:val="0"/>
                          <w:marTop w:val="0"/>
                          <w:marBottom w:val="0"/>
                          <w:divBdr>
                            <w:top w:val="none" w:sz="0" w:space="0" w:color="auto"/>
                            <w:left w:val="none" w:sz="0" w:space="0" w:color="auto"/>
                            <w:bottom w:val="none" w:sz="0" w:space="0" w:color="auto"/>
                            <w:right w:val="none" w:sz="0" w:space="0" w:color="auto"/>
                          </w:divBdr>
                          <w:divsChild>
                            <w:div w:id="1081370159">
                              <w:marLeft w:val="0"/>
                              <w:marRight w:val="0"/>
                              <w:marTop w:val="0"/>
                              <w:marBottom w:val="0"/>
                              <w:divBdr>
                                <w:top w:val="none" w:sz="0" w:space="0" w:color="auto"/>
                                <w:left w:val="none" w:sz="0" w:space="0" w:color="auto"/>
                                <w:bottom w:val="none" w:sz="0" w:space="0" w:color="auto"/>
                                <w:right w:val="none" w:sz="0" w:space="0" w:color="auto"/>
                              </w:divBdr>
                            </w:div>
                            <w:div w:id="191970808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7967094">
                      <w:marLeft w:val="0"/>
                      <w:marRight w:val="0"/>
                      <w:marTop w:val="120"/>
                      <w:marBottom w:val="0"/>
                      <w:divBdr>
                        <w:top w:val="none" w:sz="0" w:space="0" w:color="auto"/>
                        <w:left w:val="none" w:sz="0" w:space="0" w:color="auto"/>
                        <w:bottom w:val="none" w:sz="0" w:space="0" w:color="auto"/>
                        <w:right w:val="none" w:sz="0" w:space="0" w:color="auto"/>
                      </w:divBdr>
                    </w:div>
                  </w:divsChild>
                </w:div>
                <w:div w:id="710226847">
                  <w:marLeft w:val="0"/>
                  <w:marRight w:val="0"/>
                  <w:marTop w:val="0"/>
                  <w:marBottom w:val="0"/>
                  <w:divBdr>
                    <w:top w:val="none" w:sz="0" w:space="0" w:color="auto"/>
                    <w:left w:val="none" w:sz="0" w:space="0" w:color="auto"/>
                    <w:bottom w:val="none" w:sz="0" w:space="0" w:color="auto"/>
                    <w:right w:val="none" w:sz="0" w:space="0" w:color="auto"/>
                  </w:divBdr>
                  <w:divsChild>
                    <w:div w:id="186020256">
                      <w:marLeft w:val="0"/>
                      <w:marRight w:val="0"/>
                      <w:marTop w:val="0"/>
                      <w:marBottom w:val="0"/>
                      <w:divBdr>
                        <w:top w:val="none" w:sz="0" w:space="0" w:color="auto"/>
                        <w:left w:val="none" w:sz="0" w:space="0" w:color="auto"/>
                        <w:bottom w:val="none" w:sz="0" w:space="0" w:color="auto"/>
                        <w:right w:val="none" w:sz="0" w:space="0" w:color="auto"/>
                      </w:divBdr>
                    </w:div>
                    <w:div w:id="213271400">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772161897">
      <w:bodyDiv w:val="1"/>
      <w:marLeft w:val="0"/>
      <w:marRight w:val="0"/>
      <w:marTop w:val="0"/>
      <w:marBottom w:val="0"/>
      <w:divBdr>
        <w:top w:val="none" w:sz="0" w:space="0" w:color="auto"/>
        <w:left w:val="none" w:sz="0" w:space="0" w:color="auto"/>
        <w:bottom w:val="none" w:sz="0" w:space="0" w:color="auto"/>
        <w:right w:val="none" w:sz="0" w:space="0" w:color="auto"/>
      </w:divBdr>
      <w:divsChild>
        <w:div w:id="1726366647">
          <w:marLeft w:val="0"/>
          <w:marRight w:val="0"/>
          <w:marTop w:val="0"/>
          <w:marBottom w:val="0"/>
          <w:divBdr>
            <w:top w:val="none" w:sz="0" w:space="0" w:color="auto"/>
            <w:left w:val="none" w:sz="0" w:space="0" w:color="auto"/>
            <w:bottom w:val="none" w:sz="0" w:space="0" w:color="auto"/>
            <w:right w:val="none" w:sz="0" w:space="0" w:color="auto"/>
          </w:divBdr>
          <w:divsChild>
            <w:div w:id="358822873">
              <w:marLeft w:val="0"/>
              <w:marRight w:val="0"/>
              <w:marTop w:val="0"/>
              <w:marBottom w:val="0"/>
              <w:divBdr>
                <w:top w:val="none" w:sz="0" w:space="0" w:color="auto"/>
                <w:left w:val="none" w:sz="0" w:space="0" w:color="auto"/>
                <w:bottom w:val="none" w:sz="0" w:space="0" w:color="auto"/>
                <w:right w:val="none" w:sz="0" w:space="0" w:color="auto"/>
              </w:divBdr>
              <w:divsChild>
                <w:div w:id="70544158">
                  <w:marLeft w:val="0"/>
                  <w:marRight w:val="0"/>
                  <w:marTop w:val="0"/>
                  <w:marBottom w:val="0"/>
                  <w:divBdr>
                    <w:top w:val="none" w:sz="0" w:space="0" w:color="auto"/>
                    <w:left w:val="none" w:sz="0" w:space="0" w:color="auto"/>
                    <w:bottom w:val="none" w:sz="0" w:space="0" w:color="auto"/>
                    <w:right w:val="none" w:sz="0" w:space="0" w:color="auto"/>
                  </w:divBdr>
                </w:div>
                <w:div w:id="2026205349">
                  <w:marLeft w:val="0"/>
                  <w:marRight w:val="0"/>
                  <w:marTop w:val="120"/>
                  <w:marBottom w:val="0"/>
                  <w:divBdr>
                    <w:top w:val="none" w:sz="0" w:space="0" w:color="auto"/>
                    <w:left w:val="none" w:sz="0" w:space="0" w:color="auto"/>
                    <w:bottom w:val="none" w:sz="0" w:space="0" w:color="auto"/>
                    <w:right w:val="none" w:sz="0" w:space="0" w:color="auto"/>
                  </w:divBdr>
                </w:div>
              </w:divsChild>
            </w:div>
            <w:div w:id="964697931">
              <w:marLeft w:val="0"/>
              <w:marRight w:val="0"/>
              <w:marTop w:val="0"/>
              <w:marBottom w:val="0"/>
              <w:divBdr>
                <w:top w:val="none" w:sz="0" w:space="0" w:color="auto"/>
                <w:left w:val="none" w:sz="0" w:space="0" w:color="auto"/>
                <w:bottom w:val="none" w:sz="0" w:space="0" w:color="auto"/>
                <w:right w:val="none" w:sz="0" w:space="0" w:color="auto"/>
              </w:divBdr>
              <w:divsChild>
                <w:div w:id="205025723">
                  <w:marLeft w:val="0"/>
                  <w:marRight w:val="0"/>
                  <w:marTop w:val="0"/>
                  <w:marBottom w:val="0"/>
                  <w:divBdr>
                    <w:top w:val="none" w:sz="0" w:space="0" w:color="auto"/>
                    <w:left w:val="none" w:sz="0" w:space="0" w:color="auto"/>
                    <w:bottom w:val="none" w:sz="0" w:space="0" w:color="auto"/>
                    <w:right w:val="none" w:sz="0" w:space="0" w:color="auto"/>
                  </w:divBdr>
                </w:div>
                <w:div w:id="793791790">
                  <w:marLeft w:val="0"/>
                  <w:marRight w:val="0"/>
                  <w:marTop w:val="120"/>
                  <w:marBottom w:val="0"/>
                  <w:divBdr>
                    <w:top w:val="none" w:sz="0" w:space="0" w:color="auto"/>
                    <w:left w:val="none" w:sz="0" w:space="0" w:color="auto"/>
                    <w:bottom w:val="none" w:sz="0" w:space="0" w:color="auto"/>
                    <w:right w:val="none" w:sz="0" w:space="0" w:color="auto"/>
                  </w:divBdr>
                </w:div>
              </w:divsChild>
            </w:div>
            <w:div w:id="1011103707">
              <w:marLeft w:val="0"/>
              <w:marRight w:val="0"/>
              <w:marTop w:val="0"/>
              <w:marBottom w:val="0"/>
              <w:divBdr>
                <w:top w:val="none" w:sz="0" w:space="0" w:color="auto"/>
                <w:left w:val="none" w:sz="0" w:space="0" w:color="auto"/>
                <w:bottom w:val="none" w:sz="0" w:space="0" w:color="auto"/>
                <w:right w:val="none" w:sz="0" w:space="0" w:color="auto"/>
              </w:divBdr>
              <w:divsChild>
                <w:div w:id="156267840">
                  <w:marLeft w:val="0"/>
                  <w:marRight w:val="0"/>
                  <w:marTop w:val="120"/>
                  <w:marBottom w:val="0"/>
                  <w:divBdr>
                    <w:top w:val="none" w:sz="0" w:space="0" w:color="auto"/>
                    <w:left w:val="none" w:sz="0" w:space="0" w:color="auto"/>
                    <w:bottom w:val="none" w:sz="0" w:space="0" w:color="auto"/>
                    <w:right w:val="none" w:sz="0" w:space="0" w:color="auto"/>
                  </w:divBdr>
                </w:div>
                <w:div w:id="947155013">
                  <w:marLeft w:val="0"/>
                  <w:marRight w:val="0"/>
                  <w:marTop w:val="0"/>
                  <w:marBottom w:val="0"/>
                  <w:divBdr>
                    <w:top w:val="none" w:sz="0" w:space="0" w:color="auto"/>
                    <w:left w:val="none" w:sz="0" w:space="0" w:color="auto"/>
                    <w:bottom w:val="none" w:sz="0" w:space="0" w:color="auto"/>
                    <w:right w:val="none" w:sz="0" w:space="0" w:color="auto"/>
                  </w:divBdr>
                </w:div>
              </w:divsChild>
            </w:div>
            <w:div w:id="1484159161">
              <w:marLeft w:val="0"/>
              <w:marRight w:val="0"/>
              <w:marTop w:val="0"/>
              <w:marBottom w:val="0"/>
              <w:divBdr>
                <w:top w:val="none" w:sz="0" w:space="0" w:color="auto"/>
                <w:left w:val="none" w:sz="0" w:space="0" w:color="auto"/>
                <w:bottom w:val="none" w:sz="0" w:space="0" w:color="auto"/>
                <w:right w:val="none" w:sz="0" w:space="0" w:color="auto"/>
              </w:divBdr>
              <w:divsChild>
                <w:div w:id="67385791">
                  <w:marLeft w:val="0"/>
                  <w:marRight w:val="0"/>
                  <w:marTop w:val="120"/>
                  <w:marBottom w:val="0"/>
                  <w:divBdr>
                    <w:top w:val="none" w:sz="0" w:space="0" w:color="auto"/>
                    <w:left w:val="none" w:sz="0" w:space="0" w:color="auto"/>
                    <w:bottom w:val="none" w:sz="0" w:space="0" w:color="auto"/>
                    <w:right w:val="none" w:sz="0" w:space="0" w:color="auto"/>
                  </w:divBdr>
                </w:div>
                <w:div w:id="1686398078">
                  <w:marLeft w:val="0"/>
                  <w:marRight w:val="0"/>
                  <w:marTop w:val="0"/>
                  <w:marBottom w:val="0"/>
                  <w:divBdr>
                    <w:top w:val="none" w:sz="0" w:space="0" w:color="auto"/>
                    <w:left w:val="none" w:sz="0" w:space="0" w:color="auto"/>
                    <w:bottom w:val="none" w:sz="0" w:space="0" w:color="auto"/>
                    <w:right w:val="none" w:sz="0" w:space="0" w:color="auto"/>
                  </w:divBdr>
                </w:div>
              </w:divsChild>
            </w:div>
            <w:div w:id="1566840413">
              <w:marLeft w:val="0"/>
              <w:marRight w:val="0"/>
              <w:marTop w:val="0"/>
              <w:marBottom w:val="0"/>
              <w:divBdr>
                <w:top w:val="none" w:sz="0" w:space="0" w:color="auto"/>
                <w:left w:val="none" w:sz="0" w:space="0" w:color="auto"/>
                <w:bottom w:val="none" w:sz="0" w:space="0" w:color="auto"/>
                <w:right w:val="none" w:sz="0" w:space="0" w:color="auto"/>
              </w:divBdr>
              <w:divsChild>
                <w:div w:id="1385367478">
                  <w:marLeft w:val="0"/>
                  <w:marRight w:val="0"/>
                  <w:marTop w:val="0"/>
                  <w:marBottom w:val="0"/>
                  <w:divBdr>
                    <w:top w:val="none" w:sz="0" w:space="0" w:color="auto"/>
                    <w:left w:val="none" w:sz="0" w:space="0" w:color="auto"/>
                    <w:bottom w:val="none" w:sz="0" w:space="0" w:color="auto"/>
                    <w:right w:val="none" w:sz="0" w:space="0" w:color="auto"/>
                  </w:divBdr>
                </w:div>
                <w:div w:id="185980629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72705092">
      <w:bodyDiv w:val="1"/>
      <w:marLeft w:val="0"/>
      <w:marRight w:val="0"/>
      <w:marTop w:val="0"/>
      <w:marBottom w:val="0"/>
      <w:divBdr>
        <w:top w:val="none" w:sz="0" w:space="0" w:color="auto"/>
        <w:left w:val="none" w:sz="0" w:space="0" w:color="auto"/>
        <w:bottom w:val="none" w:sz="0" w:space="0" w:color="auto"/>
        <w:right w:val="none" w:sz="0" w:space="0" w:color="auto"/>
      </w:divBdr>
      <w:divsChild>
        <w:div w:id="621302723">
          <w:marLeft w:val="0"/>
          <w:marRight w:val="0"/>
          <w:marTop w:val="0"/>
          <w:marBottom w:val="0"/>
          <w:divBdr>
            <w:top w:val="none" w:sz="0" w:space="0" w:color="auto"/>
            <w:left w:val="none" w:sz="0" w:space="0" w:color="auto"/>
            <w:bottom w:val="none" w:sz="0" w:space="0" w:color="auto"/>
            <w:right w:val="none" w:sz="0" w:space="0" w:color="auto"/>
          </w:divBdr>
          <w:divsChild>
            <w:div w:id="430783029">
              <w:marLeft w:val="0"/>
              <w:marRight w:val="0"/>
              <w:marTop w:val="0"/>
              <w:marBottom w:val="0"/>
              <w:divBdr>
                <w:top w:val="none" w:sz="0" w:space="0" w:color="auto"/>
                <w:left w:val="none" w:sz="0" w:space="0" w:color="auto"/>
                <w:bottom w:val="none" w:sz="0" w:space="0" w:color="auto"/>
                <w:right w:val="none" w:sz="0" w:space="0" w:color="auto"/>
              </w:divBdr>
            </w:div>
          </w:divsChild>
        </w:div>
        <w:div w:id="636647045">
          <w:marLeft w:val="0"/>
          <w:marRight w:val="0"/>
          <w:marTop w:val="0"/>
          <w:marBottom w:val="0"/>
          <w:divBdr>
            <w:top w:val="none" w:sz="0" w:space="0" w:color="auto"/>
            <w:left w:val="none" w:sz="0" w:space="0" w:color="auto"/>
            <w:bottom w:val="none" w:sz="0" w:space="0" w:color="auto"/>
            <w:right w:val="none" w:sz="0" w:space="0" w:color="auto"/>
          </w:divBdr>
          <w:divsChild>
            <w:div w:id="1715235138">
              <w:marLeft w:val="0"/>
              <w:marRight w:val="0"/>
              <w:marTop w:val="0"/>
              <w:marBottom w:val="0"/>
              <w:divBdr>
                <w:top w:val="none" w:sz="0" w:space="0" w:color="auto"/>
                <w:left w:val="none" w:sz="0" w:space="0" w:color="auto"/>
                <w:bottom w:val="none" w:sz="0" w:space="0" w:color="auto"/>
                <w:right w:val="none" w:sz="0" w:space="0" w:color="auto"/>
              </w:divBdr>
            </w:div>
            <w:div w:id="2020884791">
              <w:marLeft w:val="0"/>
              <w:marRight w:val="0"/>
              <w:marTop w:val="120"/>
              <w:marBottom w:val="0"/>
              <w:divBdr>
                <w:top w:val="none" w:sz="0" w:space="0" w:color="auto"/>
                <w:left w:val="none" w:sz="0" w:space="0" w:color="auto"/>
                <w:bottom w:val="none" w:sz="0" w:space="0" w:color="auto"/>
                <w:right w:val="none" w:sz="0" w:space="0" w:color="auto"/>
              </w:divBdr>
            </w:div>
          </w:divsChild>
        </w:div>
        <w:div w:id="788863277">
          <w:marLeft w:val="0"/>
          <w:marRight w:val="0"/>
          <w:marTop w:val="0"/>
          <w:marBottom w:val="0"/>
          <w:divBdr>
            <w:top w:val="none" w:sz="0" w:space="0" w:color="auto"/>
            <w:left w:val="none" w:sz="0" w:space="0" w:color="auto"/>
            <w:bottom w:val="none" w:sz="0" w:space="0" w:color="auto"/>
            <w:right w:val="none" w:sz="0" w:space="0" w:color="auto"/>
          </w:divBdr>
          <w:divsChild>
            <w:div w:id="1044984797">
              <w:marLeft w:val="0"/>
              <w:marRight w:val="0"/>
              <w:marTop w:val="0"/>
              <w:marBottom w:val="0"/>
              <w:divBdr>
                <w:top w:val="none" w:sz="0" w:space="0" w:color="auto"/>
                <w:left w:val="none" w:sz="0" w:space="0" w:color="auto"/>
                <w:bottom w:val="none" w:sz="0" w:space="0" w:color="auto"/>
                <w:right w:val="none" w:sz="0" w:space="0" w:color="auto"/>
              </w:divBdr>
            </w:div>
          </w:divsChild>
        </w:div>
        <w:div w:id="923103283">
          <w:marLeft w:val="0"/>
          <w:marRight w:val="0"/>
          <w:marTop w:val="0"/>
          <w:marBottom w:val="0"/>
          <w:divBdr>
            <w:top w:val="none" w:sz="0" w:space="0" w:color="auto"/>
            <w:left w:val="none" w:sz="0" w:space="0" w:color="auto"/>
            <w:bottom w:val="none" w:sz="0" w:space="0" w:color="auto"/>
            <w:right w:val="none" w:sz="0" w:space="0" w:color="auto"/>
          </w:divBdr>
          <w:divsChild>
            <w:div w:id="654913416">
              <w:marLeft w:val="0"/>
              <w:marRight w:val="0"/>
              <w:marTop w:val="120"/>
              <w:marBottom w:val="0"/>
              <w:divBdr>
                <w:top w:val="none" w:sz="0" w:space="0" w:color="auto"/>
                <w:left w:val="none" w:sz="0" w:space="0" w:color="auto"/>
                <w:bottom w:val="none" w:sz="0" w:space="0" w:color="auto"/>
                <w:right w:val="none" w:sz="0" w:space="0" w:color="auto"/>
              </w:divBdr>
            </w:div>
            <w:div w:id="2072801326">
              <w:marLeft w:val="0"/>
              <w:marRight w:val="0"/>
              <w:marTop w:val="0"/>
              <w:marBottom w:val="0"/>
              <w:divBdr>
                <w:top w:val="none" w:sz="0" w:space="0" w:color="auto"/>
                <w:left w:val="none" w:sz="0" w:space="0" w:color="auto"/>
                <w:bottom w:val="none" w:sz="0" w:space="0" w:color="auto"/>
                <w:right w:val="none" w:sz="0" w:space="0" w:color="auto"/>
              </w:divBdr>
            </w:div>
          </w:divsChild>
        </w:div>
        <w:div w:id="974681119">
          <w:marLeft w:val="0"/>
          <w:marRight w:val="0"/>
          <w:marTop w:val="0"/>
          <w:marBottom w:val="0"/>
          <w:divBdr>
            <w:top w:val="none" w:sz="0" w:space="0" w:color="auto"/>
            <w:left w:val="none" w:sz="0" w:space="0" w:color="auto"/>
            <w:bottom w:val="none" w:sz="0" w:space="0" w:color="auto"/>
            <w:right w:val="none" w:sz="0" w:space="0" w:color="auto"/>
          </w:divBdr>
          <w:divsChild>
            <w:div w:id="404493660">
              <w:marLeft w:val="0"/>
              <w:marRight w:val="0"/>
              <w:marTop w:val="120"/>
              <w:marBottom w:val="0"/>
              <w:divBdr>
                <w:top w:val="none" w:sz="0" w:space="0" w:color="auto"/>
                <w:left w:val="none" w:sz="0" w:space="0" w:color="auto"/>
                <w:bottom w:val="none" w:sz="0" w:space="0" w:color="auto"/>
                <w:right w:val="none" w:sz="0" w:space="0" w:color="auto"/>
              </w:divBdr>
            </w:div>
            <w:div w:id="1771776885">
              <w:marLeft w:val="0"/>
              <w:marRight w:val="0"/>
              <w:marTop w:val="0"/>
              <w:marBottom w:val="0"/>
              <w:divBdr>
                <w:top w:val="none" w:sz="0" w:space="0" w:color="auto"/>
                <w:left w:val="none" w:sz="0" w:space="0" w:color="auto"/>
                <w:bottom w:val="none" w:sz="0" w:space="0" w:color="auto"/>
                <w:right w:val="none" w:sz="0" w:space="0" w:color="auto"/>
              </w:divBdr>
            </w:div>
          </w:divsChild>
        </w:div>
        <w:div w:id="1056197852">
          <w:marLeft w:val="0"/>
          <w:marRight w:val="0"/>
          <w:marTop w:val="0"/>
          <w:marBottom w:val="0"/>
          <w:divBdr>
            <w:top w:val="none" w:sz="0" w:space="0" w:color="auto"/>
            <w:left w:val="none" w:sz="0" w:space="0" w:color="auto"/>
            <w:bottom w:val="none" w:sz="0" w:space="0" w:color="auto"/>
            <w:right w:val="none" w:sz="0" w:space="0" w:color="auto"/>
          </w:divBdr>
          <w:divsChild>
            <w:div w:id="14354956">
              <w:marLeft w:val="0"/>
              <w:marRight w:val="0"/>
              <w:marTop w:val="120"/>
              <w:marBottom w:val="0"/>
              <w:divBdr>
                <w:top w:val="none" w:sz="0" w:space="0" w:color="auto"/>
                <w:left w:val="none" w:sz="0" w:space="0" w:color="auto"/>
                <w:bottom w:val="none" w:sz="0" w:space="0" w:color="auto"/>
                <w:right w:val="none" w:sz="0" w:space="0" w:color="auto"/>
              </w:divBdr>
            </w:div>
            <w:div w:id="1307514022">
              <w:marLeft w:val="0"/>
              <w:marRight w:val="0"/>
              <w:marTop w:val="0"/>
              <w:marBottom w:val="0"/>
              <w:divBdr>
                <w:top w:val="none" w:sz="0" w:space="0" w:color="auto"/>
                <w:left w:val="none" w:sz="0" w:space="0" w:color="auto"/>
                <w:bottom w:val="none" w:sz="0" w:space="0" w:color="auto"/>
                <w:right w:val="none" w:sz="0" w:space="0" w:color="auto"/>
              </w:divBdr>
              <w:divsChild>
                <w:div w:id="309790175">
                  <w:marLeft w:val="0"/>
                  <w:marRight w:val="0"/>
                  <w:marTop w:val="0"/>
                  <w:marBottom w:val="0"/>
                  <w:divBdr>
                    <w:top w:val="none" w:sz="0" w:space="0" w:color="auto"/>
                    <w:left w:val="none" w:sz="0" w:space="0" w:color="auto"/>
                    <w:bottom w:val="none" w:sz="0" w:space="0" w:color="auto"/>
                    <w:right w:val="none" w:sz="0" w:space="0" w:color="auto"/>
                  </w:divBdr>
                  <w:divsChild>
                    <w:div w:id="1346715026">
                      <w:marLeft w:val="0"/>
                      <w:marRight w:val="0"/>
                      <w:marTop w:val="0"/>
                      <w:marBottom w:val="0"/>
                      <w:divBdr>
                        <w:top w:val="none" w:sz="0" w:space="0" w:color="auto"/>
                        <w:left w:val="none" w:sz="0" w:space="0" w:color="auto"/>
                        <w:bottom w:val="none" w:sz="0" w:space="0" w:color="auto"/>
                        <w:right w:val="none" w:sz="0" w:space="0" w:color="auto"/>
                      </w:divBdr>
                    </w:div>
                    <w:div w:id="1993637168">
                      <w:marLeft w:val="0"/>
                      <w:marRight w:val="0"/>
                      <w:marTop w:val="120"/>
                      <w:marBottom w:val="0"/>
                      <w:divBdr>
                        <w:top w:val="none" w:sz="0" w:space="0" w:color="auto"/>
                        <w:left w:val="none" w:sz="0" w:space="0" w:color="auto"/>
                        <w:bottom w:val="none" w:sz="0" w:space="0" w:color="auto"/>
                        <w:right w:val="none" w:sz="0" w:space="0" w:color="auto"/>
                      </w:divBdr>
                    </w:div>
                  </w:divsChild>
                </w:div>
                <w:div w:id="1940286304">
                  <w:marLeft w:val="0"/>
                  <w:marRight w:val="0"/>
                  <w:marTop w:val="0"/>
                  <w:marBottom w:val="0"/>
                  <w:divBdr>
                    <w:top w:val="none" w:sz="0" w:space="0" w:color="auto"/>
                    <w:left w:val="none" w:sz="0" w:space="0" w:color="auto"/>
                    <w:bottom w:val="none" w:sz="0" w:space="0" w:color="auto"/>
                    <w:right w:val="none" w:sz="0" w:space="0" w:color="auto"/>
                  </w:divBdr>
                  <w:divsChild>
                    <w:div w:id="35934183">
                      <w:marLeft w:val="0"/>
                      <w:marRight w:val="0"/>
                      <w:marTop w:val="0"/>
                      <w:marBottom w:val="0"/>
                      <w:divBdr>
                        <w:top w:val="none" w:sz="0" w:space="0" w:color="auto"/>
                        <w:left w:val="none" w:sz="0" w:space="0" w:color="auto"/>
                        <w:bottom w:val="none" w:sz="0" w:space="0" w:color="auto"/>
                        <w:right w:val="none" w:sz="0" w:space="0" w:color="auto"/>
                      </w:divBdr>
                    </w:div>
                    <w:div w:id="17707366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61847729">
          <w:marLeft w:val="0"/>
          <w:marRight w:val="0"/>
          <w:marTop w:val="0"/>
          <w:marBottom w:val="0"/>
          <w:divBdr>
            <w:top w:val="none" w:sz="0" w:space="0" w:color="auto"/>
            <w:left w:val="none" w:sz="0" w:space="0" w:color="auto"/>
            <w:bottom w:val="none" w:sz="0" w:space="0" w:color="auto"/>
            <w:right w:val="none" w:sz="0" w:space="0" w:color="auto"/>
          </w:divBdr>
          <w:divsChild>
            <w:div w:id="666714655">
              <w:marLeft w:val="0"/>
              <w:marRight w:val="0"/>
              <w:marTop w:val="0"/>
              <w:marBottom w:val="0"/>
              <w:divBdr>
                <w:top w:val="none" w:sz="0" w:space="0" w:color="auto"/>
                <w:left w:val="none" w:sz="0" w:space="0" w:color="auto"/>
                <w:bottom w:val="none" w:sz="0" w:space="0" w:color="auto"/>
                <w:right w:val="none" w:sz="0" w:space="0" w:color="auto"/>
              </w:divBdr>
            </w:div>
            <w:div w:id="2051567284">
              <w:marLeft w:val="0"/>
              <w:marRight w:val="0"/>
              <w:marTop w:val="120"/>
              <w:marBottom w:val="0"/>
              <w:divBdr>
                <w:top w:val="none" w:sz="0" w:space="0" w:color="auto"/>
                <w:left w:val="none" w:sz="0" w:space="0" w:color="auto"/>
                <w:bottom w:val="none" w:sz="0" w:space="0" w:color="auto"/>
                <w:right w:val="none" w:sz="0" w:space="0" w:color="auto"/>
              </w:divBdr>
            </w:div>
          </w:divsChild>
        </w:div>
        <w:div w:id="1167091222">
          <w:marLeft w:val="0"/>
          <w:marRight w:val="0"/>
          <w:marTop w:val="0"/>
          <w:marBottom w:val="0"/>
          <w:divBdr>
            <w:top w:val="none" w:sz="0" w:space="0" w:color="auto"/>
            <w:left w:val="none" w:sz="0" w:space="0" w:color="auto"/>
            <w:bottom w:val="none" w:sz="0" w:space="0" w:color="auto"/>
            <w:right w:val="none" w:sz="0" w:space="0" w:color="auto"/>
          </w:divBdr>
          <w:divsChild>
            <w:div w:id="2070028926">
              <w:marLeft w:val="0"/>
              <w:marRight w:val="0"/>
              <w:marTop w:val="0"/>
              <w:marBottom w:val="0"/>
              <w:divBdr>
                <w:top w:val="none" w:sz="0" w:space="0" w:color="auto"/>
                <w:left w:val="none" w:sz="0" w:space="0" w:color="auto"/>
                <w:bottom w:val="none" w:sz="0" w:space="0" w:color="auto"/>
                <w:right w:val="none" w:sz="0" w:space="0" w:color="auto"/>
              </w:divBdr>
            </w:div>
          </w:divsChild>
        </w:div>
        <w:div w:id="1244535232">
          <w:marLeft w:val="0"/>
          <w:marRight w:val="0"/>
          <w:marTop w:val="0"/>
          <w:marBottom w:val="0"/>
          <w:divBdr>
            <w:top w:val="none" w:sz="0" w:space="0" w:color="auto"/>
            <w:left w:val="none" w:sz="0" w:space="0" w:color="auto"/>
            <w:bottom w:val="none" w:sz="0" w:space="0" w:color="auto"/>
            <w:right w:val="none" w:sz="0" w:space="0" w:color="auto"/>
          </w:divBdr>
          <w:divsChild>
            <w:div w:id="762727141">
              <w:marLeft w:val="0"/>
              <w:marRight w:val="0"/>
              <w:marTop w:val="0"/>
              <w:marBottom w:val="0"/>
              <w:divBdr>
                <w:top w:val="none" w:sz="0" w:space="0" w:color="auto"/>
                <w:left w:val="none" w:sz="0" w:space="0" w:color="auto"/>
                <w:bottom w:val="none" w:sz="0" w:space="0" w:color="auto"/>
                <w:right w:val="none" w:sz="0" w:space="0" w:color="auto"/>
              </w:divBdr>
            </w:div>
          </w:divsChild>
        </w:div>
        <w:div w:id="1675065170">
          <w:marLeft w:val="0"/>
          <w:marRight w:val="0"/>
          <w:marTop w:val="0"/>
          <w:marBottom w:val="0"/>
          <w:divBdr>
            <w:top w:val="none" w:sz="0" w:space="0" w:color="auto"/>
            <w:left w:val="none" w:sz="0" w:space="0" w:color="auto"/>
            <w:bottom w:val="none" w:sz="0" w:space="0" w:color="auto"/>
            <w:right w:val="none" w:sz="0" w:space="0" w:color="auto"/>
          </w:divBdr>
          <w:divsChild>
            <w:div w:id="1215891502">
              <w:marLeft w:val="0"/>
              <w:marRight w:val="0"/>
              <w:marTop w:val="0"/>
              <w:marBottom w:val="0"/>
              <w:divBdr>
                <w:top w:val="none" w:sz="0" w:space="0" w:color="auto"/>
                <w:left w:val="none" w:sz="0" w:space="0" w:color="auto"/>
                <w:bottom w:val="none" w:sz="0" w:space="0" w:color="auto"/>
                <w:right w:val="none" w:sz="0" w:space="0" w:color="auto"/>
              </w:divBdr>
            </w:div>
            <w:div w:id="1623921000">
              <w:marLeft w:val="0"/>
              <w:marRight w:val="0"/>
              <w:marTop w:val="120"/>
              <w:marBottom w:val="0"/>
              <w:divBdr>
                <w:top w:val="none" w:sz="0" w:space="0" w:color="auto"/>
                <w:left w:val="none" w:sz="0" w:space="0" w:color="auto"/>
                <w:bottom w:val="none" w:sz="0" w:space="0" w:color="auto"/>
                <w:right w:val="none" w:sz="0" w:space="0" w:color="auto"/>
              </w:divBdr>
            </w:div>
          </w:divsChild>
        </w:div>
        <w:div w:id="1748265726">
          <w:marLeft w:val="0"/>
          <w:marRight w:val="0"/>
          <w:marTop w:val="0"/>
          <w:marBottom w:val="0"/>
          <w:divBdr>
            <w:top w:val="none" w:sz="0" w:space="0" w:color="auto"/>
            <w:left w:val="none" w:sz="0" w:space="0" w:color="auto"/>
            <w:bottom w:val="none" w:sz="0" w:space="0" w:color="auto"/>
            <w:right w:val="none" w:sz="0" w:space="0" w:color="auto"/>
          </w:divBdr>
          <w:divsChild>
            <w:div w:id="2107267408">
              <w:marLeft w:val="0"/>
              <w:marRight w:val="0"/>
              <w:marTop w:val="0"/>
              <w:marBottom w:val="0"/>
              <w:divBdr>
                <w:top w:val="none" w:sz="0" w:space="0" w:color="auto"/>
                <w:left w:val="none" w:sz="0" w:space="0" w:color="auto"/>
                <w:bottom w:val="none" w:sz="0" w:space="0" w:color="auto"/>
                <w:right w:val="none" w:sz="0" w:space="0" w:color="auto"/>
              </w:divBdr>
              <w:divsChild>
                <w:div w:id="451095683">
                  <w:marLeft w:val="0"/>
                  <w:marRight w:val="0"/>
                  <w:marTop w:val="0"/>
                  <w:marBottom w:val="0"/>
                  <w:divBdr>
                    <w:top w:val="none" w:sz="0" w:space="0" w:color="auto"/>
                    <w:left w:val="none" w:sz="0" w:space="0" w:color="auto"/>
                    <w:bottom w:val="none" w:sz="0" w:space="0" w:color="auto"/>
                    <w:right w:val="none" w:sz="0" w:space="0" w:color="auto"/>
                  </w:divBdr>
                  <w:divsChild>
                    <w:div w:id="1162507663">
                      <w:marLeft w:val="0"/>
                      <w:marRight w:val="0"/>
                      <w:marTop w:val="0"/>
                      <w:marBottom w:val="0"/>
                      <w:divBdr>
                        <w:top w:val="none" w:sz="0" w:space="0" w:color="auto"/>
                        <w:left w:val="none" w:sz="0" w:space="0" w:color="auto"/>
                        <w:bottom w:val="none" w:sz="0" w:space="0" w:color="auto"/>
                        <w:right w:val="none" w:sz="0" w:space="0" w:color="auto"/>
                      </w:divBdr>
                    </w:div>
                    <w:div w:id="1496265500">
                      <w:marLeft w:val="0"/>
                      <w:marRight w:val="0"/>
                      <w:marTop w:val="120"/>
                      <w:marBottom w:val="0"/>
                      <w:divBdr>
                        <w:top w:val="none" w:sz="0" w:space="0" w:color="auto"/>
                        <w:left w:val="none" w:sz="0" w:space="0" w:color="auto"/>
                        <w:bottom w:val="none" w:sz="0" w:space="0" w:color="auto"/>
                        <w:right w:val="none" w:sz="0" w:space="0" w:color="auto"/>
                      </w:divBdr>
                    </w:div>
                  </w:divsChild>
                </w:div>
                <w:div w:id="1279216533">
                  <w:marLeft w:val="0"/>
                  <w:marRight w:val="0"/>
                  <w:marTop w:val="0"/>
                  <w:marBottom w:val="0"/>
                  <w:divBdr>
                    <w:top w:val="none" w:sz="0" w:space="0" w:color="auto"/>
                    <w:left w:val="none" w:sz="0" w:space="0" w:color="auto"/>
                    <w:bottom w:val="none" w:sz="0" w:space="0" w:color="auto"/>
                    <w:right w:val="none" w:sz="0" w:space="0" w:color="auto"/>
                  </w:divBdr>
                  <w:divsChild>
                    <w:div w:id="319041615">
                      <w:marLeft w:val="0"/>
                      <w:marRight w:val="0"/>
                      <w:marTop w:val="0"/>
                      <w:marBottom w:val="0"/>
                      <w:divBdr>
                        <w:top w:val="none" w:sz="0" w:space="0" w:color="auto"/>
                        <w:left w:val="none" w:sz="0" w:space="0" w:color="auto"/>
                        <w:bottom w:val="none" w:sz="0" w:space="0" w:color="auto"/>
                        <w:right w:val="none" w:sz="0" w:space="0" w:color="auto"/>
                      </w:divBdr>
                    </w:div>
                    <w:div w:id="1140421230">
                      <w:marLeft w:val="0"/>
                      <w:marRight w:val="0"/>
                      <w:marTop w:val="120"/>
                      <w:marBottom w:val="0"/>
                      <w:divBdr>
                        <w:top w:val="none" w:sz="0" w:space="0" w:color="auto"/>
                        <w:left w:val="none" w:sz="0" w:space="0" w:color="auto"/>
                        <w:bottom w:val="none" w:sz="0" w:space="0" w:color="auto"/>
                        <w:right w:val="none" w:sz="0" w:space="0" w:color="auto"/>
                      </w:divBdr>
                    </w:div>
                  </w:divsChild>
                </w:div>
                <w:div w:id="1287933550">
                  <w:marLeft w:val="0"/>
                  <w:marRight w:val="0"/>
                  <w:marTop w:val="0"/>
                  <w:marBottom w:val="0"/>
                  <w:divBdr>
                    <w:top w:val="none" w:sz="0" w:space="0" w:color="auto"/>
                    <w:left w:val="none" w:sz="0" w:space="0" w:color="auto"/>
                    <w:bottom w:val="none" w:sz="0" w:space="0" w:color="auto"/>
                    <w:right w:val="none" w:sz="0" w:space="0" w:color="auto"/>
                  </w:divBdr>
                  <w:divsChild>
                    <w:div w:id="928124818">
                      <w:marLeft w:val="0"/>
                      <w:marRight w:val="0"/>
                      <w:marTop w:val="120"/>
                      <w:marBottom w:val="0"/>
                      <w:divBdr>
                        <w:top w:val="none" w:sz="0" w:space="0" w:color="auto"/>
                        <w:left w:val="none" w:sz="0" w:space="0" w:color="auto"/>
                        <w:bottom w:val="none" w:sz="0" w:space="0" w:color="auto"/>
                        <w:right w:val="none" w:sz="0" w:space="0" w:color="auto"/>
                      </w:divBdr>
                    </w:div>
                    <w:div w:id="187106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897381">
      <w:bodyDiv w:val="1"/>
      <w:marLeft w:val="0"/>
      <w:marRight w:val="0"/>
      <w:marTop w:val="0"/>
      <w:marBottom w:val="0"/>
      <w:divBdr>
        <w:top w:val="none" w:sz="0" w:space="0" w:color="auto"/>
        <w:left w:val="none" w:sz="0" w:space="0" w:color="auto"/>
        <w:bottom w:val="none" w:sz="0" w:space="0" w:color="auto"/>
        <w:right w:val="none" w:sz="0" w:space="0" w:color="auto"/>
      </w:divBdr>
      <w:divsChild>
        <w:div w:id="1044326959">
          <w:marLeft w:val="0"/>
          <w:marRight w:val="0"/>
          <w:marTop w:val="0"/>
          <w:marBottom w:val="0"/>
          <w:divBdr>
            <w:top w:val="none" w:sz="0" w:space="0" w:color="auto"/>
            <w:left w:val="none" w:sz="0" w:space="0" w:color="auto"/>
            <w:bottom w:val="none" w:sz="0" w:space="0" w:color="auto"/>
            <w:right w:val="none" w:sz="0" w:space="0" w:color="auto"/>
          </w:divBdr>
          <w:divsChild>
            <w:div w:id="445973078">
              <w:marLeft w:val="0"/>
              <w:marRight w:val="0"/>
              <w:marTop w:val="0"/>
              <w:marBottom w:val="0"/>
              <w:divBdr>
                <w:top w:val="none" w:sz="0" w:space="0" w:color="auto"/>
                <w:left w:val="none" w:sz="0" w:space="0" w:color="auto"/>
                <w:bottom w:val="none" w:sz="0" w:space="0" w:color="auto"/>
                <w:right w:val="none" w:sz="0" w:space="0" w:color="auto"/>
              </w:divBdr>
              <w:divsChild>
                <w:div w:id="19665853">
                  <w:marLeft w:val="0"/>
                  <w:marRight w:val="0"/>
                  <w:marTop w:val="120"/>
                  <w:marBottom w:val="0"/>
                  <w:divBdr>
                    <w:top w:val="none" w:sz="0" w:space="0" w:color="auto"/>
                    <w:left w:val="none" w:sz="0" w:space="0" w:color="auto"/>
                    <w:bottom w:val="none" w:sz="0" w:space="0" w:color="auto"/>
                    <w:right w:val="none" w:sz="0" w:space="0" w:color="auto"/>
                  </w:divBdr>
                </w:div>
                <w:div w:id="1325742345">
                  <w:marLeft w:val="0"/>
                  <w:marRight w:val="0"/>
                  <w:marTop w:val="0"/>
                  <w:marBottom w:val="0"/>
                  <w:divBdr>
                    <w:top w:val="none" w:sz="0" w:space="0" w:color="auto"/>
                    <w:left w:val="none" w:sz="0" w:space="0" w:color="auto"/>
                    <w:bottom w:val="none" w:sz="0" w:space="0" w:color="auto"/>
                    <w:right w:val="none" w:sz="0" w:space="0" w:color="auto"/>
                  </w:divBdr>
                </w:div>
              </w:divsChild>
            </w:div>
            <w:div w:id="1740591595">
              <w:marLeft w:val="0"/>
              <w:marRight w:val="0"/>
              <w:marTop w:val="0"/>
              <w:marBottom w:val="0"/>
              <w:divBdr>
                <w:top w:val="none" w:sz="0" w:space="0" w:color="auto"/>
                <w:left w:val="none" w:sz="0" w:space="0" w:color="auto"/>
                <w:bottom w:val="none" w:sz="0" w:space="0" w:color="auto"/>
                <w:right w:val="none" w:sz="0" w:space="0" w:color="auto"/>
              </w:divBdr>
              <w:divsChild>
                <w:div w:id="417991667">
                  <w:marLeft w:val="0"/>
                  <w:marRight w:val="0"/>
                  <w:marTop w:val="0"/>
                  <w:marBottom w:val="0"/>
                  <w:divBdr>
                    <w:top w:val="none" w:sz="0" w:space="0" w:color="auto"/>
                    <w:left w:val="none" w:sz="0" w:space="0" w:color="auto"/>
                    <w:bottom w:val="none" w:sz="0" w:space="0" w:color="auto"/>
                    <w:right w:val="none" w:sz="0" w:space="0" w:color="auto"/>
                  </w:divBdr>
                </w:div>
                <w:div w:id="73624176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797791142">
      <w:bodyDiv w:val="1"/>
      <w:marLeft w:val="0"/>
      <w:marRight w:val="0"/>
      <w:marTop w:val="0"/>
      <w:marBottom w:val="0"/>
      <w:divBdr>
        <w:top w:val="none" w:sz="0" w:space="0" w:color="auto"/>
        <w:left w:val="none" w:sz="0" w:space="0" w:color="auto"/>
        <w:bottom w:val="none" w:sz="0" w:space="0" w:color="auto"/>
        <w:right w:val="none" w:sz="0" w:space="0" w:color="auto"/>
      </w:divBdr>
      <w:divsChild>
        <w:div w:id="987442102">
          <w:marLeft w:val="0"/>
          <w:marRight w:val="0"/>
          <w:marTop w:val="0"/>
          <w:marBottom w:val="0"/>
          <w:divBdr>
            <w:top w:val="none" w:sz="0" w:space="0" w:color="auto"/>
            <w:left w:val="none" w:sz="0" w:space="0" w:color="auto"/>
            <w:bottom w:val="none" w:sz="0" w:space="0" w:color="auto"/>
            <w:right w:val="none" w:sz="0" w:space="0" w:color="auto"/>
          </w:divBdr>
        </w:div>
      </w:divsChild>
    </w:div>
    <w:div w:id="1799490570">
      <w:bodyDiv w:val="1"/>
      <w:marLeft w:val="0"/>
      <w:marRight w:val="0"/>
      <w:marTop w:val="0"/>
      <w:marBottom w:val="0"/>
      <w:divBdr>
        <w:top w:val="none" w:sz="0" w:space="0" w:color="auto"/>
        <w:left w:val="none" w:sz="0" w:space="0" w:color="auto"/>
        <w:bottom w:val="none" w:sz="0" w:space="0" w:color="auto"/>
        <w:right w:val="none" w:sz="0" w:space="0" w:color="auto"/>
      </w:divBdr>
      <w:divsChild>
        <w:div w:id="1259020554">
          <w:marLeft w:val="0"/>
          <w:marRight w:val="0"/>
          <w:marTop w:val="0"/>
          <w:marBottom w:val="0"/>
          <w:divBdr>
            <w:top w:val="none" w:sz="0" w:space="0" w:color="auto"/>
            <w:left w:val="none" w:sz="0" w:space="0" w:color="auto"/>
            <w:bottom w:val="none" w:sz="0" w:space="0" w:color="auto"/>
            <w:right w:val="none" w:sz="0" w:space="0" w:color="auto"/>
          </w:divBdr>
          <w:divsChild>
            <w:div w:id="933128957">
              <w:marLeft w:val="0"/>
              <w:marRight w:val="0"/>
              <w:marTop w:val="120"/>
              <w:marBottom w:val="0"/>
              <w:divBdr>
                <w:top w:val="none" w:sz="0" w:space="0" w:color="auto"/>
                <w:left w:val="none" w:sz="0" w:space="0" w:color="auto"/>
                <w:bottom w:val="none" w:sz="0" w:space="0" w:color="auto"/>
                <w:right w:val="none" w:sz="0" w:space="0" w:color="auto"/>
              </w:divBdr>
            </w:div>
            <w:div w:id="150101734">
              <w:marLeft w:val="0"/>
              <w:marRight w:val="0"/>
              <w:marTop w:val="0"/>
              <w:marBottom w:val="0"/>
              <w:divBdr>
                <w:top w:val="none" w:sz="0" w:space="0" w:color="auto"/>
                <w:left w:val="none" w:sz="0" w:space="0" w:color="auto"/>
                <w:bottom w:val="none" w:sz="0" w:space="0" w:color="auto"/>
                <w:right w:val="none" w:sz="0" w:space="0" w:color="auto"/>
              </w:divBdr>
            </w:div>
          </w:divsChild>
        </w:div>
        <w:div w:id="1877690499">
          <w:marLeft w:val="0"/>
          <w:marRight w:val="0"/>
          <w:marTop w:val="0"/>
          <w:marBottom w:val="0"/>
          <w:divBdr>
            <w:top w:val="none" w:sz="0" w:space="0" w:color="auto"/>
            <w:left w:val="none" w:sz="0" w:space="0" w:color="auto"/>
            <w:bottom w:val="none" w:sz="0" w:space="0" w:color="auto"/>
            <w:right w:val="none" w:sz="0" w:space="0" w:color="auto"/>
          </w:divBdr>
          <w:divsChild>
            <w:div w:id="2097969375">
              <w:marLeft w:val="0"/>
              <w:marRight w:val="0"/>
              <w:marTop w:val="120"/>
              <w:marBottom w:val="0"/>
              <w:divBdr>
                <w:top w:val="none" w:sz="0" w:space="0" w:color="auto"/>
                <w:left w:val="none" w:sz="0" w:space="0" w:color="auto"/>
                <w:bottom w:val="none" w:sz="0" w:space="0" w:color="auto"/>
                <w:right w:val="none" w:sz="0" w:space="0" w:color="auto"/>
              </w:divBdr>
            </w:div>
            <w:div w:id="491216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2190030">
      <w:bodyDiv w:val="1"/>
      <w:marLeft w:val="0"/>
      <w:marRight w:val="0"/>
      <w:marTop w:val="0"/>
      <w:marBottom w:val="0"/>
      <w:divBdr>
        <w:top w:val="none" w:sz="0" w:space="0" w:color="auto"/>
        <w:left w:val="none" w:sz="0" w:space="0" w:color="auto"/>
        <w:bottom w:val="none" w:sz="0" w:space="0" w:color="auto"/>
        <w:right w:val="none" w:sz="0" w:space="0" w:color="auto"/>
      </w:divBdr>
      <w:divsChild>
        <w:div w:id="202139111">
          <w:marLeft w:val="0"/>
          <w:marRight w:val="0"/>
          <w:marTop w:val="0"/>
          <w:marBottom w:val="0"/>
          <w:divBdr>
            <w:top w:val="none" w:sz="0" w:space="0" w:color="auto"/>
            <w:left w:val="none" w:sz="0" w:space="0" w:color="auto"/>
            <w:bottom w:val="none" w:sz="0" w:space="0" w:color="auto"/>
            <w:right w:val="none" w:sz="0" w:space="0" w:color="auto"/>
          </w:divBdr>
        </w:div>
      </w:divsChild>
    </w:div>
    <w:div w:id="1806123768">
      <w:bodyDiv w:val="1"/>
      <w:marLeft w:val="0"/>
      <w:marRight w:val="0"/>
      <w:marTop w:val="0"/>
      <w:marBottom w:val="0"/>
      <w:divBdr>
        <w:top w:val="none" w:sz="0" w:space="0" w:color="auto"/>
        <w:left w:val="none" w:sz="0" w:space="0" w:color="auto"/>
        <w:bottom w:val="none" w:sz="0" w:space="0" w:color="auto"/>
        <w:right w:val="none" w:sz="0" w:space="0" w:color="auto"/>
      </w:divBdr>
      <w:divsChild>
        <w:div w:id="1076433754">
          <w:marLeft w:val="0"/>
          <w:marRight w:val="0"/>
          <w:marTop w:val="0"/>
          <w:marBottom w:val="0"/>
          <w:divBdr>
            <w:top w:val="none" w:sz="0" w:space="0" w:color="auto"/>
            <w:left w:val="none" w:sz="0" w:space="0" w:color="auto"/>
            <w:bottom w:val="none" w:sz="0" w:space="0" w:color="auto"/>
            <w:right w:val="none" w:sz="0" w:space="0" w:color="auto"/>
          </w:divBdr>
        </w:div>
      </w:divsChild>
    </w:div>
    <w:div w:id="1812862254">
      <w:bodyDiv w:val="1"/>
      <w:marLeft w:val="0"/>
      <w:marRight w:val="0"/>
      <w:marTop w:val="0"/>
      <w:marBottom w:val="0"/>
      <w:divBdr>
        <w:top w:val="none" w:sz="0" w:space="0" w:color="auto"/>
        <w:left w:val="none" w:sz="0" w:space="0" w:color="auto"/>
        <w:bottom w:val="none" w:sz="0" w:space="0" w:color="auto"/>
        <w:right w:val="none" w:sz="0" w:space="0" w:color="auto"/>
      </w:divBdr>
      <w:divsChild>
        <w:div w:id="422604787">
          <w:marLeft w:val="0"/>
          <w:marRight w:val="0"/>
          <w:marTop w:val="0"/>
          <w:marBottom w:val="0"/>
          <w:divBdr>
            <w:top w:val="none" w:sz="0" w:space="0" w:color="auto"/>
            <w:left w:val="none" w:sz="0" w:space="0" w:color="auto"/>
            <w:bottom w:val="none" w:sz="0" w:space="0" w:color="auto"/>
            <w:right w:val="none" w:sz="0" w:space="0" w:color="auto"/>
          </w:divBdr>
          <w:divsChild>
            <w:div w:id="506019908">
              <w:marLeft w:val="0"/>
              <w:marRight w:val="0"/>
              <w:marTop w:val="0"/>
              <w:marBottom w:val="0"/>
              <w:divBdr>
                <w:top w:val="none" w:sz="0" w:space="0" w:color="auto"/>
                <w:left w:val="none" w:sz="0" w:space="0" w:color="auto"/>
                <w:bottom w:val="none" w:sz="0" w:space="0" w:color="auto"/>
                <w:right w:val="none" w:sz="0" w:space="0" w:color="auto"/>
              </w:divBdr>
              <w:divsChild>
                <w:div w:id="938952274">
                  <w:marLeft w:val="0"/>
                  <w:marRight w:val="0"/>
                  <w:marTop w:val="0"/>
                  <w:marBottom w:val="0"/>
                  <w:divBdr>
                    <w:top w:val="none" w:sz="0" w:space="0" w:color="auto"/>
                    <w:left w:val="none" w:sz="0" w:space="0" w:color="auto"/>
                    <w:bottom w:val="none" w:sz="0" w:space="0" w:color="auto"/>
                    <w:right w:val="none" w:sz="0" w:space="0" w:color="auto"/>
                  </w:divBdr>
                  <w:divsChild>
                    <w:div w:id="948897740">
                      <w:marLeft w:val="0"/>
                      <w:marRight w:val="0"/>
                      <w:marTop w:val="0"/>
                      <w:marBottom w:val="0"/>
                      <w:divBdr>
                        <w:top w:val="none" w:sz="0" w:space="0" w:color="auto"/>
                        <w:left w:val="none" w:sz="0" w:space="0" w:color="auto"/>
                        <w:bottom w:val="none" w:sz="0" w:space="0" w:color="auto"/>
                        <w:right w:val="none" w:sz="0" w:space="0" w:color="auto"/>
                      </w:divBdr>
                    </w:div>
                    <w:div w:id="1284582995">
                      <w:marLeft w:val="0"/>
                      <w:marRight w:val="0"/>
                      <w:marTop w:val="120"/>
                      <w:marBottom w:val="0"/>
                      <w:divBdr>
                        <w:top w:val="none" w:sz="0" w:space="0" w:color="auto"/>
                        <w:left w:val="none" w:sz="0" w:space="0" w:color="auto"/>
                        <w:bottom w:val="none" w:sz="0" w:space="0" w:color="auto"/>
                        <w:right w:val="none" w:sz="0" w:space="0" w:color="auto"/>
                      </w:divBdr>
                    </w:div>
                  </w:divsChild>
                </w:div>
                <w:div w:id="1196890821">
                  <w:marLeft w:val="0"/>
                  <w:marRight w:val="0"/>
                  <w:marTop w:val="0"/>
                  <w:marBottom w:val="0"/>
                  <w:divBdr>
                    <w:top w:val="none" w:sz="0" w:space="0" w:color="auto"/>
                    <w:left w:val="none" w:sz="0" w:space="0" w:color="auto"/>
                    <w:bottom w:val="none" w:sz="0" w:space="0" w:color="auto"/>
                    <w:right w:val="none" w:sz="0" w:space="0" w:color="auto"/>
                  </w:divBdr>
                  <w:divsChild>
                    <w:div w:id="96755400">
                      <w:marLeft w:val="0"/>
                      <w:marRight w:val="0"/>
                      <w:marTop w:val="0"/>
                      <w:marBottom w:val="0"/>
                      <w:divBdr>
                        <w:top w:val="none" w:sz="0" w:space="0" w:color="auto"/>
                        <w:left w:val="none" w:sz="0" w:space="0" w:color="auto"/>
                        <w:bottom w:val="none" w:sz="0" w:space="0" w:color="auto"/>
                        <w:right w:val="none" w:sz="0" w:space="0" w:color="auto"/>
                      </w:divBdr>
                    </w:div>
                    <w:div w:id="1491946865">
                      <w:marLeft w:val="0"/>
                      <w:marRight w:val="0"/>
                      <w:marTop w:val="120"/>
                      <w:marBottom w:val="0"/>
                      <w:divBdr>
                        <w:top w:val="none" w:sz="0" w:space="0" w:color="auto"/>
                        <w:left w:val="none" w:sz="0" w:space="0" w:color="auto"/>
                        <w:bottom w:val="none" w:sz="0" w:space="0" w:color="auto"/>
                        <w:right w:val="none" w:sz="0" w:space="0" w:color="auto"/>
                      </w:divBdr>
                    </w:div>
                  </w:divsChild>
                </w:div>
                <w:div w:id="1268731987">
                  <w:marLeft w:val="0"/>
                  <w:marRight w:val="0"/>
                  <w:marTop w:val="0"/>
                  <w:marBottom w:val="0"/>
                  <w:divBdr>
                    <w:top w:val="none" w:sz="0" w:space="0" w:color="auto"/>
                    <w:left w:val="none" w:sz="0" w:space="0" w:color="auto"/>
                    <w:bottom w:val="none" w:sz="0" w:space="0" w:color="auto"/>
                    <w:right w:val="none" w:sz="0" w:space="0" w:color="auto"/>
                  </w:divBdr>
                  <w:divsChild>
                    <w:div w:id="1611552326">
                      <w:marLeft w:val="0"/>
                      <w:marRight w:val="0"/>
                      <w:marTop w:val="0"/>
                      <w:marBottom w:val="0"/>
                      <w:divBdr>
                        <w:top w:val="none" w:sz="0" w:space="0" w:color="auto"/>
                        <w:left w:val="none" w:sz="0" w:space="0" w:color="auto"/>
                        <w:bottom w:val="none" w:sz="0" w:space="0" w:color="auto"/>
                        <w:right w:val="none" w:sz="0" w:space="0" w:color="auto"/>
                      </w:divBdr>
                    </w:div>
                    <w:div w:id="2105496631">
                      <w:marLeft w:val="0"/>
                      <w:marRight w:val="0"/>
                      <w:marTop w:val="120"/>
                      <w:marBottom w:val="0"/>
                      <w:divBdr>
                        <w:top w:val="none" w:sz="0" w:space="0" w:color="auto"/>
                        <w:left w:val="none" w:sz="0" w:space="0" w:color="auto"/>
                        <w:bottom w:val="none" w:sz="0" w:space="0" w:color="auto"/>
                        <w:right w:val="none" w:sz="0" w:space="0" w:color="auto"/>
                      </w:divBdr>
                    </w:div>
                  </w:divsChild>
                </w:div>
                <w:div w:id="2078747816">
                  <w:marLeft w:val="0"/>
                  <w:marRight w:val="0"/>
                  <w:marTop w:val="0"/>
                  <w:marBottom w:val="0"/>
                  <w:divBdr>
                    <w:top w:val="none" w:sz="0" w:space="0" w:color="auto"/>
                    <w:left w:val="none" w:sz="0" w:space="0" w:color="auto"/>
                    <w:bottom w:val="none" w:sz="0" w:space="0" w:color="auto"/>
                    <w:right w:val="none" w:sz="0" w:space="0" w:color="auto"/>
                  </w:divBdr>
                  <w:divsChild>
                    <w:div w:id="1203713724">
                      <w:marLeft w:val="0"/>
                      <w:marRight w:val="0"/>
                      <w:marTop w:val="120"/>
                      <w:marBottom w:val="0"/>
                      <w:divBdr>
                        <w:top w:val="none" w:sz="0" w:space="0" w:color="auto"/>
                        <w:left w:val="none" w:sz="0" w:space="0" w:color="auto"/>
                        <w:bottom w:val="none" w:sz="0" w:space="0" w:color="auto"/>
                        <w:right w:val="none" w:sz="0" w:space="0" w:color="auto"/>
                      </w:divBdr>
                    </w:div>
                    <w:div w:id="177643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822389">
          <w:marLeft w:val="0"/>
          <w:marRight w:val="0"/>
          <w:marTop w:val="0"/>
          <w:marBottom w:val="0"/>
          <w:divBdr>
            <w:top w:val="none" w:sz="0" w:space="0" w:color="auto"/>
            <w:left w:val="none" w:sz="0" w:space="0" w:color="auto"/>
            <w:bottom w:val="none" w:sz="0" w:space="0" w:color="auto"/>
            <w:right w:val="none" w:sz="0" w:space="0" w:color="auto"/>
          </w:divBdr>
          <w:divsChild>
            <w:div w:id="791292273">
              <w:marLeft w:val="0"/>
              <w:marRight w:val="0"/>
              <w:marTop w:val="0"/>
              <w:marBottom w:val="0"/>
              <w:divBdr>
                <w:top w:val="none" w:sz="0" w:space="0" w:color="auto"/>
                <w:left w:val="none" w:sz="0" w:space="0" w:color="auto"/>
                <w:bottom w:val="none" w:sz="0" w:space="0" w:color="auto"/>
                <w:right w:val="none" w:sz="0" w:space="0" w:color="auto"/>
              </w:divBdr>
              <w:divsChild>
                <w:div w:id="1622762444">
                  <w:marLeft w:val="0"/>
                  <w:marRight w:val="0"/>
                  <w:marTop w:val="0"/>
                  <w:marBottom w:val="0"/>
                  <w:divBdr>
                    <w:top w:val="none" w:sz="0" w:space="0" w:color="auto"/>
                    <w:left w:val="none" w:sz="0" w:space="0" w:color="auto"/>
                    <w:bottom w:val="none" w:sz="0" w:space="0" w:color="auto"/>
                    <w:right w:val="none" w:sz="0" w:space="0" w:color="auto"/>
                  </w:divBdr>
                  <w:divsChild>
                    <w:div w:id="817919133">
                      <w:marLeft w:val="0"/>
                      <w:marRight w:val="0"/>
                      <w:marTop w:val="0"/>
                      <w:marBottom w:val="0"/>
                      <w:divBdr>
                        <w:top w:val="none" w:sz="0" w:space="0" w:color="auto"/>
                        <w:left w:val="none" w:sz="0" w:space="0" w:color="auto"/>
                        <w:bottom w:val="none" w:sz="0" w:space="0" w:color="auto"/>
                        <w:right w:val="none" w:sz="0" w:space="0" w:color="auto"/>
                      </w:divBdr>
                    </w:div>
                    <w:div w:id="1231038802">
                      <w:marLeft w:val="0"/>
                      <w:marRight w:val="0"/>
                      <w:marTop w:val="120"/>
                      <w:marBottom w:val="0"/>
                      <w:divBdr>
                        <w:top w:val="none" w:sz="0" w:space="0" w:color="auto"/>
                        <w:left w:val="none" w:sz="0" w:space="0" w:color="auto"/>
                        <w:bottom w:val="none" w:sz="0" w:space="0" w:color="auto"/>
                        <w:right w:val="none" w:sz="0" w:space="0" w:color="auto"/>
                      </w:divBdr>
                    </w:div>
                  </w:divsChild>
                </w:div>
                <w:div w:id="1654750839">
                  <w:marLeft w:val="0"/>
                  <w:marRight w:val="0"/>
                  <w:marTop w:val="0"/>
                  <w:marBottom w:val="0"/>
                  <w:divBdr>
                    <w:top w:val="none" w:sz="0" w:space="0" w:color="auto"/>
                    <w:left w:val="none" w:sz="0" w:space="0" w:color="auto"/>
                    <w:bottom w:val="none" w:sz="0" w:space="0" w:color="auto"/>
                    <w:right w:val="none" w:sz="0" w:space="0" w:color="auto"/>
                  </w:divBdr>
                  <w:divsChild>
                    <w:div w:id="1280916553">
                      <w:marLeft w:val="0"/>
                      <w:marRight w:val="0"/>
                      <w:marTop w:val="120"/>
                      <w:marBottom w:val="0"/>
                      <w:divBdr>
                        <w:top w:val="none" w:sz="0" w:space="0" w:color="auto"/>
                        <w:left w:val="none" w:sz="0" w:space="0" w:color="auto"/>
                        <w:bottom w:val="none" w:sz="0" w:space="0" w:color="auto"/>
                        <w:right w:val="none" w:sz="0" w:space="0" w:color="auto"/>
                      </w:divBdr>
                    </w:div>
                    <w:div w:id="172729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875092">
      <w:bodyDiv w:val="1"/>
      <w:marLeft w:val="0"/>
      <w:marRight w:val="0"/>
      <w:marTop w:val="0"/>
      <w:marBottom w:val="0"/>
      <w:divBdr>
        <w:top w:val="none" w:sz="0" w:space="0" w:color="auto"/>
        <w:left w:val="none" w:sz="0" w:space="0" w:color="auto"/>
        <w:bottom w:val="none" w:sz="0" w:space="0" w:color="auto"/>
        <w:right w:val="none" w:sz="0" w:space="0" w:color="auto"/>
      </w:divBdr>
      <w:divsChild>
        <w:div w:id="560755993">
          <w:marLeft w:val="0"/>
          <w:marRight w:val="0"/>
          <w:marTop w:val="0"/>
          <w:marBottom w:val="0"/>
          <w:divBdr>
            <w:top w:val="none" w:sz="0" w:space="0" w:color="auto"/>
            <w:left w:val="none" w:sz="0" w:space="0" w:color="auto"/>
            <w:bottom w:val="none" w:sz="0" w:space="0" w:color="auto"/>
            <w:right w:val="none" w:sz="0" w:space="0" w:color="auto"/>
          </w:divBdr>
          <w:divsChild>
            <w:div w:id="749081208">
              <w:marLeft w:val="0"/>
              <w:marRight w:val="0"/>
              <w:marTop w:val="0"/>
              <w:marBottom w:val="0"/>
              <w:divBdr>
                <w:top w:val="none" w:sz="0" w:space="0" w:color="auto"/>
                <w:left w:val="none" w:sz="0" w:space="0" w:color="auto"/>
                <w:bottom w:val="none" w:sz="0" w:space="0" w:color="auto"/>
                <w:right w:val="none" w:sz="0" w:space="0" w:color="auto"/>
              </w:divBdr>
              <w:divsChild>
                <w:div w:id="1141845170">
                  <w:marLeft w:val="0"/>
                  <w:marRight w:val="0"/>
                  <w:marTop w:val="0"/>
                  <w:marBottom w:val="0"/>
                  <w:divBdr>
                    <w:top w:val="none" w:sz="0" w:space="0" w:color="auto"/>
                    <w:left w:val="none" w:sz="0" w:space="0" w:color="auto"/>
                    <w:bottom w:val="none" w:sz="0" w:space="0" w:color="auto"/>
                    <w:right w:val="none" w:sz="0" w:space="0" w:color="auto"/>
                  </w:divBdr>
                </w:div>
                <w:div w:id="1175222082">
                  <w:marLeft w:val="0"/>
                  <w:marRight w:val="0"/>
                  <w:marTop w:val="120"/>
                  <w:marBottom w:val="0"/>
                  <w:divBdr>
                    <w:top w:val="none" w:sz="0" w:space="0" w:color="auto"/>
                    <w:left w:val="none" w:sz="0" w:space="0" w:color="auto"/>
                    <w:bottom w:val="none" w:sz="0" w:space="0" w:color="auto"/>
                    <w:right w:val="none" w:sz="0" w:space="0" w:color="auto"/>
                  </w:divBdr>
                </w:div>
              </w:divsChild>
            </w:div>
            <w:div w:id="1382174795">
              <w:marLeft w:val="0"/>
              <w:marRight w:val="0"/>
              <w:marTop w:val="0"/>
              <w:marBottom w:val="0"/>
              <w:divBdr>
                <w:top w:val="none" w:sz="0" w:space="0" w:color="auto"/>
                <w:left w:val="none" w:sz="0" w:space="0" w:color="auto"/>
                <w:bottom w:val="none" w:sz="0" w:space="0" w:color="auto"/>
                <w:right w:val="none" w:sz="0" w:space="0" w:color="auto"/>
              </w:divBdr>
              <w:divsChild>
                <w:div w:id="410857267">
                  <w:marLeft w:val="0"/>
                  <w:marRight w:val="0"/>
                  <w:marTop w:val="0"/>
                  <w:marBottom w:val="0"/>
                  <w:divBdr>
                    <w:top w:val="none" w:sz="0" w:space="0" w:color="auto"/>
                    <w:left w:val="none" w:sz="0" w:space="0" w:color="auto"/>
                    <w:bottom w:val="none" w:sz="0" w:space="0" w:color="auto"/>
                    <w:right w:val="none" w:sz="0" w:space="0" w:color="auto"/>
                  </w:divBdr>
                </w:div>
                <w:div w:id="1445422348">
                  <w:marLeft w:val="0"/>
                  <w:marRight w:val="0"/>
                  <w:marTop w:val="120"/>
                  <w:marBottom w:val="0"/>
                  <w:divBdr>
                    <w:top w:val="none" w:sz="0" w:space="0" w:color="auto"/>
                    <w:left w:val="none" w:sz="0" w:space="0" w:color="auto"/>
                    <w:bottom w:val="none" w:sz="0" w:space="0" w:color="auto"/>
                    <w:right w:val="none" w:sz="0" w:space="0" w:color="auto"/>
                  </w:divBdr>
                </w:div>
              </w:divsChild>
            </w:div>
            <w:div w:id="1645620025">
              <w:marLeft w:val="0"/>
              <w:marRight w:val="0"/>
              <w:marTop w:val="0"/>
              <w:marBottom w:val="0"/>
              <w:divBdr>
                <w:top w:val="none" w:sz="0" w:space="0" w:color="auto"/>
                <w:left w:val="none" w:sz="0" w:space="0" w:color="auto"/>
                <w:bottom w:val="none" w:sz="0" w:space="0" w:color="auto"/>
                <w:right w:val="none" w:sz="0" w:space="0" w:color="auto"/>
              </w:divBdr>
              <w:divsChild>
                <w:div w:id="1977761145">
                  <w:marLeft w:val="0"/>
                  <w:marRight w:val="0"/>
                  <w:marTop w:val="120"/>
                  <w:marBottom w:val="0"/>
                  <w:divBdr>
                    <w:top w:val="none" w:sz="0" w:space="0" w:color="auto"/>
                    <w:left w:val="none" w:sz="0" w:space="0" w:color="auto"/>
                    <w:bottom w:val="none" w:sz="0" w:space="0" w:color="auto"/>
                    <w:right w:val="none" w:sz="0" w:space="0" w:color="auto"/>
                  </w:divBdr>
                </w:div>
                <w:div w:id="199925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7818271">
      <w:bodyDiv w:val="1"/>
      <w:marLeft w:val="0"/>
      <w:marRight w:val="0"/>
      <w:marTop w:val="0"/>
      <w:marBottom w:val="0"/>
      <w:divBdr>
        <w:top w:val="none" w:sz="0" w:space="0" w:color="auto"/>
        <w:left w:val="none" w:sz="0" w:space="0" w:color="auto"/>
        <w:bottom w:val="none" w:sz="0" w:space="0" w:color="auto"/>
        <w:right w:val="none" w:sz="0" w:space="0" w:color="auto"/>
      </w:divBdr>
      <w:divsChild>
        <w:div w:id="1218975595">
          <w:marLeft w:val="0"/>
          <w:marRight w:val="0"/>
          <w:marTop w:val="0"/>
          <w:marBottom w:val="0"/>
          <w:divBdr>
            <w:top w:val="none" w:sz="0" w:space="0" w:color="auto"/>
            <w:left w:val="none" w:sz="0" w:space="0" w:color="auto"/>
            <w:bottom w:val="none" w:sz="0" w:space="0" w:color="auto"/>
            <w:right w:val="none" w:sz="0" w:space="0" w:color="auto"/>
          </w:divBdr>
        </w:div>
      </w:divsChild>
    </w:div>
    <w:div w:id="1832989443">
      <w:bodyDiv w:val="1"/>
      <w:marLeft w:val="0"/>
      <w:marRight w:val="0"/>
      <w:marTop w:val="0"/>
      <w:marBottom w:val="0"/>
      <w:divBdr>
        <w:top w:val="none" w:sz="0" w:space="0" w:color="auto"/>
        <w:left w:val="none" w:sz="0" w:space="0" w:color="auto"/>
        <w:bottom w:val="none" w:sz="0" w:space="0" w:color="auto"/>
        <w:right w:val="none" w:sz="0" w:space="0" w:color="auto"/>
      </w:divBdr>
      <w:divsChild>
        <w:div w:id="1209997797">
          <w:marLeft w:val="0"/>
          <w:marRight w:val="0"/>
          <w:marTop w:val="0"/>
          <w:marBottom w:val="0"/>
          <w:divBdr>
            <w:top w:val="none" w:sz="0" w:space="0" w:color="auto"/>
            <w:left w:val="none" w:sz="0" w:space="0" w:color="auto"/>
            <w:bottom w:val="none" w:sz="0" w:space="0" w:color="auto"/>
            <w:right w:val="none" w:sz="0" w:space="0" w:color="auto"/>
          </w:divBdr>
          <w:divsChild>
            <w:div w:id="8805536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095448">
      <w:bodyDiv w:val="1"/>
      <w:marLeft w:val="0"/>
      <w:marRight w:val="0"/>
      <w:marTop w:val="0"/>
      <w:marBottom w:val="0"/>
      <w:divBdr>
        <w:top w:val="none" w:sz="0" w:space="0" w:color="auto"/>
        <w:left w:val="none" w:sz="0" w:space="0" w:color="auto"/>
        <w:bottom w:val="none" w:sz="0" w:space="0" w:color="auto"/>
        <w:right w:val="none" w:sz="0" w:space="0" w:color="auto"/>
      </w:divBdr>
    </w:div>
    <w:div w:id="1849365281">
      <w:bodyDiv w:val="1"/>
      <w:marLeft w:val="0"/>
      <w:marRight w:val="0"/>
      <w:marTop w:val="0"/>
      <w:marBottom w:val="0"/>
      <w:divBdr>
        <w:top w:val="none" w:sz="0" w:space="0" w:color="auto"/>
        <w:left w:val="none" w:sz="0" w:space="0" w:color="auto"/>
        <w:bottom w:val="none" w:sz="0" w:space="0" w:color="auto"/>
        <w:right w:val="none" w:sz="0" w:space="0" w:color="auto"/>
      </w:divBdr>
      <w:divsChild>
        <w:div w:id="1834029891">
          <w:marLeft w:val="0"/>
          <w:marRight w:val="0"/>
          <w:marTop w:val="0"/>
          <w:marBottom w:val="0"/>
          <w:divBdr>
            <w:top w:val="none" w:sz="0" w:space="0" w:color="auto"/>
            <w:left w:val="none" w:sz="0" w:space="0" w:color="auto"/>
            <w:bottom w:val="none" w:sz="0" w:space="0" w:color="auto"/>
            <w:right w:val="none" w:sz="0" w:space="0" w:color="auto"/>
          </w:divBdr>
          <w:divsChild>
            <w:div w:id="291403295">
              <w:marLeft w:val="0"/>
              <w:marRight w:val="0"/>
              <w:marTop w:val="0"/>
              <w:marBottom w:val="0"/>
              <w:divBdr>
                <w:top w:val="none" w:sz="0" w:space="0" w:color="auto"/>
                <w:left w:val="none" w:sz="0" w:space="0" w:color="auto"/>
                <w:bottom w:val="none" w:sz="0" w:space="0" w:color="auto"/>
                <w:right w:val="none" w:sz="0" w:space="0" w:color="auto"/>
              </w:divBdr>
              <w:divsChild>
                <w:div w:id="1444573719">
                  <w:marLeft w:val="0"/>
                  <w:marRight w:val="0"/>
                  <w:marTop w:val="0"/>
                  <w:marBottom w:val="0"/>
                  <w:divBdr>
                    <w:top w:val="none" w:sz="0" w:space="0" w:color="auto"/>
                    <w:left w:val="none" w:sz="0" w:space="0" w:color="auto"/>
                    <w:bottom w:val="none" w:sz="0" w:space="0" w:color="auto"/>
                    <w:right w:val="none" w:sz="0" w:space="0" w:color="auto"/>
                  </w:divBdr>
                </w:div>
                <w:div w:id="2028091315">
                  <w:marLeft w:val="0"/>
                  <w:marRight w:val="0"/>
                  <w:marTop w:val="120"/>
                  <w:marBottom w:val="0"/>
                  <w:divBdr>
                    <w:top w:val="none" w:sz="0" w:space="0" w:color="auto"/>
                    <w:left w:val="none" w:sz="0" w:space="0" w:color="auto"/>
                    <w:bottom w:val="none" w:sz="0" w:space="0" w:color="auto"/>
                    <w:right w:val="none" w:sz="0" w:space="0" w:color="auto"/>
                  </w:divBdr>
                </w:div>
              </w:divsChild>
            </w:div>
            <w:div w:id="478574003">
              <w:marLeft w:val="0"/>
              <w:marRight w:val="0"/>
              <w:marTop w:val="0"/>
              <w:marBottom w:val="0"/>
              <w:divBdr>
                <w:top w:val="none" w:sz="0" w:space="0" w:color="auto"/>
                <w:left w:val="none" w:sz="0" w:space="0" w:color="auto"/>
                <w:bottom w:val="none" w:sz="0" w:space="0" w:color="auto"/>
                <w:right w:val="none" w:sz="0" w:space="0" w:color="auto"/>
              </w:divBdr>
              <w:divsChild>
                <w:div w:id="459111852">
                  <w:marLeft w:val="0"/>
                  <w:marRight w:val="0"/>
                  <w:marTop w:val="120"/>
                  <w:marBottom w:val="0"/>
                  <w:divBdr>
                    <w:top w:val="none" w:sz="0" w:space="0" w:color="auto"/>
                    <w:left w:val="none" w:sz="0" w:space="0" w:color="auto"/>
                    <w:bottom w:val="none" w:sz="0" w:space="0" w:color="auto"/>
                    <w:right w:val="none" w:sz="0" w:space="0" w:color="auto"/>
                  </w:divBdr>
                </w:div>
                <w:div w:id="1384787678">
                  <w:marLeft w:val="0"/>
                  <w:marRight w:val="0"/>
                  <w:marTop w:val="0"/>
                  <w:marBottom w:val="0"/>
                  <w:divBdr>
                    <w:top w:val="none" w:sz="0" w:space="0" w:color="auto"/>
                    <w:left w:val="none" w:sz="0" w:space="0" w:color="auto"/>
                    <w:bottom w:val="none" w:sz="0" w:space="0" w:color="auto"/>
                    <w:right w:val="none" w:sz="0" w:space="0" w:color="auto"/>
                  </w:divBdr>
                </w:div>
              </w:divsChild>
            </w:div>
            <w:div w:id="589655307">
              <w:marLeft w:val="0"/>
              <w:marRight w:val="0"/>
              <w:marTop w:val="0"/>
              <w:marBottom w:val="0"/>
              <w:divBdr>
                <w:top w:val="none" w:sz="0" w:space="0" w:color="auto"/>
                <w:left w:val="none" w:sz="0" w:space="0" w:color="auto"/>
                <w:bottom w:val="none" w:sz="0" w:space="0" w:color="auto"/>
                <w:right w:val="none" w:sz="0" w:space="0" w:color="auto"/>
              </w:divBdr>
              <w:divsChild>
                <w:div w:id="1037508752">
                  <w:marLeft w:val="0"/>
                  <w:marRight w:val="0"/>
                  <w:marTop w:val="120"/>
                  <w:marBottom w:val="0"/>
                  <w:divBdr>
                    <w:top w:val="none" w:sz="0" w:space="0" w:color="auto"/>
                    <w:left w:val="none" w:sz="0" w:space="0" w:color="auto"/>
                    <w:bottom w:val="none" w:sz="0" w:space="0" w:color="auto"/>
                    <w:right w:val="none" w:sz="0" w:space="0" w:color="auto"/>
                  </w:divBdr>
                </w:div>
                <w:div w:id="1229611392">
                  <w:marLeft w:val="0"/>
                  <w:marRight w:val="0"/>
                  <w:marTop w:val="0"/>
                  <w:marBottom w:val="0"/>
                  <w:divBdr>
                    <w:top w:val="none" w:sz="0" w:space="0" w:color="auto"/>
                    <w:left w:val="none" w:sz="0" w:space="0" w:color="auto"/>
                    <w:bottom w:val="none" w:sz="0" w:space="0" w:color="auto"/>
                    <w:right w:val="none" w:sz="0" w:space="0" w:color="auto"/>
                  </w:divBdr>
                </w:div>
              </w:divsChild>
            </w:div>
            <w:div w:id="798694200">
              <w:marLeft w:val="0"/>
              <w:marRight w:val="0"/>
              <w:marTop w:val="0"/>
              <w:marBottom w:val="0"/>
              <w:divBdr>
                <w:top w:val="none" w:sz="0" w:space="0" w:color="auto"/>
                <w:left w:val="none" w:sz="0" w:space="0" w:color="auto"/>
                <w:bottom w:val="none" w:sz="0" w:space="0" w:color="auto"/>
                <w:right w:val="none" w:sz="0" w:space="0" w:color="auto"/>
              </w:divBdr>
              <w:divsChild>
                <w:div w:id="627584962">
                  <w:marLeft w:val="0"/>
                  <w:marRight w:val="0"/>
                  <w:marTop w:val="0"/>
                  <w:marBottom w:val="0"/>
                  <w:divBdr>
                    <w:top w:val="none" w:sz="0" w:space="0" w:color="auto"/>
                    <w:left w:val="none" w:sz="0" w:space="0" w:color="auto"/>
                    <w:bottom w:val="none" w:sz="0" w:space="0" w:color="auto"/>
                    <w:right w:val="none" w:sz="0" w:space="0" w:color="auto"/>
                  </w:divBdr>
                </w:div>
                <w:div w:id="1959946068">
                  <w:marLeft w:val="0"/>
                  <w:marRight w:val="0"/>
                  <w:marTop w:val="120"/>
                  <w:marBottom w:val="0"/>
                  <w:divBdr>
                    <w:top w:val="none" w:sz="0" w:space="0" w:color="auto"/>
                    <w:left w:val="none" w:sz="0" w:space="0" w:color="auto"/>
                    <w:bottom w:val="none" w:sz="0" w:space="0" w:color="auto"/>
                    <w:right w:val="none" w:sz="0" w:space="0" w:color="auto"/>
                  </w:divBdr>
                </w:div>
              </w:divsChild>
            </w:div>
            <w:div w:id="1208488238">
              <w:marLeft w:val="0"/>
              <w:marRight w:val="0"/>
              <w:marTop w:val="0"/>
              <w:marBottom w:val="0"/>
              <w:divBdr>
                <w:top w:val="none" w:sz="0" w:space="0" w:color="auto"/>
                <w:left w:val="none" w:sz="0" w:space="0" w:color="auto"/>
                <w:bottom w:val="none" w:sz="0" w:space="0" w:color="auto"/>
                <w:right w:val="none" w:sz="0" w:space="0" w:color="auto"/>
              </w:divBdr>
              <w:divsChild>
                <w:div w:id="792866427">
                  <w:marLeft w:val="0"/>
                  <w:marRight w:val="0"/>
                  <w:marTop w:val="120"/>
                  <w:marBottom w:val="0"/>
                  <w:divBdr>
                    <w:top w:val="none" w:sz="0" w:space="0" w:color="auto"/>
                    <w:left w:val="none" w:sz="0" w:space="0" w:color="auto"/>
                    <w:bottom w:val="none" w:sz="0" w:space="0" w:color="auto"/>
                    <w:right w:val="none" w:sz="0" w:space="0" w:color="auto"/>
                  </w:divBdr>
                </w:div>
                <w:div w:id="968557897">
                  <w:marLeft w:val="0"/>
                  <w:marRight w:val="0"/>
                  <w:marTop w:val="0"/>
                  <w:marBottom w:val="0"/>
                  <w:divBdr>
                    <w:top w:val="none" w:sz="0" w:space="0" w:color="auto"/>
                    <w:left w:val="none" w:sz="0" w:space="0" w:color="auto"/>
                    <w:bottom w:val="none" w:sz="0" w:space="0" w:color="auto"/>
                    <w:right w:val="none" w:sz="0" w:space="0" w:color="auto"/>
                  </w:divBdr>
                </w:div>
              </w:divsChild>
            </w:div>
            <w:div w:id="1326937895">
              <w:marLeft w:val="0"/>
              <w:marRight w:val="0"/>
              <w:marTop w:val="0"/>
              <w:marBottom w:val="0"/>
              <w:divBdr>
                <w:top w:val="none" w:sz="0" w:space="0" w:color="auto"/>
                <w:left w:val="none" w:sz="0" w:space="0" w:color="auto"/>
                <w:bottom w:val="none" w:sz="0" w:space="0" w:color="auto"/>
                <w:right w:val="none" w:sz="0" w:space="0" w:color="auto"/>
              </w:divBdr>
              <w:divsChild>
                <w:div w:id="328992994">
                  <w:marLeft w:val="0"/>
                  <w:marRight w:val="0"/>
                  <w:marTop w:val="0"/>
                  <w:marBottom w:val="0"/>
                  <w:divBdr>
                    <w:top w:val="none" w:sz="0" w:space="0" w:color="auto"/>
                    <w:left w:val="none" w:sz="0" w:space="0" w:color="auto"/>
                    <w:bottom w:val="none" w:sz="0" w:space="0" w:color="auto"/>
                    <w:right w:val="none" w:sz="0" w:space="0" w:color="auto"/>
                  </w:divBdr>
                </w:div>
                <w:div w:id="104906562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850482757">
      <w:bodyDiv w:val="1"/>
      <w:marLeft w:val="0"/>
      <w:marRight w:val="0"/>
      <w:marTop w:val="0"/>
      <w:marBottom w:val="0"/>
      <w:divBdr>
        <w:top w:val="none" w:sz="0" w:space="0" w:color="auto"/>
        <w:left w:val="none" w:sz="0" w:space="0" w:color="auto"/>
        <w:bottom w:val="none" w:sz="0" w:space="0" w:color="auto"/>
        <w:right w:val="none" w:sz="0" w:space="0" w:color="auto"/>
      </w:divBdr>
      <w:divsChild>
        <w:div w:id="114099226">
          <w:marLeft w:val="0"/>
          <w:marRight w:val="0"/>
          <w:marTop w:val="0"/>
          <w:marBottom w:val="0"/>
          <w:divBdr>
            <w:top w:val="none" w:sz="0" w:space="0" w:color="auto"/>
            <w:left w:val="none" w:sz="0" w:space="0" w:color="auto"/>
            <w:bottom w:val="none" w:sz="0" w:space="0" w:color="auto"/>
            <w:right w:val="none" w:sz="0" w:space="0" w:color="auto"/>
          </w:divBdr>
          <w:divsChild>
            <w:div w:id="290483223">
              <w:marLeft w:val="0"/>
              <w:marRight w:val="0"/>
              <w:marTop w:val="120"/>
              <w:marBottom w:val="0"/>
              <w:divBdr>
                <w:top w:val="none" w:sz="0" w:space="0" w:color="auto"/>
                <w:left w:val="none" w:sz="0" w:space="0" w:color="auto"/>
                <w:bottom w:val="none" w:sz="0" w:space="0" w:color="auto"/>
                <w:right w:val="none" w:sz="0" w:space="0" w:color="auto"/>
              </w:divBdr>
            </w:div>
            <w:div w:id="1298418914">
              <w:marLeft w:val="0"/>
              <w:marRight w:val="0"/>
              <w:marTop w:val="0"/>
              <w:marBottom w:val="0"/>
              <w:divBdr>
                <w:top w:val="none" w:sz="0" w:space="0" w:color="auto"/>
                <w:left w:val="none" w:sz="0" w:space="0" w:color="auto"/>
                <w:bottom w:val="none" w:sz="0" w:space="0" w:color="auto"/>
                <w:right w:val="none" w:sz="0" w:space="0" w:color="auto"/>
              </w:divBdr>
            </w:div>
          </w:divsChild>
        </w:div>
        <w:div w:id="1566380429">
          <w:marLeft w:val="0"/>
          <w:marRight w:val="0"/>
          <w:marTop w:val="0"/>
          <w:marBottom w:val="0"/>
          <w:divBdr>
            <w:top w:val="none" w:sz="0" w:space="0" w:color="auto"/>
            <w:left w:val="none" w:sz="0" w:space="0" w:color="auto"/>
            <w:bottom w:val="none" w:sz="0" w:space="0" w:color="auto"/>
            <w:right w:val="none" w:sz="0" w:space="0" w:color="auto"/>
          </w:divBdr>
          <w:divsChild>
            <w:div w:id="124474106">
              <w:marLeft w:val="0"/>
              <w:marRight w:val="0"/>
              <w:marTop w:val="0"/>
              <w:marBottom w:val="0"/>
              <w:divBdr>
                <w:top w:val="none" w:sz="0" w:space="0" w:color="auto"/>
                <w:left w:val="none" w:sz="0" w:space="0" w:color="auto"/>
                <w:bottom w:val="none" w:sz="0" w:space="0" w:color="auto"/>
                <w:right w:val="none" w:sz="0" w:space="0" w:color="auto"/>
              </w:divBdr>
            </w:div>
            <w:div w:id="1425882533">
              <w:marLeft w:val="0"/>
              <w:marRight w:val="0"/>
              <w:marTop w:val="120"/>
              <w:marBottom w:val="0"/>
              <w:divBdr>
                <w:top w:val="none" w:sz="0" w:space="0" w:color="auto"/>
                <w:left w:val="none" w:sz="0" w:space="0" w:color="auto"/>
                <w:bottom w:val="none" w:sz="0" w:space="0" w:color="auto"/>
                <w:right w:val="none" w:sz="0" w:space="0" w:color="auto"/>
              </w:divBdr>
            </w:div>
          </w:divsChild>
        </w:div>
        <w:div w:id="2046176656">
          <w:marLeft w:val="0"/>
          <w:marRight w:val="0"/>
          <w:marTop w:val="0"/>
          <w:marBottom w:val="0"/>
          <w:divBdr>
            <w:top w:val="none" w:sz="0" w:space="0" w:color="auto"/>
            <w:left w:val="none" w:sz="0" w:space="0" w:color="auto"/>
            <w:bottom w:val="none" w:sz="0" w:space="0" w:color="auto"/>
            <w:right w:val="none" w:sz="0" w:space="0" w:color="auto"/>
          </w:divBdr>
          <w:divsChild>
            <w:div w:id="19941744">
              <w:marLeft w:val="0"/>
              <w:marRight w:val="0"/>
              <w:marTop w:val="0"/>
              <w:marBottom w:val="0"/>
              <w:divBdr>
                <w:top w:val="none" w:sz="0" w:space="0" w:color="auto"/>
                <w:left w:val="none" w:sz="0" w:space="0" w:color="auto"/>
                <w:bottom w:val="none" w:sz="0" w:space="0" w:color="auto"/>
                <w:right w:val="none" w:sz="0" w:space="0" w:color="auto"/>
              </w:divBdr>
              <w:divsChild>
                <w:div w:id="267734076">
                  <w:marLeft w:val="0"/>
                  <w:marRight w:val="0"/>
                  <w:marTop w:val="0"/>
                  <w:marBottom w:val="0"/>
                  <w:divBdr>
                    <w:top w:val="none" w:sz="0" w:space="0" w:color="auto"/>
                    <w:left w:val="none" w:sz="0" w:space="0" w:color="auto"/>
                    <w:bottom w:val="none" w:sz="0" w:space="0" w:color="auto"/>
                    <w:right w:val="none" w:sz="0" w:space="0" w:color="auto"/>
                  </w:divBdr>
                  <w:divsChild>
                    <w:div w:id="840387108">
                      <w:marLeft w:val="0"/>
                      <w:marRight w:val="0"/>
                      <w:marTop w:val="120"/>
                      <w:marBottom w:val="0"/>
                      <w:divBdr>
                        <w:top w:val="none" w:sz="0" w:space="0" w:color="auto"/>
                        <w:left w:val="none" w:sz="0" w:space="0" w:color="auto"/>
                        <w:bottom w:val="none" w:sz="0" w:space="0" w:color="auto"/>
                        <w:right w:val="none" w:sz="0" w:space="0" w:color="auto"/>
                      </w:divBdr>
                    </w:div>
                    <w:div w:id="1778403480">
                      <w:marLeft w:val="0"/>
                      <w:marRight w:val="0"/>
                      <w:marTop w:val="0"/>
                      <w:marBottom w:val="0"/>
                      <w:divBdr>
                        <w:top w:val="none" w:sz="0" w:space="0" w:color="auto"/>
                        <w:left w:val="none" w:sz="0" w:space="0" w:color="auto"/>
                        <w:bottom w:val="none" w:sz="0" w:space="0" w:color="auto"/>
                        <w:right w:val="none" w:sz="0" w:space="0" w:color="auto"/>
                      </w:divBdr>
                    </w:div>
                  </w:divsChild>
                </w:div>
                <w:div w:id="273750852">
                  <w:marLeft w:val="0"/>
                  <w:marRight w:val="0"/>
                  <w:marTop w:val="0"/>
                  <w:marBottom w:val="0"/>
                  <w:divBdr>
                    <w:top w:val="none" w:sz="0" w:space="0" w:color="auto"/>
                    <w:left w:val="none" w:sz="0" w:space="0" w:color="auto"/>
                    <w:bottom w:val="none" w:sz="0" w:space="0" w:color="auto"/>
                    <w:right w:val="none" w:sz="0" w:space="0" w:color="auto"/>
                  </w:divBdr>
                  <w:divsChild>
                    <w:div w:id="243078916">
                      <w:marLeft w:val="0"/>
                      <w:marRight w:val="0"/>
                      <w:marTop w:val="0"/>
                      <w:marBottom w:val="0"/>
                      <w:divBdr>
                        <w:top w:val="none" w:sz="0" w:space="0" w:color="auto"/>
                        <w:left w:val="none" w:sz="0" w:space="0" w:color="auto"/>
                        <w:bottom w:val="none" w:sz="0" w:space="0" w:color="auto"/>
                        <w:right w:val="none" w:sz="0" w:space="0" w:color="auto"/>
                      </w:divBdr>
                    </w:div>
                    <w:div w:id="1121919172">
                      <w:marLeft w:val="0"/>
                      <w:marRight w:val="0"/>
                      <w:marTop w:val="120"/>
                      <w:marBottom w:val="0"/>
                      <w:divBdr>
                        <w:top w:val="none" w:sz="0" w:space="0" w:color="auto"/>
                        <w:left w:val="none" w:sz="0" w:space="0" w:color="auto"/>
                        <w:bottom w:val="none" w:sz="0" w:space="0" w:color="auto"/>
                        <w:right w:val="none" w:sz="0" w:space="0" w:color="auto"/>
                      </w:divBdr>
                    </w:div>
                  </w:divsChild>
                </w:div>
                <w:div w:id="1226574873">
                  <w:marLeft w:val="0"/>
                  <w:marRight w:val="0"/>
                  <w:marTop w:val="0"/>
                  <w:marBottom w:val="0"/>
                  <w:divBdr>
                    <w:top w:val="none" w:sz="0" w:space="0" w:color="auto"/>
                    <w:left w:val="none" w:sz="0" w:space="0" w:color="auto"/>
                    <w:bottom w:val="none" w:sz="0" w:space="0" w:color="auto"/>
                    <w:right w:val="none" w:sz="0" w:space="0" w:color="auto"/>
                  </w:divBdr>
                  <w:divsChild>
                    <w:div w:id="66266409">
                      <w:marLeft w:val="0"/>
                      <w:marRight w:val="0"/>
                      <w:marTop w:val="120"/>
                      <w:marBottom w:val="0"/>
                      <w:divBdr>
                        <w:top w:val="none" w:sz="0" w:space="0" w:color="auto"/>
                        <w:left w:val="none" w:sz="0" w:space="0" w:color="auto"/>
                        <w:bottom w:val="none" w:sz="0" w:space="0" w:color="auto"/>
                        <w:right w:val="none" w:sz="0" w:space="0" w:color="auto"/>
                      </w:divBdr>
                    </w:div>
                    <w:div w:id="628825442">
                      <w:marLeft w:val="0"/>
                      <w:marRight w:val="0"/>
                      <w:marTop w:val="0"/>
                      <w:marBottom w:val="0"/>
                      <w:divBdr>
                        <w:top w:val="none" w:sz="0" w:space="0" w:color="auto"/>
                        <w:left w:val="none" w:sz="0" w:space="0" w:color="auto"/>
                        <w:bottom w:val="none" w:sz="0" w:space="0" w:color="auto"/>
                        <w:right w:val="none" w:sz="0" w:space="0" w:color="auto"/>
                      </w:divBdr>
                    </w:div>
                  </w:divsChild>
                </w:div>
                <w:div w:id="1628774886">
                  <w:marLeft w:val="0"/>
                  <w:marRight w:val="0"/>
                  <w:marTop w:val="0"/>
                  <w:marBottom w:val="0"/>
                  <w:divBdr>
                    <w:top w:val="none" w:sz="0" w:space="0" w:color="auto"/>
                    <w:left w:val="none" w:sz="0" w:space="0" w:color="auto"/>
                    <w:bottom w:val="none" w:sz="0" w:space="0" w:color="auto"/>
                    <w:right w:val="none" w:sz="0" w:space="0" w:color="auto"/>
                  </w:divBdr>
                  <w:divsChild>
                    <w:div w:id="326056582">
                      <w:marLeft w:val="0"/>
                      <w:marRight w:val="0"/>
                      <w:marTop w:val="120"/>
                      <w:marBottom w:val="0"/>
                      <w:divBdr>
                        <w:top w:val="none" w:sz="0" w:space="0" w:color="auto"/>
                        <w:left w:val="none" w:sz="0" w:space="0" w:color="auto"/>
                        <w:bottom w:val="none" w:sz="0" w:space="0" w:color="auto"/>
                        <w:right w:val="none" w:sz="0" w:space="0" w:color="auto"/>
                      </w:divBdr>
                    </w:div>
                    <w:div w:id="1107770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9251444">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1853839964">
      <w:bodyDiv w:val="1"/>
      <w:marLeft w:val="0"/>
      <w:marRight w:val="0"/>
      <w:marTop w:val="0"/>
      <w:marBottom w:val="0"/>
      <w:divBdr>
        <w:top w:val="none" w:sz="0" w:space="0" w:color="auto"/>
        <w:left w:val="none" w:sz="0" w:space="0" w:color="auto"/>
        <w:bottom w:val="none" w:sz="0" w:space="0" w:color="auto"/>
        <w:right w:val="none" w:sz="0" w:space="0" w:color="auto"/>
      </w:divBdr>
      <w:divsChild>
        <w:div w:id="457843537">
          <w:marLeft w:val="0"/>
          <w:marRight w:val="0"/>
          <w:marTop w:val="120"/>
          <w:marBottom w:val="0"/>
          <w:divBdr>
            <w:top w:val="none" w:sz="0" w:space="0" w:color="auto"/>
            <w:left w:val="none" w:sz="0" w:space="0" w:color="auto"/>
            <w:bottom w:val="none" w:sz="0" w:space="0" w:color="auto"/>
            <w:right w:val="none" w:sz="0" w:space="0" w:color="auto"/>
          </w:divBdr>
        </w:div>
        <w:div w:id="1619027651">
          <w:marLeft w:val="0"/>
          <w:marRight w:val="0"/>
          <w:marTop w:val="0"/>
          <w:marBottom w:val="0"/>
          <w:divBdr>
            <w:top w:val="none" w:sz="0" w:space="0" w:color="auto"/>
            <w:left w:val="none" w:sz="0" w:space="0" w:color="auto"/>
            <w:bottom w:val="none" w:sz="0" w:space="0" w:color="auto"/>
            <w:right w:val="none" w:sz="0" w:space="0" w:color="auto"/>
          </w:divBdr>
        </w:div>
      </w:divsChild>
    </w:div>
    <w:div w:id="1864322701">
      <w:bodyDiv w:val="1"/>
      <w:marLeft w:val="0"/>
      <w:marRight w:val="0"/>
      <w:marTop w:val="0"/>
      <w:marBottom w:val="0"/>
      <w:divBdr>
        <w:top w:val="none" w:sz="0" w:space="0" w:color="auto"/>
        <w:left w:val="none" w:sz="0" w:space="0" w:color="auto"/>
        <w:bottom w:val="none" w:sz="0" w:space="0" w:color="auto"/>
        <w:right w:val="none" w:sz="0" w:space="0" w:color="auto"/>
      </w:divBdr>
    </w:div>
    <w:div w:id="1874541176">
      <w:bodyDiv w:val="1"/>
      <w:marLeft w:val="0"/>
      <w:marRight w:val="0"/>
      <w:marTop w:val="0"/>
      <w:marBottom w:val="0"/>
      <w:divBdr>
        <w:top w:val="none" w:sz="0" w:space="0" w:color="auto"/>
        <w:left w:val="none" w:sz="0" w:space="0" w:color="auto"/>
        <w:bottom w:val="none" w:sz="0" w:space="0" w:color="auto"/>
        <w:right w:val="none" w:sz="0" w:space="0" w:color="auto"/>
      </w:divBdr>
      <w:divsChild>
        <w:div w:id="404498645">
          <w:marLeft w:val="0"/>
          <w:marRight w:val="0"/>
          <w:marTop w:val="0"/>
          <w:marBottom w:val="0"/>
          <w:divBdr>
            <w:top w:val="none" w:sz="0" w:space="0" w:color="auto"/>
            <w:left w:val="none" w:sz="0" w:space="0" w:color="auto"/>
            <w:bottom w:val="none" w:sz="0" w:space="0" w:color="auto"/>
            <w:right w:val="none" w:sz="0" w:space="0" w:color="auto"/>
          </w:divBdr>
          <w:divsChild>
            <w:div w:id="654645017">
              <w:marLeft w:val="0"/>
              <w:marRight w:val="0"/>
              <w:marTop w:val="0"/>
              <w:marBottom w:val="0"/>
              <w:divBdr>
                <w:top w:val="none" w:sz="0" w:space="0" w:color="auto"/>
                <w:left w:val="none" w:sz="0" w:space="0" w:color="auto"/>
                <w:bottom w:val="none" w:sz="0" w:space="0" w:color="auto"/>
                <w:right w:val="none" w:sz="0" w:space="0" w:color="auto"/>
              </w:divBdr>
            </w:div>
          </w:divsChild>
        </w:div>
        <w:div w:id="1489250346">
          <w:marLeft w:val="0"/>
          <w:marRight w:val="0"/>
          <w:marTop w:val="0"/>
          <w:marBottom w:val="0"/>
          <w:divBdr>
            <w:top w:val="none" w:sz="0" w:space="0" w:color="auto"/>
            <w:left w:val="none" w:sz="0" w:space="0" w:color="auto"/>
            <w:bottom w:val="none" w:sz="0" w:space="0" w:color="auto"/>
            <w:right w:val="none" w:sz="0" w:space="0" w:color="auto"/>
          </w:divBdr>
          <w:divsChild>
            <w:div w:id="926037371">
              <w:marLeft w:val="0"/>
              <w:marRight w:val="0"/>
              <w:marTop w:val="0"/>
              <w:marBottom w:val="0"/>
              <w:divBdr>
                <w:top w:val="none" w:sz="0" w:space="0" w:color="auto"/>
                <w:left w:val="none" w:sz="0" w:space="0" w:color="auto"/>
                <w:bottom w:val="none" w:sz="0" w:space="0" w:color="auto"/>
                <w:right w:val="none" w:sz="0" w:space="0" w:color="auto"/>
              </w:divBdr>
            </w:div>
            <w:div w:id="1754204969">
              <w:marLeft w:val="0"/>
              <w:marRight w:val="0"/>
              <w:marTop w:val="120"/>
              <w:marBottom w:val="0"/>
              <w:divBdr>
                <w:top w:val="none" w:sz="0" w:space="0" w:color="auto"/>
                <w:left w:val="none" w:sz="0" w:space="0" w:color="auto"/>
                <w:bottom w:val="none" w:sz="0" w:space="0" w:color="auto"/>
                <w:right w:val="none" w:sz="0" w:space="0" w:color="auto"/>
              </w:divBdr>
            </w:div>
          </w:divsChild>
        </w:div>
        <w:div w:id="1496846453">
          <w:marLeft w:val="0"/>
          <w:marRight w:val="0"/>
          <w:marTop w:val="0"/>
          <w:marBottom w:val="0"/>
          <w:divBdr>
            <w:top w:val="none" w:sz="0" w:space="0" w:color="auto"/>
            <w:left w:val="none" w:sz="0" w:space="0" w:color="auto"/>
            <w:bottom w:val="none" w:sz="0" w:space="0" w:color="auto"/>
            <w:right w:val="none" w:sz="0" w:space="0" w:color="auto"/>
          </w:divBdr>
          <w:divsChild>
            <w:div w:id="20741099">
              <w:marLeft w:val="0"/>
              <w:marRight w:val="0"/>
              <w:marTop w:val="120"/>
              <w:marBottom w:val="0"/>
              <w:divBdr>
                <w:top w:val="none" w:sz="0" w:space="0" w:color="auto"/>
                <w:left w:val="none" w:sz="0" w:space="0" w:color="auto"/>
                <w:bottom w:val="none" w:sz="0" w:space="0" w:color="auto"/>
                <w:right w:val="none" w:sz="0" w:space="0" w:color="auto"/>
              </w:divBdr>
            </w:div>
            <w:div w:id="2510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6654906">
      <w:bodyDiv w:val="1"/>
      <w:marLeft w:val="0"/>
      <w:marRight w:val="0"/>
      <w:marTop w:val="0"/>
      <w:marBottom w:val="0"/>
      <w:divBdr>
        <w:top w:val="none" w:sz="0" w:space="0" w:color="auto"/>
        <w:left w:val="none" w:sz="0" w:space="0" w:color="auto"/>
        <w:bottom w:val="none" w:sz="0" w:space="0" w:color="auto"/>
        <w:right w:val="none" w:sz="0" w:space="0" w:color="auto"/>
      </w:divBdr>
      <w:divsChild>
        <w:div w:id="892814722">
          <w:marLeft w:val="0"/>
          <w:marRight w:val="0"/>
          <w:marTop w:val="0"/>
          <w:marBottom w:val="0"/>
          <w:divBdr>
            <w:top w:val="none" w:sz="0" w:space="0" w:color="auto"/>
            <w:left w:val="none" w:sz="0" w:space="0" w:color="auto"/>
            <w:bottom w:val="none" w:sz="0" w:space="0" w:color="auto"/>
            <w:right w:val="none" w:sz="0" w:space="0" w:color="auto"/>
          </w:divBdr>
          <w:divsChild>
            <w:div w:id="967902930">
              <w:marLeft w:val="0"/>
              <w:marRight w:val="0"/>
              <w:marTop w:val="0"/>
              <w:marBottom w:val="0"/>
              <w:divBdr>
                <w:top w:val="none" w:sz="0" w:space="0" w:color="auto"/>
                <w:left w:val="none" w:sz="0" w:space="0" w:color="auto"/>
                <w:bottom w:val="none" w:sz="0" w:space="0" w:color="auto"/>
                <w:right w:val="none" w:sz="0" w:space="0" w:color="auto"/>
              </w:divBdr>
              <w:divsChild>
                <w:div w:id="766776420">
                  <w:marLeft w:val="0"/>
                  <w:marRight w:val="0"/>
                  <w:marTop w:val="0"/>
                  <w:marBottom w:val="0"/>
                  <w:divBdr>
                    <w:top w:val="none" w:sz="0" w:space="0" w:color="auto"/>
                    <w:left w:val="none" w:sz="0" w:space="0" w:color="auto"/>
                    <w:bottom w:val="none" w:sz="0" w:space="0" w:color="auto"/>
                    <w:right w:val="none" w:sz="0" w:space="0" w:color="auto"/>
                  </w:divBdr>
                  <w:divsChild>
                    <w:div w:id="1152411495">
                      <w:marLeft w:val="0"/>
                      <w:marRight w:val="0"/>
                      <w:marTop w:val="120"/>
                      <w:marBottom w:val="0"/>
                      <w:divBdr>
                        <w:top w:val="none" w:sz="0" w:space="0" w:color="auto"/>
                        <w:left w:val="none" w:sz="0" w:space="0" w:color="auto"/>
                        <w:bottom w:val="none" w:sz="0" w:space="0" w:color="auto"/>
                        <w:right w:val="none" w:sz="0" w:space="0" w:color="auto"/>
                      </w:divBdr>
                    </w:div>
                    <w:div w:id="2064792658">
                      <w:marLeft w:val="0"/>
                      <w:marRight w:val="0"/>
                      <w:marTop w:val="0"/>
                      <w:marBottom w:val="0"/>
                      <w:divBdr>
                        <w:top w:val="none" w:sz="0" w:space="0" w:color="auto"/>
                        <w:left w:val="none" w:sz="0" w:space="0" w:color="auto"/>
                        <w:bottom w:val="none" w:sz="0" w:space="0" w:color="auto"/>
                        <w:right w:val="none" w:sz="0" w:space="0" w:color="auto"/>
                      </w:divBdr>
                    </w:div>
                  </w:divsChild>
                </w:div>
                <w:div w:id="1988238876">
                  <w:marLeft w:val="0"/>
                  <w:marRight w:val="0"/>
                  <w:marTop w:val="0"/>
                  <w:marBottom w:val="0"/>
                  <w:divBdr>
                    <w:top w:val="none" w:sz="0" w:space="0" w:color="auto"/>
                    <w:left w:val="none" w:sz="0" w:space="0" w:color="auto"/>
                    <w:bottom w:val="none" w:sz="0" w:space="0" w:color="auto"/>
                    <w:right w:val="none" w:sz="0" w:space="0" w:color="auto"/>
                  </w:divBdr>
                  <w:divsChild>
                    <w:div w:id="1426658205">
                      <w:marLeft w:val="0"/>
                      <w:marRight w:val="0"/>
                      <w:marTop w:val="120"/>
                      <w:marBottom w:val="0"/>
                      <w:divBdr>
                        <w:top w:val="none" w:sz="0" w:space="0" w:color="auto"/>
                        <w:left w:val="none" w:sz="0" w:space="0" w:color="auto"/>
                        <w:bottom w:val="none" w:sz="0" w:space="0" w:color="auto"/>
                        <w:right w:val="none" w:sz="0" w:space="0" w:color="auto"/>
                      </w:divBdr>
                    </w:div>
                    <w:div w:id="202743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173880">
          <w:marLeft w:val="0"/>
          <w:marRight w:val="0"/>
          <w:marTop w:val="0"/>
          <w:marBottom w:val="0"/>
          <w:divBdr>
            <w:top w:val="none" w:sz="0" w:space="0" w:color="auto"/>
            <w:left w:val="none" w:sz="0" w:space="0" w:color="auto"/>
            <w:bottom w:val="none" w:sz="0" w:space="0" w:color="auto"/>
            <w:right w:val="none" w:sz="0" w:space="0" w:color="auto"/>
          </w:divBdr>
          <w:divsChild>
            <w:div w:id="913970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0648581">
      <w:bodyDiv w:val="1"/>
      <w:marLeft w:val="0"/>
      <w:marRight w:val="0"/>
      <w:marTop w:val="0"/>
      <w:marBottom w:val="0"/>
      <w:divBdr>
        <w:top w:val="none" w:sz="0" w:space="0" w:color="auto"/>
        <w:left w:val="none" w:sz="0" w:space="0" w:color="auto"/>
        <w:bottom w:val="none" w:sz="0" w:space="0" w:color="auto"/>
        <w:right w:val="none" w:sz="0" w:space="0" w:color="auto"/>
      </w:divBdr>
      <w:divsChild>
        <w:div w:id="65109796">
          <w:marLeft w:val="0"/>
          <w:marRight w:val="0"/>
          <w:marTop w:val="0"/>
          <w:marBottom w:val="0"/>
          <w:divBdr>
            <w:top w:val="none" w:sz="0" w:space="0" w:color="auto"/>
            <w:left w:val="none" w:sz="0" w:space="0" w:color="auto"/>
            <w:bottom w:val="none" w:sz="0" w:space="0" w:color="auto"/>
            <w:right w:val="none" w:sz="0" w:space="0" w:color="auto"/>
          </w:divBdr>
          <w:divsChild>
            <w:div w:id="1080634658">
              <w:marLeft w:val="0"/>
              <w:marRight w:val="0"/>
              <w:marTop w:val="0"/>
              <w:marBottom w:val="0"/>
              <w:divBdr>
                <w:top w:val="none" w:sz="0" w:space="0" w:color="auto"/>
                <w:left w:val="none" w:sz="0" w:space="0" w:color="auto"/>
                <w:bottom w:val="none" w:sz="0" w:space="0" w:color="auto"/>
                <w:right w:val="none" w:sz="0" w:space="0" w:color="auto"/>
              </w:divBdr>
            </w:div>
            <w:div w:id="1599098910">
              <w:marLeft w:val="0"/>
              <w:marRight w:val="0"/>
              <w:marTop w:val="120"/>
              <w:marBottom w:val="0"/>
              <w:divBdr>
                <w:top w:val="none" w:sz="0" w:space="0" w:color="auto"/>
                <w:left w:val="none" w:sz="0" w:space="0" w:color="auto"/>
                <w:bottom w:val="none" w:sz="0" w:space="0" w:color="auto"/>
                <w:right w:val="none" w:sz="0" w:space="0" w:color="auto"/>
              </w:divBdr>
            </w:div>
          </w:divsChild>
        </w:div>
        <w:div w:id="310988158">
          <w:marLeft w:val="0"/>
          <w:marRight w:val="0"/>
          <w:marTop w:val="0"/>
          <w:marBottom w:val="0"/>
          <w:divBdr>
            <w:top w:val="none" w:sz="0" w:space="0" w:color="auto"/>
            <w:left w:val="none" w:sz="0" w:space="0" w:color="auto"/>
            <w:bottom w:val="none" w:sz="0" w:space="0" w:color="auto"/>
            <w:right w:val="none" w:sz="0" w:space="0" w:color="auto"/>
          </w:divBdr>
          <w:divsChild>
            <w:div w:id="685250357">
              <w:marLeft w:val="0"/>
              <w:marRight w:val="0"/>
              <w:marTop w:val="120"/>
              <w:marBottom w:val="0"/>
              <w:divBdr>
                <w:top w:val="none" w:sz="0" w:space="0" w:color="auto"/>
                <w:left w:val="none" w:sz="0" w:space="0" w:color="auto"/>
                <w:bottom w:val="none" w:sz="0" w:space="0" w:color="auto"/>
                <w:right w:val="none" w:sz="0" w:space="0" w:color="auto"/>
              </w:divBdr>
            </w:div>
            <w:div w:id="1495997462">
              <w:marLeft w:val="0"/>
              <w:marRight w:val="0"/>
              <w:marTop w:val="0"/>
              <w:marBottom w:val="0"/>
              <w:divBdr>
                <w:top w:val="none" w:sz="0" w:space="0" w:color="auto"/>
                <w:left w:val="none" w:sz="0" w:space="0" w:color="auto"/>
                <w:bottom w:val="none" w:sz="0" w:space="0" w:color="auto"/>
                <w:right w:val="none" w:sz="0" w:space="0" w:color="auto"/>
              </w:divBdr>
            </w:div>
          </w:divsChild>
        </w:div>
        <w:div w:id="868488256">
          <w:marLeft w:val="0"/>
          <w:marRight w:val="0"/>
          <w:marTop w:val="0"/>
          <w:marBottom w:val="0"/>
          <w:divBdr>
            <w:top w:val="none" w:sz="0" w:space="0" w:color="auto"/>
            <w:left w:val="none" w:sz="0" w:space="0" w:color="auto"/>
            <w:bottom w:val="none" w:sz="0" w:space="0" w:color="auto"/>
            <w:right w:val="none" w:sz="0" w:space="0" w:color="auto"/>
          </w:divBdr>
          <w:divsChild>
            <w:div w:id="1077433896">
              <w:marLeft w:val="0"/>
              <w:marRight w:val="0"/>
              <w:marTop w:val="120"/>
              <w:marBottom w:val="0"/>
              <w:divBdr>
                <w:top w:val="none" w:sz="0" w:space="0" w:color="auto"/>
                <w:left w:val="none" w:sz="0" w:space="0" w:color="auto"/>
                <w:bottom w:val="none" w:sz="0" w:space="0" w:color="auto"/>
                <w:right w:val="none" w:sz="0" w:space="0" w:color="auto"/>
              </w:divBdr>
            </w:div>
            <w:div w:id="1266183907">
              <w:marLeft w:val="0"/>
              <w:marRight w:val="0"/>
              <w:marTop w:val="0"/>
              <w:marBottom w:val="0"/>
              <w:divBdr>
                <w:top w:val="none" w:sz="0" w:space="0" w:color="auto"/>
                <w:left w:val="none" w:sz="0" w:space="0" w:color="auto"/>
                <w:bottom w:val="none" w:sz="0" w:space="0" w:color="auto"/>
                <w:right w:val="none" w:sz="0" w:space="0" w:color="auto"/>
              </w:divBdr>
            </w:div>
          </w:divsChild>
        </w:div>
        <w:div w:id="1585721399">
          <w:marLeft w:val="0"/>
          <w:marRight w:val="0"/>
          <w:marTop w:val="0"/>
          <w:marBottom w:val="0"/>
          <w:divBdr>
            <w:top w:val="none" w:sz="0" w:space="0" w:color="auto"/>
            <w:left w:val="none" w:sz="0" w:space="0" w:color="auto"/>
            <w:bottom w:val="none" w:sz="0" w:space="0" w:color="auto"/>
            <w:right w:val="none" w:sz="0" w:space="0" w:color="auto"/>
          </w:divBdr>
          <w:divsChild>
            <w:div w:id="1868061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504911">
      <w:bodyDiv w:val="1"/>
      <w:marLeft w:val="0"/>
      <w:marRight w:val="0"/>
      <w:marTop w:val="0"/>
      <w:marBottom w:val="0"/>
      <w:divBdr>
        <w:top w:val="none" w:sz="0" w:space="0" w:color="auto"/>
        <w:left w:val="none" w:sz="0" w:space="0" w:color="auto"/>
        <w:bottom w:val="none" w:sz="0" w:space="0" w:color="auto"/>
        <w:right w:val="none" w:sz="0" w:space="0" w:color="auto"/>
      </w:divBdr>
      <w:divsChild>
        <w:div w:id="740908508">
          <w:marLeft w:val="0"/>
          <w:marRight w:val="0"/>
          <w:marTop w:val="0"/>
          <w:marBottom w:val="0"/>
          <w:divBdr>
            <w:top w:val="none" w:sz="0" w:space="0" w:color="auto"/>
            <w:left w:val="none" w:sz="0" w:space="0" w:color="auto"/>
            <w:bottom w:val="none" w:sz="0" w:space="0" w:color="auto"/>
            <w:right w:val="none" w:sz="0" w:space="0" w:color="auto"/>
          </w:divBdr>
          <w:divsChild>
            <w:div w:id="745421135">
              <w:marLeft w:val="0"/>
              <w:marRight w:val="0"/>
              <w:marTop w:val="0"/>
              <w:marBottom w:val="0"/>
              <w:divBdr>
                <w:top w:val="none" w:sz="0" w:space="0" w:color="auto"/>
                <w:left w:val="none" w:sz="0" w:space="0" w:color="auto"/>
                <w:bottom w:val="none" w:sz="0" w:space="0" w:color="auto"/>
                <w:right w:val="none" w:sz="0" w:space="0" w:color="auto"/>
              </w:divBdr>
              <w:divsChild>
                <w:div w:id="256526106">
                  <w:marLeft w:val="0"/>
                  <w:marRight w:val="0"/>
                  <w:marTop w:val="120"/>
                  <w:marBottom w:val="0"/>
                  <w:divBdr>
                    <w:top w:val="none" w:sz="0" w:space="0" w:color="auto"/>
                    <w:left w:val="none" w:sz="0" w:space="0" w:color="auto"/>
                    <w:bottom w:val="none" w:sz="0" w:space="0" w:color="auto"/>
                    <w:right w:val="none" w:sz="0" w:space="0" w:color="auto"/>
                  </w:divBdr>
                </w:div>
                <w:div w:id="1601374016">
                  <w:marLeft w:val="0"/>
                  <w:marRight w:val="0"/>
                  <w:marTop w:val="0"/>
                  <w:marBottom w:val="0"/>
                  <w:divBdr>
                    <w:top w:val="none" w:sz="0" w:space="0" w:color="auto"/>
                    <w:left w:val="none" w:sz="0" w:space="0" w:color="auto"/>
                    <w:bottom w:val="none" w:sz="0" w:space="0" w:color="auto"/>
                    <w:right w:val="none" w:sz="0" w:space="0" w:color="auto"/>
                  </w:divBdr>
                </w:div>
              </w:divsChild>
            </w:div>
            <w:div w:id="1861313868">
              <w:marLeft w:val="0"/>
              <w:marRight w:val="0"/>
              <w:marTop w:val="0"/>
              <w:marBottom w:val="0"/>
              <w:divBdr>
                <w:top w:val="none" w:sz="0" w:space="0" w:color="auto"/>
                <w:left w:val="none" w:sz="0" w:space="0" w:color="auto"/>
                <w:bottom w:val="none" w:sz="0" w:space="0" w:color="auto"/>
                <w:right w:val="none" w:sz="0" w:space="0" w:color="auto"/>
              </w:divBdr>
              <w:divsChild>
                <w:div w:id="385377852">
                  <w:marLeft w:val="0"/>
                  <w:marRight w:val="0"/>
                  <w:marTop w:val="120"/>
                  <w:marBottom w:val="0"/>
                  <w:divBdr>
                    <w:top w:val="none" w:sz="0" w:space="0" w:color="auto"/>
                    <w:left w:val="none" w:sz="0" w:space="0" w:color="auto"/>
                    <w:bottom w:val="none" w:sz="0" w:space="0" w:color="auto"/>
                    <w:right w:val="none" w:sz="0" w:space="0" w:color="auto"/>
                  </w:divBdr>
                </w:div>
                <w:div w:id="606817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6671907">
      <w:bodyDiv w:val="1"/>
      <w:marLeft w:val="0"/>
      <w:marRight w:val="0"/>
      <w:marTop w:val="0"/>
      <w:marBottom w:val="0"/>
      <w:divBdr>
        <w:top w:val="none" w:sz="0" w:space="0" w:color="auto"/>
        <w:left w:val="none" w:sz="0" w:space="0" w:color="auto"/>
        <w:bottom w:val="none" w:sz="0" w:space="0" w:color="auto"/>
        <w:right w:val="none" w:sz="0" w:space="0" w:color="auto"/>
      </w:divBdr>
      <w:divsChild>
        <w:div w:id="485904566">
          <w:marLeft w:val="0"/>
          <w:marRight w:val="0"/>
          <w:marTop w:val="0"/>
          <w:marBottom w:val="0"/>
          <w:divBdr>
            <w:top w:val="none" w:sz="0" w:space="0" w:color="auto"/>
            <w:left w:val="none" w:sz="0" w:space="0" w:color="auto"/>
            <w:bottom w:val="none" w:sz="0" w:space="0" w:color="auto"/>
            <w:right w:val="none" w:sz="0" w:space="0" w:color="auto"/>
          </w:divBdr>
        </w:div>
        <w:div w:id="1130243445">
          <w:marLeft w:val="0"/>
          <w:marRight w:val="0"/>
          <w:marTop w:val="120"/>
          <w:marBottom w:val="0"/>
          <w:divBdr>
            <w:top w:val="none" w:sz="0" w:space="0" w:color="auto"/>
            <w:left w:val="none" w:sz="0" w:space="0" w:color="auto"/>
            <w:bottom w:val="none" w:sz="0" w:space="0" w:color="auto"/>
            <w:right w:val="none" w:sz="0" w:space="0" w:color="auto"/>
          </w:divBdr>
        </w:div>
      </w:divsChild>
    </w:div>
    <w:div w:id="1921400320">
      <w:bodyDiv w:val="1"/>
      <w:marLeft w:val="0"/>
      <w:marRight w:val="0"/>
      <w:marTop w:val="0"/>
      <w:marBottom w:val="0"/>
      <w:divBdr>
        <w:top w:val="none" w:sz="0" w:space="0" w:color="auto"/>
        <w:left w:val="none" w:sz="0" w:space="0" w:color="auto"/>
        <w:bottom w:val="none" w:sz="0" w:space="0" w:color="auto"/>
        <w:right w:val="none" w:sz="0" w:space="0" w:color="auto"/>
      </w:divBdr>
      <w:divsChild>
        <w:div w:id="504366884">
          <w:marLeft w:val="0"/>
          <w:marRight w:val="0"/>
          <w:marTop w:val="0"/>
          <w:marBottom w:val="0"/>
          <w:divBdr>
            <w:top w:val="none" w:sz="0" w:space="0" w:color="auto"/>
            <w:left w:val="none" w:sz="0" w:space="0" w:color="auto"/>
            <w:bottom w:val="none" w:sz="0" w:space="0" w:color="auto"/>
            <w:right w:val="none" w:sz="0" w:space="0" w:color="auto"/>
          </w:divBdr>
        </w:div>
      </w:divsChild>
    </w:div>
    <w:div w:id="1925727408">
      <w:bodyDiv w:val="1"/>
      <w:marLeft w:val="0"/>
      <w:marRight w:val="0"/>
      <w:marTop w:val="0"/>
      <w:marBottom w:val="0"/>
      <w:divBdr>
        <w:top w:val="none" w:sz="0" w:space="0" w:color="auto"/>
        <w:left w:val="none" w:sz="0" w:space="0" w:color="auto"/>
        <w:bottom w:val="none" w:sz="0" w:space="0" w:color="auto"/>
        <w:right w:val="none" w:sz="0" w:space="0" w:color="auto"/>
      </w:divBdr>
      <w:divsChild>
        <w:div w:id="1049106517">
          <w:marLeft w:val="0"/>
          <w:marRight w:val="0"/>
          <w:marTop w:val="0"/>
          <w:marBottom w:val="0"/>
          <w:divBdr>
            <w:top w:val="none" w:sz="0" w:space="0" w:color="auto"/>
            <w:left w:val="none" w:sz="0" w:space="0" w:color="auto"/>
            <w:bottom w:val="none" w:sz="0" w:space="0" w:color="auto"/>
            <w:right w:val="none" w:sz="0" w:space="0" w:color="auto"/>
          </w:divBdr>
        </w:div>
      </w:divsChild>
    </w:div>
    <w:div w:id="1935092477">
      <w:bodyDiv w:val="1"/>
      <w:marLeft w:val="0"/>
      <w:marRight w:val="0"/>
      <w:marTop w:val="0"/>
      <w:marBottom w:val="0"/>
      <w:divBdr>
        <w:top w:val="none" w:sz="0" w:space="0" w:color="auto"/>
        <w:left w:val="none" w:sz="0" w:space="0" w:color="auto"/>
        <w:bottom w:val="none" w:sz="0" w:space="0" w:color="auto"/>
        <w:right w:val="none" w:sz="0" w:space="0" w:color="auto"/>
      </w:divBdr>
      <w:divsChild>
        <w:div w:id="1368486546">
          <w:marLeft w:val="0"/>
          <w:marRight w:val="0"/>
          <w:marTop w:val="0"/>
          <w:marBottom w:val="0"/>
          <w:divBdr>
            <w:top w:val="none" w:sz="0" w:space="0" w:color="auto"/>
            <w:left w:val="none" w:sz="0" w:space="0" w:color="auto"/>
            <w:bottom w:val="none" w:sz="0" w:space="0" w:color="auto"/>
            <w:right w:val="none" w:sz="0" w:space="0" w:color="auto"/>
          </w:divBdr>
        </w:div>
        <w:div w:id="1853377964">
          <w:marLeft w:val="0"/>
          <w:marRight w:val="0"/>
          <w:marTop w:val="120"/>
          <w:marBottom w:val="0"/>
          <w:divBdr>
            <w:top w:val="none" w:sz="0" w:space="0" w:color="auto"/>
            <w:left w:val="none" w:sz="0" w:space="0" w:color="auto"/>
            <w:bottom w:val="none" w:sz="0" w:space="0" w:color="auto"/>
            <w:right w:val="none" w:sz="0" w:space="0" w:color="auto"/>
          </w:divBdr>
        </w:div>
      </w:divsChild>
    </w:div>
    <w:div w:id="1952593484">
      <w:bodyDiv w:val="1"/>
      <w:marLeft w:val="0"/>
      <w:marRight w:val="0"/>
      <w:marTop w:val="0"/>
      <w:marBottom w:val="0"/>
      <w:divBdr>
        <w:top w:val="none" w:sz="0" w:space="0" w:color="auto"/>
        <w:left w:val="none" w:sz="0" w:space="0" w:color="auto"/>
        <w:bottom w:val="none" w:sz="0" w:space="0" w:color="auto"/>
        <w:right w:val="none" w:sz="0" w:space="0" w:color="auto"/>
      </w:divBdr>
      <w:divsChild>
        <w:div w:id="402992436">
          <w:marLeft w:val="0"/>
          <w:marRight w:val="0"/>
          <w:marTop w:val="0"/>
          <w:marBottom w:val="0"/>
          <w:divBdr>
            <w:top w:val="none" w:sz="0" w:space="0" w:color="auto"/>
            <w:left w:val="none" w:sz="0" w:space="0" w:color="auto"/>
            <w:bottom w:val="none" w:sz="0" w:space="0" w:color="auto"/>
            <w:right w:val="none" w:sz="0" w:space="0" w:color="auto"/>
          </w:divBdr>
          <w:divsChild>
            <w:div w:id="440491319">
              <w:marLeft w:val="0"/>
              <w:marRight w:val="0"/>
              <w:marTop w:val="0"/>
              <w:marBottom w:val="0"/>
              <w:divBdr>
                <w:top w:val="none" w:sz="0" w:space="0" w:color="auto"/>
                <w:left w:val="none" w:sz="0" w:space="0" w:color="auto"/>
                <w:bottom w:val="none" w:sz="0" w:space="0" w:color="auto"/>
                <w:right w:val="none" w:sz="0" w:space="0" w:color="auto"/>
              </w:divBdr>
            </w:div>
          </w:divsChild>
        </w:div>
        <w:div w:id="1115174735">
          <w:marLeft w:val="0"/>
          <w:marRight w:val="0"/>
          <w:marTop w:val="0"/>
          <w:marBottom w:val="0"/>
          <w:divBdr>
            <w:top w:val="none" w:sz="0" w:space="0" w:color="auto"/>
            <w:left w:val="none" w:sz="0" w:space="0" w:color="auto"/>
            <w:bottom w:val="none" w:sz="0" w:space="0" w:color="auto"/>
            <w:right w:val="none" w:sz="0" w:space="0" w:color="auto"/>
          </w:divBdr>
          <w:divsChild>
            <w:div w:id="1496606989">
              <w:marLeft w:val="0"/>
              <w:marRight w:val="0"/>
              <w:marTop w:val="0"/>
              <w:marBottom w:val="0"/>
              <w:divBdr>
                <w:top w:val="none" w:sz="0" w:space="0" w:color="auto"/>
                <w:left w:val="none" w:sz="0" w:space="0" w:color="auto"/>
                <w:bottom w:val="none" w:sz="0" w:space="0" w:color="auto"/>
                <w:right w:val="none" w:sz="0" w:space="0" w:color="auto"/>
              </w:divBdr>
              <w:divsChild>
                <w:div w:id="391540713">
                  <w:marLeft w:val="0"/>
                  <w:marRight w:val="0"/>
                  <w:marTop w:val="0"/>
                  <w:marBottom w:val="0"/>
                  <w:divBdr>
                    <w:top w:val="none" w:sz="0" w:space="0" w:color="auto"/>
                    <w:left w:val="none" w:sz="0" w:space="0" w:color="auto"/>
                    <w:bottom w:val="none" w:sz="0" w:space="0" w:color="auto"/>
                    <w:right w:val="none" w:sz="0" w:space="0" w:color="auto"/>
                  </w:divBdr>
                  <w:divsChild>
                    <w:div w:id="1482691635">
                      <w:marLeft w:val="0"/>
                      <w:marRight w:val="0"/>
                      <w:marTop w:val="120"/>
                      <w:marBottom w:val="0"/>
                      <w:divBdr>
                        <w:top w:val="none" w:sz="0" w:space="0" w:color="auto"/>
                        <w:left w:val="none" w:sz="0" w:space="0" w:color="auto"/>
                        <w:bottom w:val="none" w:sz="0" w:space="0" w:color="auto"/>
                        <w:right w:val="none" w:sz="0" w:space="0" w:color="auto"/>
                      </w:divBdr>
                    </w:div>
                    <w:div w:id="1900169558">
                      <w:marLeft w:val="0"/>
                      <w:marRight w:val="0"/>
                      <w:marTop w:val="0"/>
                      <w:marBottom w:val="0"/>
                      <w:divBdr>
                        <w:top w:val="none" w:sz="0" w:space="0" w:color="auto"/>
                        <w:left w:val="none" w:sz="0" w:space="0" w:color="auto"/>
                        <w:bottom w:val="none" w:sz="0" w:space="0" w:color="auto"/>
                        <w:right w:val="none" w:sz="0" w:space="0" w:color="auto"/>
                      </w:divBdr>
                    </w:div>
                  </w:divsChild>
                </w:div>
                <w:div w:id="1576669761">
                  <w:marLeft w:val="0"/>
                  <w:marRight w:val="0"/>
                  <w:marTop w:val="0"/>
                  <w:marBottom w:val="0"/>
                  <w:divBdr>
                    <w:top w:val="none" w:sz="0" w:space="0" w:color="auto"/>
                    <w:left w:val="none" w:sz="0" w:space="0" w:color="auto"/>
                    <w:bottom w:val="none" w:sz="0" w:space="0" w:color="auto"/>
                    <w:right w:val="none" w:sz="0" w:space="0" w:color="auto"/>
                  </w:divBdr>
                  <w:divsChild>
                    <w:div w:id="397167092">
                      <w:marLeft w:val="0"/>
                      <w:marRight w:val="0"/>
                      <w:marTop w:val="120"/>
                      <w:marBottom w:val="0"/>
                      <w:divBdr>
                        <w:top w:val="none" w:sz="0" w:space="0" w:color="auto"/>
                        <w:left w:val="none" w:sz="0" w:space="0" w:color="auto"/>
                        <w:bottom w:val="none" w:sz="0" w:space="0" w:color="auto"/>
                        <w:right w:val="none" w:sz="0" w:space="0" w:color="auto"/>
                      </w:divBdr>
                    </w:div>
                    <w:div w:id="68151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4523334">
          <w:marLeft w:val="0"/>
          <w:marRight w:val="0"/>
          <w:marTop w:val="0"/>
          <w:marBottom w:val="0"/>
          <w:divBdr>
            <w:top w:val="none" w:sz="0" w:space="0" w:color="auto"/>
            <w:left w:val="none" w:sz="0" w:space="0" w:color="auto"/>
            <w:bottom w:val="none" w:sz="0" w:space="0" w:color="auto"/>
            <w:right w:val="none" w:sz="0" w:space="0" w:color="auto"/>
          </w:divBdr>
          <w:divsChild>
            <w:div w:id="2127045076">
              <w:marLeft w:val="0"/>
              <w:marRight w:val="0"/>
              <w:marTop w:val="0"/>
              <w:marBottom w:val="0"/>
              <w:divBdr>
                <w:top w:val="none" w:sz="0" w:space="0" w:color="auto"/>
                <w:left w:val="none" w:sz="0" w:space="0" w:color="auto"/>
                <w:bottom w:val="none" w:sz="0" w:space="0" w:color="auto"/>
                <w:right w:val="none" w:sz="0" w:space="0" w:color="auto"/>
              </w:divBdr>
            </w:div>
          </w:divsChild>
        </w:div>
        <w:div w:id="1503279602">
          <w:marLeft w:val="0"/>
          <w:marRight w:val="0"/>
          <w:marTop w:val="0"/>
          <w:marBottom w:val="0"/>
          <w:divBdr>
            <w:top w:val="none" w:sz="0" w:space="0" w:color="auto"/>
            <w:left w:val="none" w:sz="0" w:space="0" w:color="auto"/>
            <w:bottom w:val="none" w:sz="0" w:space="0" w:color="auto"/>
            <w:right w:val="none" w:sz="0" w:space="0" w:color="auto"/>
          </w:divBdr>
          <w:divsChild>
            <w:div w:id="833298957">
              <w:marLeft w:val="0"/>
              <w:marRight w:val="0"/>
              <w:marTop w:val="0"/>
              <w:marBottom w:val="0"/>
              <w:divBdr>
                <w:top w:val="none" w:sz="0" w:space="0" w:color="auto"/>
                <w:left w:val="none" w:sz="0" w:space="0" w:color="auto"/>
                <w:bottom w:val="none" w:sz="0" w:space="0" w:color="auto"/>
                <w:right w:val="none" w:sz="0" w:space="0" w:color="auto"/>
              </w:divBdr>
            </w:div>
          </w:divsChild>
        </w:div>
        <w:div w:id="1851135852">
          <w:marLeft w:val="0"/>
          <w:marRight w:val="0"/>
          <w:marTop w:val="0"/>
          <w:marBottom w:val="0"/>
          <w:divBdr>
            <w:top w:val="none" w:sz="0" w:space="0" w:color="auto"/>
            <w:left w:val="none" w:sz="0" w:space="0" w:color="auto"/>
            <w:bottom w:val="none" w:sz="0" w:space="0" w:color="auto"/>
            <w:right w:val="none" w:sz="0" w:space="0" w:color="auto"/>
          </w:divBdr>
          <w:divsChild>
            <w:div w:id="887835106">
              <w:marLeft w:val="0"/>
              <w:marRight w:val="0"/>
              <w:marTop w:val="0"/>
              <w:marBottom w:val="0"/>
              <w:divBdr>
                <w:top w:val="none" w:sz="0" w:space="0" w:color="auto"/>
                <w:left w:val="none" w:sz="0" w:space="0" w:color="auto"/>
                <w:bottom w:val="none" w:sz="0" w:space="0" w:color="auto"/>
                <w:right w:val="none" w:sz="0" w:space="0" w:color="auto"/>
              </w:divBdr>
              <w:divsChild>
                <w:div w:id="728268347">
                  <w:marLeft w:val="0"/>
                  <w:marRight w:val="0"/>
                  <w:marTop w:val="0"/>
                  <w:marBottom w:val="0"/>
                  <w:divBdr>
                    <w:top w:val="none" w:sz="0" w:space="0" w:color="auto"/>
                    <w:left w:val="none" w:sz="0" w:space="0" w:color="auto"/>
                    <w:bottom w:val="none" w:sz="0" w:space="0" w:color="auto"/>
                    <w:right w:val="none" w:sz="0" w:space="0" w:color="auto"/>
                  </w:divBdr>
                  <w:divsChild>
                    <w:div w:id="1768428719">
                      <w:marLeft w:val="0"/>
                      <w:marRight w:val="0"/>
                      <w:marTop w:val="120"/>
                      <w:marBottom w:val="0"/>
                      <w:divBdr>
                        <w:top w:val="none" w:sz="0" w:space="0" w:color="auto"/>
                        <w:left w:val="none" w:sz="0" w:space="0" w:color="auto"/>
                        <w:bottom w:val="none" w:sz="0" w:space="0" w:color="auto"/>
                        <w:right w:val="none" w:sz="0" w:space="0" w:color="auto"/>
                      </w:divBdr>
                    </w:div>
                    <w:div w:id="2042703633">
                      <w:marLeft w:val="0"/>
                      <w:marRight w:val="0"/>
                      <w:marTop w:val="0"/>
                      <w:marBottom w:val="0"/>
                      <w:divBdr>
                        <w:top w:val="none" w:sz="0" w:space="0" w:color="auto"/>
                        <w:left w:val="none" w:sz="0" w:space="0" w:color="auto"/>
                        <w:bottom w:val="none" w:sz="0" w:space="0" w:color="auto"/>
                        <w:right w:val="none" w:sz="0" w:space="0" w:color="auto"/>
                      </w:divBdr>
                    </w:div>
                  </w:divsChild>
                </w:div>
                <w:div w:id="972901524">
                  <w:marLeft w:val="0"/>
                  <w:marRight w:val="0"/>
                  <w:marTop w:val="0"/>
                  <w:marBottom w:val="0"/>
                  <w:divBdr>
                    <w:top w:val="none" w:sz="0" w:space="0" w:color="auto"/>
                    <w:left w:val="none" w:sz="0" w:space="0" w:color="auto"/>
                    <w:bottom w:val="none" w:sz="0" w:space="0" w:color="auto"/>
                    <w:right w:val="none" w:sz="0" w:space="0" w:color="auto"/>
                  </w:divBdr>
                  <w:divsChild>
                    <w:div w:id="360516393">
                      <w:marLeft w:val="0"/>
                      <w:marRight w:val="0"/>
                      <w:marTop w:val="120"/>
                      <w:marBottom w:val="0"/>
                      <w:divBdr>
                        <w:top w:val="none" w:sz="0" w:space="0" w:color="auto"/>
                        <w:left w:val="none" w:sz="0" w:space="0" w:color="auto"/>
                        <w:bottom w:val="none" w:sz="0" w:space="0" w:color="auto"/>
                        <w:right w:val="none" w:sz="0" w:space="0" w:color="auto"/>
                      </w:divBdr>
                    </w:div>
                    <w:div w:id="951859742">
                      <w:marLeft w:val="0"/>
                      <w:marRight w:val="0"/>
                      <w:marTop w:val="0"/>
                      <w:marBottom w:val="0"/>
                      <w:divBdr>
                        <w:top w:val="none" w:sz="0" w:space="0" w:color="auto"/>
                        <w:left w:val="none" w:sz="0" w:space="0" w:color="auto"/>
                        <w:bottom w:val="none" w:sz="0" w:space="0" w:color="auto"/>
                        <w:right w:val="none" w:sz="0" w:space="0" w:color="auto"/>
                      </w:divBdr>
                    </w:div>
                  </w:divsChild>
                </w:div>
                <w:div w:id="993722928">
                  <w:marLeft w:val="0"/>
                  <w:marRight w:val="0"/>
                  <w:marTop w:val="0"/>
                  <w:marBottom w:val="0"/>
                  <w:divBdr>
                    <w:top w:val="none" w:sz="0" w:space="0" w:color="auto"/>
                    <w:left w:val="none" w:sz="0" w:space="0" w:color="auto"/>
                    <w:bottom w:val="none" w:sz="0" w:space="0" w:color="auto"/>
                    <w:right w:val="none" w:sz="0" w:space="0" w:color="auto"/>
                  </w:divBdr>
                  <w:divsChild>
                    <w:div w:id="1539971495">
                      <w:marLeft w:val="0"/>
                      <w:marRight w:val="0"/>
                      <w:marTop w:val="0"/>
                      <w:marBottom w:val="0"/>
                      <w:divBdr>
                        <w:top w:val="none" w:sz="0" w:space="0" w:color="auto"/>
                        <w:left w:val="none" w:sz="0" w:space="0" w:color="auto"/>
                        <w:bottom w:val="none" w:sz="0" w:space="0" w:color="auto"/>
                        <w:right w:val="none" w:sz="0" w:space="0" w:color="auto"/>
                      </w:divBdr>
                    </w:div>
                    <w:div w:id="1764454080">
                      <w:marLeft w:val="0"/>
                      <w:marRight w:val="0"/>
                      <w:marTop w:val="120"/>
                      <w:marBottom w:val="0"/>
                      <w:divBdr>
                        <w:top w:val="none" w:sz="0" w:space="0" w:color="auto"/>
                        <w:left w:val="none" w:sz="0" w:space="0" w:color="auto"/>
                        <w:bottom w:val="none" w:sz="0" w:space="0" w:color="auto"/>
                        <w:right w:val="none" w:sz="0" w:space="0" w:color="auto"/>
                      </w:divBdr>
                    </w:div>
                  </w:divsChild>
                </w:div>
                <w:div w:id="1200700495">
                  <w:marLeft w:val="0"/>
                  <w:marRight w:val="0"/>
                  <w:marTop w:val="0"/>
                  <w:marBottom w:val="0"/>
                  <w:divBdr>
                    <w:top w:val="none" w:sz="0" w:space="0" w:color="auto"/>
                    <w:left w:val="none" w:sz="0" w:space="0" w:color="auto"/>
                    <w:bottom w:val="none" w:sz="0" w:space="0" w:color="auto"/>
                    <w:right w:val="none" w:sz="0" w:space="0" w:color="auto"/>
                  </w:divBdr>
                  <w:divsChild>
                    <w:div w:id="550843497">
                      <w:marLeft w:val="0"/>
                      <w:marRight w:val="0"/>
                      <w:marTop w:val="0"/>
                      <w:marBottom w:val="0"/>
                      <w:divBdr>
                        <w:top w:val="none" w:sz="0" w:space="0" w:color="auto"/>
                        <w:left w:val="none" w:sz="0" w:space="0" w:color="auto"/>
                        <w:bottom w:val="none" w:sz="0" w:space="0" w:color="auto"/>
                        <w:right w:val="none" w:sz="0" w:space="0" w:color="auto"/>
                      </w:divBdr>
                    </w:div>
                    <w:div w:id="1641882247">
                      <w:marLeft w:val="0"/>
                      <w:marRight w:val="0"/>
                      <w:marTop w:val="120"/>
                      <w:marBottom w:val="0"/>
                      <w:divBdr>
                        <w:top w:val="none" w:sz="0" w:space="0" w:color="auto"/>
                        <w:left w:val="none" w:sz="0" w:space="0" w:color="auto"/>
                        <w:bottom w:val="none" w:sz="0" w:space="0" w:color="auto"/>
                        <w:right w:val="none" w:sz="0" w:space="0" w:color="auto"/>
                      </w:divBdr>
                    </w:div>
                  </w:divsChild>
                </w:div>
                <w:div w:id="1210415860">
                  <w:marLeft w:val="0"/>
                  <w:marRight w:val="0"/>
                  <w:marTop w:val="0"/>
                  <w:marBottom w:val="0"/>
                  <w:divBdr>
                    <w:top w:val="none" w:sz="0" w:space="0" w:color="auto"/>
                    <w:left w:val="none" w:sz="0" w:space="0" w:color="auto"/>
                    <w:bottom w:val="none" w:sz="0" w:space="0" w:color="auto"/>
                    <w:right w:val="none" w:sz="0" w:space="0" w:color="auto"/>
                  </w:divBdr>
                  <w:divsChild>
                    <w:div w:id="382490669">
                      <w:marLeft w:val="0"/>
                      <w:marRight w:val="0"/>
                      <w:marTop w:val="0"/>
                      <w:marBottom w:val="0"/>
                      <w:divBdr>
                        <w:top w:val="none" w:sz="0" w:space="0" w:color="auto"/>
                        <w:left w:val="none" w:sz="0" w:space="0" w:color="auto"/>
                        <w:bottom w:val="none" w:sz="0" w:space="0" w:color="auto"/>
                        <w:right w:val="none" w:sz="0" w:space="0" w:color="auto"/>
                      </w:divBdr>
                    </w:div>
                    <w:div w:id="123824265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974480129">
      <w:bodyDiv w:val="1"/>
      <w:marLeft w:val="0"/>
      <w:marRight w:val="0"/>
      <w:marTop w:val="0"/>
      <w:marBottom w:val="0"/>
      <w:divBdr>
        <w:top w:val="none" w:sz="0" w:space="0" w:color="auto"/>
        <w:left w:val="none" w:sz="0" w:space="0" w:color="auto"/>
        <w:bottom w:val="none" w:sz="0" w:space="0" w:color="auto"/>
        <w:right w:val="none" w:sz="0" w:space="0" w:color="auto"/>
      </w:divBdr>
      <w:divsChild>
        <w:div w:id="952321096">
          <w:marLeft w:val="0"/>
          <w:marRight w:val="0"/>
          <w:marTop w:val="0"/>
          <w:marBottom w:val="0"/>
          <w:divBdr>
            <w:top w:val="none" w:sz="0" w:space="0" w:color="auto"/>
            <w:left w:val="none" w:sz="0" w:space="0" w:color="auto"/>
            <w:bottom w:val="none" w:sz="0" w:space="0" w:color="auto"/>
            <w:right w:val="none" w:sz="0" w:space="0" w:color="auto"/>
          </w:divBdr>
          <w:divsChild>
            <w:div w:id="985209242">
              <w:marLeft w:val="0"/>
              <w:marRight w:val="0"/>
              <w:marTop w:val="0"/>
              <w:marBottom w:val="0"/>
              <w:divBdr>
                <w:top w:val="none" w:sz="0" w:space="0" w:color="auto"/>
                <w:left w:val="none" w:sz="0" w:space="0" w:color="auto"/>
                <w:bottom w:val="none" w:sz="0" w:space="0" w:color="auto"/>
                <w:right w:val="none" w:sz="0" w:space="0" w:color="auto"/>
              </w:divBdr>
            </w:div>
          </w:divsChild>
        </w:div>
        <w:div w:id="1304850421">
          <w:marLeft w:val="0"/>
          <w:marRight w:val="0"/>
          <w:marTop w:val="0"/>
          <w:marBottom w:val="0"/>
          <w:divBdr>
            <w:top w:val="none" w:sz="0" w:space="0" w:color="auto"/>
            <w:left w:val="none" w:sz="0" w:space="0" w:color="auto"/>
            <w:bottom w:val="none" w:sz="0" w:space="0" w:color="auto"/>
            <w:right w:val="none" w:sz="0" w:space="0" w:color="auto"/>
          </w:divBdr>
          <w:divsChild>
            <w:div w:id="1220089272">
              <w:marLeft w:val="0"/>
              <w:marRight w:val="0"/>
              <w:marTop w:val="0"/>
              <w:marBottom w:val="0"/>
              <w:divBdr>
                <w:top w:val="none" w:sz="0" w:space="0" w:color="auto"/>
                <w:left w:val="none" w:sz="0" w:space="0" w:color="auto"/>
                <w:bottom w:val="none" w:sz="0" w:space="0" w:color="auto"/>
                <w:right w:val="none" w:sz="0" w:space="0" w:color="auto"/>
              </w:divBdr>
            </w:div>
          </w:divsChild>
        </w:div>
        <w:div w:id="1941722952">
          <w:marLeft w:val="0"/>
          <w:marRight w:val="0"/>
          <w:marTop w:val="0"/>
          <w:marBottom w:val="0"/>
          <w:divBdr>
            <w:top w:val="none" w:sz="0" w:space="0" w:color="auto"/>
            <w:left w:val="none" w:sz="0" w:space="0" w:color="auto"/>
            <w:bottom w:val="none" w:sz="0" w:space="0" w:color="auto"/>
            <w:right w:val="none" w:sz="0" w:space="0" w:color="auto"/>
          </w:divBdr>
          <w:divsChild>
            <w:div w:id="489180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01432">
      <w:bodyDiv w:val="1"/>
      <w:marLeft w:val="0"/>
      <w:marRight w:val="0"/>
      <w:marTop w:val="0"/>
      <w:marBottom w:val="0"/>
      <w:divBdr>
        <w:top w:val="none" w:sz="0" w:space="0" w:color="auto"/>
        <w:left w:val="none" w:sz="0" w:space="0" w:color="auto"/>
        <w:bottom w:val="none" w:sz="0" w:space="0" w:color="auto"/>
        <w:right w:val="none" w:sz="0" w:space="0" w:color="auto"/>
      </w:divBdr>
      <w:divsChild>
        <w:div w:id="1454521464">
          <w:marLeft w:val="0"/>
          <w:marRight w:val="0"/>
          <w:marTop w:val="0"/>
          <w:marBottom w:val="0"/>
          <w:divBdr>
            <w:top w:val="none" w:sz="0" w:space="0" w:color="auto"/>
            <w:left w:val="none" w:sz="0" w:space="0" w:color="auto"/>
            <w:bottom w:val="none" w:sz="0" w:space="0" w:color="auto"/>
            <w:right w:val="none" w:sz="0" w:space="0" w:color="auto"/>
          </w:divBdr>
          <w:divsChild>
            <w:div w:id="1754278076">
              <w:marLeft w:val="0"/>
              <w:marRight w:val="0"/>
              <w:marTop w:val="0"/>
              <w:marBottom w:val="0"/>
              <w:divBdr>
                <w:top w:val="none" w:sz="0" w:space="0" w:color="auto"/>
                <w:left w:val="none" w:sz="0" w:space="0" w:color="auto"/>
                <w:bottom w:val="none" w:sz="0" w:space="0" w:color="auto"/>
                <w:right w:val="none" w:sz="0" w:space="0" w:color="auto"/>
              </w:divBdr>
            </w:div>
          </w:divsChild>
        </w:div>
        <w:div w:id="1880504991">
          <w:marLeft w:val="0"/>
          <w:marRight w:val="0"/>
          <w:marTop w:val="0"/>
          <w:marBottom w:val="0"/>
          <w:divBdr>
            <w:top w:val="none" w:sz="0" w:space="0" w:color="auto"/>
            <w:left w:val="none" w:sz="0" w:space="0" w:color="auto"/>
            <w:bottom w:val="none" w:sz="0" w:space="0" w:color="auto"/>
            <w:right w:val="none" w:sz="0" w:space="0" w:color="auto"/>
          </w:divBdr>
          <w:divsChild>
            <w:div w:id="1768967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14197">
      <w:bodyDiv w:val="1"/>
      <w:marLeft w:val="0"/>
      <w:marRight w:val="0"/>
      <w:marTop w:val="0"/>
      <w:marBottom w:val="0"/>
      <w:divBdr>
        <w:top w:val="none" w:sz="0" w:space="0" w:color="auto"/>
        <w:left w:val="none" w:sz="0" w:space="0" w:color="auto"/>
        <w:bottom w:val="none" w:sz="0" w:space="0" w:color="auto"/>
        <w:right w:val="none" w:sz="0" w:space="0" w:color="auto"/>
      </w:divBdr>
      <w:divsChild>
        <w:div w:id="1568803814">
          <w:marLeft w:val="0"/>
          <w:marRight w:val="0"/>
          <w:marTop w:val="0"/>
          <w:marBottom w:val="0"/>
          <w:divBdr>
            <w:top w:val="none" w:sz="0" w:space="0" w:color="auto"/>
            <w:left w:val="none" w:sz="0" w:space="0" w:color="auto"/>
            <w:bottom w:val="none" w:sz="0" w:space="0" w:color="auto"/>
            <w:right w:val="none" w:sz="0" w:space="0" w:color="auto"/>
          </w:divBdr>
        </w:div>
      </w:divsChild>
    </w:div>
    <w:div w:id="2050259409">
      <w:bodyDiv w:val="1"/>
      <w:marLeft w:val="0"/>
      <w:marRight w:val="0"/>
      <w:marTop w:val="0"/>
      <w:marBottom w:val="0"/>
      <w:divBdr>
        <w:top w:val="none" w:sz="0" w:space="0" w:color="auto"/>
        <w:left w:val="none" w:sz="0" w:space="0" w:color="auto"/>
        <w:bottom w:val="none" w:sz="0" w:space="0" w:color="auto"/>
        <w:right w:val="none" w:sz="0" w:space="0" w:color="auto"/>
      </w:divBdr>
      <w:divsChild>
        <w:div w:id="749430200">
          <w:marLeft w:val="0"/>
          <w:marRight w:val="0"/>
          <w:marTop w:val="0"/>
          <w:marBottom w:val="0"/>
          <w:divBdr>
            <w:top w:val="none" w:sz="0" w:space="0" w:color="auto"/>
            <w:left w:val="none" w:sz="0" w:space="0" w:color="auto"/>
            <w:bottom w:val="none" w:sz="0" w:space="0" w:color="auto"/>
            <w:right w:val="none" w:sz="0" w:space="0" w:color="auto"/>
          </w:divBdr>
          <w:divsChild>
            <w:div w:id="268508838">
              <w:marLeft w:val="0"/>
              <w:marRight w:val="0"/>
              <w:marTop w:val="120"/>
              <w:marBottom w:val="0"/>
              <w:divBdr>
                <w:top w:val="none" w:sz="0" w:space="0" w:color="auto"/>
                <w:left w:val="none" w:sz="0" w:space="0" w:color="auto"/>
                <w:bottom w:val="none" w:sz="0" w:space="0" w:color="auto"/>
                <w:right w:val="none" w:sz="0" w:space="0" w:color="auto"/>
              </w:divBdr>
            </w:div>
            <w:div w:id="1339382321">
              <w:marLeft w:val="0"/>
              <w:marRight w:val="0"/>
              <w:marTop w:val="0"/>
              <w:marBottom w:val="0"/>
              <w:divBdr>
                <w:top w:val="none" w:sz="0" w:space="0" w:color="auto"/>
                <w:left w:val="none" w:sz="0" w:space="0" w:color="auto"/>
                <w:bottom w:val="none" w:sz="0" w:space="0" w:color="auto"/>
                <w:right w:val="none" w:sz="0" w:space="0" w:color="auto"/>
              </w:divBdr>
            </w:div>
          </w:divsChild>
        </w:div>
        <w:div w:id="1410611117">
          <w:marLeft w:val="0"/>
          <w:marRight w:val="0"/>
          <w:marTop w:val="0"/>
          <w:marBottom w:val="0"/>
          <w:divBdr>
            <w:top w:val="none" w:sz="0" w:space="0" w:color="auto"/>
            <w:left w:val="none" w:sz="0" w:space="0" w:color="auto"/>
            <w:bottom w:val="none" w:sz="0" w:space="0" w:color="auto"/>
            <w:right w:val="none" w:sz="0" w:space="0" w:color="auto"/>
          </w:divBdr>
          <w:divsChild>
            <w:div w:id="544760267">
              <w:marLeft w:val="0"/>
              <w:marRight w:val="0"/>
              <w:marTop w:val="0"/>
              <w:marBottom w:val="0"/>
              <w:divBdr>
                <w:top w:val="none" w:sz="0" w:space="0" w:color="auto"/>
                <w:left w:val="none" w:sz="0" w:space="0" w:color="auto"/>
                <w:bottom w:val="none" w:sz="0" w:space="0" w:color="auto"/>
                <w:right w:val="none" w:sz="0" w:space="0" w:color="auto"/>
              </w:divBdr>
            </w:div>
            <w:div w:id="1464620999">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056270138">
      <w:bodyDiv w:val="1"/>
      <w:marLeft w:val="0"/>
      <w:marRight w:val="0"/>
      <w:marTop w:val="0"/>
      <w:marBottom w:val="0"/>
      <w:divBdr>
        <w:top w:val="none" w:sz="0" w:space="0" w:color="auto"/>
        <w:left w:val="none" w:sz="0" w:space="0" w:color="auto"/>
        <w:bottom w:val="none" w:sz="0" w:space="0" w:color="auto"/>
        <w:right w:val="none" w:sz="0" w:space="0" w:color="auto"/>
      </w:divBdr>
      <w:divsChild>
        <w:div w:id="649597626">
          <w:marLeft w:val="0"/>
          <w:marRight w:val="0"/>
          <w:marTop w:val="0"/>
          <w:marBottom w:val="0"/>
          <w:divBdr>
            <w:top w:val="none" w:sz="0" w:space="0" w:color="auto"/>
            <w:left w:val="none" w:sz="0" w:space="0" w:color="auto"/>
            <w:bottom w:val="none" w:sz="0" w:space="0" w:color="auto"/>
            <w:right w:val="none" w:sz="0" w:space="0" w:color="auto"/>
          </w:divBdr>
        </w:div>
        <w:div w:id="1835685948">
          <w:marLeft w:val="0"/>
          <w:marRight w:val="0"/>
          <w:marTop w:val="120"/>
          <w:marBottom w:val="0"/>
          <w:divBdr>
            <w:top w:val="none" w:sz="0" w:space="0" w:color="auto"/>
            <w:left w:val="none" w:sz="0" w:space="0" w:color="auto"/>
            <w:bottom w:val="none" w:sz="0" w:space="0" w:color="auto"/>
            <w:right w:val="none" w:sz="0" w:space="0" w:color="auto"/>
          </w:divBdr>
        </w:div>
      </w:divsChild>
    </w:div>
    <w:div w:id="2078627551">
      <w:bodyDiv w:val="1"/>
      <w:marLeft w:val="0"/>
      <w:marRight w:val="0"/>
      <w:marTop w:val="0"/>
      <w:marBottom w:val="0"/>
      <w:divBdr>
        <w:top w:val="none" w:sz="0" w:space="0" w:color="auto"/>
        <w:left w:val="none" w:sz="0" w:space="0" w:color="auto"/>
        <w:bottom w:val="none" w:sz="0" w:space="0" w:color="auto"/>
        <w:right w:val="none" w:sz="0" w:space="0" w:color="auto"/>
      </w:divBdr>
      <w:divsChild>
        <w:div w:id="1226994759">
          <w:marLeft w:val="0"/>
          <w:marRight w:val="0"/>
          <w:marTop w:val="0"/>
          <w:marBottom w:val="0"/>
          <w:divBdr>
            <w:top w:val="none" w:sz="0" w:space="0" w:color="auto"/>
            <w:left w:val="none" w:sz="0" w:space="0" w:color="auto"/>
            <w:bottom w:val="none" w:sz="0" w:space="0" w:color="auto"/>
            <w:right w:val="none" w:sz="0" w:space="0" w:color="auto"/>
          </w:divBdr>
          <w:divsChild>
            <w:div w:id="592131095">
              <w:marLeft w:val="0"/>
              <w:marRight w:val="0"/>
              <w:marTop w:val="0"/>
              <w:marBottom w:val="0"/>
              <w:divBdr>
                <w:top w:val="none" w:sz="0" w:space="0" w:color="auto"/>
                <w:left w:val="none" w:sz="0" w:space="0" w:color="auto"/>
                <w:bottom w:val="none" w:sz="0" w:space="0" w:color="auto"/>
                <w:right w:val="none" w:sz="0" w:space="0" w:color="auto"/>
              </w:divBdr>
              <w:divsChild>
                <w:div w:id="134688468">
                  <w:marLeft w:val="0"/>
                  <w:marRight w:val="0"/>
                  <w:marTop w:val="0"/>
                  <w:marBottom w:val="0"/>
                  <w:divBdr>
                    <w:top w:val="none" w:sz="0" w:space="0" w:color="auto"/>
                    <w:left w:val="none" w:sz="0" w:space="0" w:color="auto"/>
                    <w:bottom w:val="none" w:sz="0" w:space="0" w:color="auto"/>
                    <w:right w:val="none" w:sz="0" w:space="0" w:color="auto"/>
                  </w:divBdr>
                </w:div>
                <w:div w:id="797994082">
                  <w:marLeft w:val="0"/>
                  <w:marRight w:val="0"/>
                  <w:marTop w:val="120"/>
                  <w:marBottom w:val="0"/>
                  <w:divBdr>
                    <w:top w:val="none" w:sz="0" w:space="0" w:color="auto"/>
                    <w:left w:val="none" w:sz="0" w:space="0" w:color="auto"/>
                    <w:bottom w:val="none" w:sz="0" w:space="0" w:color="auto"/>
                    <w:right w:val="none" w:sz="0" w:space="0" w:color="auto"/>
                  </w:divBdr>
                </w:div>
              </w:divsChild>
            </w:div>
            <w:div w:id="1150439488">
              <w:marLeft w:val="0"/>
              <w:marRight w:val="0"/>
              <w:marTop w:val="0"/>
              <w:marBottom w:val="0"/>
              <w:divBdr>
                <w:top w:val="none" w:sz="0" w:space="0" w:color="auto"/>
                <w:left w:val="none" w:sz="0" w:space="0" w:color="auto"/>
                <w:bottom w:val="none" w:sz="0" w:space="0" w:color="auto"/>
                <w:right w:val="none" w:sz="0" w:space="0" w:color="auto"/>
              </w:divBdr>
              <w:divsChild>
                <w:div w:id="889146522">
                  <w:marLeft w:val="0"/>
                  <w:marRight w:val="0"/>
                  <w:marTop w:val="0"/>
                  <w:marBottom w:val="0"/>
                  <w:divBdr>
                    <w:top w:val="none" w:sz="0" w:space="0" w:color="auto"/>
                    <w:left w:val="none" w:sz="0" w:space="0" w:color="auto"/>
                    <w:bottom w:val="none" w:sz="0" w:space="0" w:color="auto"/>
                    <w:right w:val="none" w:sz="0" w:space="0" w:color="auto"/>
                  </w:divBdr>
                </w:div>
                <w:div w:id="213575396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090929757">
      <w:bodyDiv w:val="1"/>
      <w:marLeft w:val="0"/>
      <w:marRight w:val="0"/>
      <w:marTop w:val="0"/>
      <w:marBottom w:val="0"/>
      <w:divBdr>
        <w:top w:val="none" w:sz="0" w:space="0" w:color="auto"/>
        <w:left w:val="none" w:sz="0" w:space="0" w:color="auto"/>
        <w:bottom w:val="none" w:sz="0" w:space="0" w:color="auto"/>
        <w:right w:val="none" w:sz="0" w:space="0" w:color="auto"/>
      </w:divBdr>
      <w:divsChild>
        <w:div w:id="984238697">
          <w:marLeft w:val="0"/>
          <w:marRight w:val="0"/>
          <w:marTop w:val="0"/>
          <w:marBottom w:val="0"/>
          <w:divBdr>
            <w:top w:val="none" w:sz="0" w:space="0" w:color="auto"/>
            <w:left w:val="none" w:sz="0" w:space="0" w:color="auto"/>
            <w:bottom w:val="none" w:sz="0" w:space="0" w:color="auto"/>
            <w:right w:val="none" w:sz="0" w:space="0" w:color="auto"/>
          </w:divBdr>
          <w:divsChild>
            <w:div w:id="710039506">
              <w:marLeft w:val="0"/>
              <w:marRight w:val="0"/>
              <w:marTop w:val="0"/>
              <w:marBottom w:val="0"/>
              <w:divBdr>
                <w:top w:val="none" w:sz="0" w:space="0" w:color="auto"/>
                <w:left w:val="none" w:sz="0" w:space="0" w:color="auto"/>
                <w:bottom w:val="none" w:sz="0" w:space="0" w:color="auto"/>
                <w:right w:val="none" w:sz="0" w:space="0" w:color="auto"/>
              </w:divBdr>
            </w:div>
            <w:div w:id="1464156476">
              <w:marLeft w:val="0"/>
              <w:marRight w:val="0"/>
              <w:marTop w:val="120"/>
              <w:marBottom w:val="0"/>
              <w:divBdr>
                <w:top w:val="none" w:sz="0" w:space="0" w:color="auto"/>
                <w:left w:val="none" w:sz="0" w:space="0" w:color="auto"/>
                <w:bottom w:val="none" w:sz="0" w:space="0" w:color="auto"/>
                <w:right w:val="none" w:sz="0" w:space="0" w:color="auto"/>
              </w:divBdr>
            </w:div>
          </w:divsChild>
        </w:div>
        <w:div w:id="2021541572">
          <w:marLeft w:val="0"/>
          <w:marRight w:val="0"/>
          <w:marTop w:val="0"/>
          <w:marBottom w:val="0"/>
          <w:divBdr>
            <w:top w:val="none" w:sz="0" w:space="0" w:color="auto"/>
            <w:left w:val="none" w:sz="0" w:space="0" w:color="auto"/>
            <w:bottom w:val="none" w:sz="0" w:space="0" w:color="auto"/>
            <w:right w:val="none" w:sz="0" w:space="0" w:color="auto"/>
          </w:divBdr>
          <w:divsChild>
            <w:div w:id="796029361">
              <w:marLeft w:val="0"/>
              <w:marRight w:val="0"/>
              <w:marTop w:val="120"/>
              <w:marBottom w:val="0"/>
              <w:divBdr>
                <w:top w:val="none" w:sz="0" w:space="0" w:color="auto"/>
                <w:left w:val="none" w:sz="0" w:space="0" w:color="auto"/>
                <w:bottom w:val="none" w:sz="0" w:space="0" w:color="auto"/>
                <w:right w:val="none" w:sz="0" w:space="0" w:color="auto"/>
              </w:divBdr>
            </w:div>
            <w:div w:id="117495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087921">
      <w:bodyDiv w:val="1"/>
      <w:marLeft w:val="0"/>
      <w:marRight w:val="0"/>
      <w:marTop w:val="0"/>
      <w:marBottom w:val="0"/>
      <w:divBdr>
        <w:top w:val="none" w:sz="0" w:space="0" w:color="auto"/>
        <w:left w:val="none" w:sz="0" w:space="0" w:color="auto"/>
        <w:bottom w:val="none" w:sz="0" w:space="0" w:color="auto"/>
        <w:right w:val="none" w:sz="0" w:space="0" w:color="auto"/>
      </w:divBdr>
      <w:divsChild>
        <w:div w:id="1241910723">
          <w:marLeft w:val="0"/>
          <w:marRight w:val="0"/>
          <w:marTop w:val="0"/>
          <w:marBottom w:val="0"/>
          <w:divBdr>
            <w:top w:val="none" w:sz="0" w:space="0" w:color="auto"/>
            <w:left w:val="none" w:sz="0" w:space="0" w:color="auto"/>
            <w:bottom w:val="none" w:sz="0" w:space="0" w:color="auto"/>
            <w:right w:val="none" w:sz="0" w:space="0" w:color="auto"/>
          </w:divBdr>
        </w:div>
      </w:divsChild>
    </w:div>
    <w:div w:id="2095783582">
      <w:bodyDiv w:val="1"/>
      <w:marLeft w:val="0"/>
      <w:marRight w:val="0"/>
      <w:marTop w:val="0"/>
      <w:marBottom w:val="0"/>
      <w:divBdr>
        <w:top w:val="none" w:sz="0" w:space="0" w:color="auto"/>
        <w:left w:val="none" w:sz="0" w:space="0" w:color="auto"/>
        <w:bottom w:val="none" w:sz="0" w:space="0" w:color="auto"/>
        <w:right w:val="none" w:sz="0" w:space="0" w:color="auto"/>
      </w:divBdr>
      <w:divsChild>
        <w:div w:id="13852545">
          <w:marLeft w:val="0"/>
          <w:marRight w:val="0"/>
          <w:marTop w:val="0"/>
          <w:marBottom w:val="0"/>
          <w:divBdr>
            <w:top w:val="none" w:sz="0" w:space="0" w:color="auto"/>
            <w:left w:val="none" w:sz="0" w:space="0" w:color="auto"/>
            <w:bottom w:val="none" w:sz="0" w:space="0" w:color="auto"/>
            <w:right w:val="none" w:sz="0" w:space="0" w:color="auto"/>
          </w:divBdr>
        </w:div>
        <w:div w:id="330956886">
          <w:marLeft w:val="0"/>
          <w:marRight w:val="0"/>
          <w:marTop w:val="0"/>
          <w:marBottom w:val="0"/>
          <w:divBdr>
            <w:top w:val="none" w:sz="0" w:space="0" w:color="auto"/>
            <w:left w:val="none" w:sz="0" w:space="0" w:color="auto"/>
            <w:bottom w:val="none" w:sz="0" w:space="0" w:color="auto"/>
            <w:right w:val="none" w:sz="0" w:space="0" w:color="auto"/>
          </w:divBdr>
          <w:divsChild>
            <w:div w:id="230652190">
              <w:marLeft w:val="0"/>
              <w:marRight w:val="0"/>
              <w:marTop w:val="0"/>
              <w:marBottom w:val="0"/>
              <w:divBdr>
                <w:top w:val="none" w:sz="0" w:space="0" w:color="auto"/>
                <w:left w:val="none" w:sz="0" w:space="0" w:color="auto"/>
                <w:bottom w:val="none" w:sz="0" w:space="0" w:color="auto"/>
                <w:right w:val="none" w:sz="0" w:space="0" w:color="auto"/>
              </w:divBdr>
            </w:div>
            <w:div w:id="287853517">
              <w:marLeft w:val="0"/>
              <w:marRight w:val="0"/>
              <w:marTop w:val="120"/>
              <w:marBottom w:val="0"/>
              <w:divBdr>
                <w:top w:val="none" w:sz="0" w:space="0" w:color="auto"/>
                <w:left w:val="none" w:sz="0" w:space="0" w:color="auto"/>
                <w:bottom w:val="none" w:sz="0" w:space="0" w:color="auto"/>
                <w:right w:val="none" w:sz="0" w:space="0" w:color="auto"/>
              </w:divBdr>
            </w:div>
          </w:divsChild>
        </w:div>
        <w:div w:id="1014267628">
          <w:marLeft w:val="0"/>
          <w:marRight w:val="0"/>
          <w:marTop w:val="0"/>
          <w:marBottom w:val="0"/>
          <w:divBdr>
            <w:top w:val="none" w:sz="0" w:space="0" w:color="auto"/>
            <w:left w:val="none" w:sz="0" w:space="0" w:color="auto"/>
            <w:bottom w:val="none" w:sz="0" w:space="0" w:color="auto"/>
            <w:right w:val="none" w:sz="0" w:space="0" w:color="auto"/>
          </w:divBdr>
          <w:divsChild>
            <w:div w:id="62487193">
              <w:marLeft w:val="0"/>
              <w:marRight w:val="0"/>
              <w:marTop w:val="120"/>
              <w:marBottom w:val="0"/>
              <w:divBdr>
                <w:top w:val="none" w:sz="0" w:space="0" w:color="auto"/>
                <w:left w:val="none" w:sz="0" w:space="0" w:color="auto"/>
                <w:bottom w:val="none" w:sz="0" w:space="0" w:color="auto"/>
                <w:right w:val="none" w:sz="0" w:space="0" w:color="auto"/>
              </w:divBdr>
            </w:div>
            <w:div w:id="1928921593">
              <w:marLeft w:val="0"/>
              <w:marRight w:val="0"/>
              <w:marTop w:val="0"/>
              <w:marBottom w:val="0"/>
              <w:divBdr>
                <w:top w:val="none" w:sz="0" w:space="0" w:color="auto"/>
                <w:left w:val="none" w:sz="0" w:space="0" w:color="auto"/>
                <w:bottom w:val="none" w:sz="0" w:space="0" w:color="auto"/>
                <w:right w:val="none" w:sz="0" w:space="0" w:color="auto"/>
              </w:divBdr>
            </w:div>
          </w:divsChild>
        </w:div>
        <w:div w:id="1400399943">
          <w:marLeft w:val="0"/>
          <w:marRight w:val="0"/>
          <w:marTop w:val="0"/>
          <w:marBottom w:val="0"/>
          <w:divBdr>
            <w:top w:val="none" w:sz="0" w:space="0" w:color="auto"/>
            <w:left w:val="none" w:sz="0" w:space="0" w:color="auto"/>
            <w:bottom w:val="none" w:sz="0" w:space="0" w:color="auto"/>
            <w:right w:val="none" w:sz="0" w:space="0" w:color="auto"/>
          </w:divBdr>
          <w:divsChild>
            <w:div w:id="1195575192">
              <w:marLeft w:val="0"/>
              <w:marRight w:val="0"/>
              <w:marTop w:val="0"/>
              <w:marBottom w:val="0"/>
              <w:divBdr>
                <w:top w:val="none" w:sz="0" w:space="0" w:color="auto"/>
                <w:left w:val="none" w:sz="0" w:space="0" w:color="auto"/>
                <w:bottom w:val="none" w:sz="0" w:space="0" w:color="auto"/>
                <w:right w:val="none" w:sz="0" w:space="0" w:color="auto"/>
              </w:divBdr>
            </w:div>
            <w:div w:id="128951190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2100247969">
      <w:bodyDiv w:val="1"/>
      <w:marLeft w:val="0"/>
      <w:marRight w:val="0"/>
      <w:marTop w:val="0"/>
      <w:marBottom w:val="0"/>
      <w:divBdr>
        <w:top w:val="none" w:sz="0" w:space="0" w:color="auto"/>
        <w:left w:val="none" w:sz="0" w:space="0" w:color="auto"/>
        <w:bottom w:val="none" w:sz="0" w:space="0" w:color="auto"/>
        <w:right w:val="none" w:sz="0" w:space="0" w:color="auto"/>
      </w:divBdr>
      <w:divsChild>
        <w:div w:id="194470078">
          <w:marLeft w:val="0"/>
          <w:marRight w:val="0"/>
          <w:marTop w:val="0"/>
          <w:marBottom w:val="0"/>
          <w:divBdr>
            <w:top w:val="none" w:sz="0" w:space="0" w:color="auto"/>
            <w:left w:val="none" w:sz="0" w:space="0" w:color="auto"/>
            <w:bottom w:val="none" w:sz="0" w:space="0" w:color="auto"/>
            <w:right w:val="none" w:sz="0" w:space="0" w:color="auto"/>
          </w:divBdr>
          <w:divsChild>
            <w:div w:id="808745459">
              <w:marLeft w:val="0"/>
              <w:marRight w:val="0"/>
              <w:marTop w:val="0"/>
              <w:marBottom w:val="0"/>
              <w:divBdr>
                <w:top w:val="none" w:sz="0" w:space="0" w:color="auto"/>
                <w:left w:val="none" w:sz="0" w:space="0" w:color="auto"/>
                <w:bottom w:val="none" w:sz="0" w:space="0" w:color="auto"/>
                <w:right w:val="none" w:sz="0" w:space="0" w:color="auto"/>
              </w:divBdr>
            </w:div>
          </w:divsChild>
        </w:div>
        <w:div w:id="979768079">
          <w:marLeft w:val="0"/>
          <w:marRight w:val="0"/>
          <w:marTop w:val="0"/>
          <w:marBottom w:val="0"/>
          <w:divBdr>
            <w:top w:val="none" w:sz="0" w:space="0" w:color="auto"/>
            <w:left w:val="none" w:sz="0" w:space="0" w:color="auto"/>
            <w:bottom w:val="none" w:sz="0" w:space="0" w:color="auto"/>
            <w:right w:val="none" w:sz="0" w:space="0" w:color="auto"/>
          </w:divBdr>
          <w:divsChild>
            <w:div w:id="644821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418042">
      <w:bodyDiv w:val="1"/>
      <w:marLeft w:val="0"/>
      <w:marRight w:val="0"/>
      <w:marTop w:val="0"/>
      <w:marBottom w:val="0"/>
      <w:divBdr>
        <w:top w:val="none" w:sz="0" w:space="0" w:color="auto"/>
        <w:left w:val="none" w:sz="0" w:space="0" w:color="auto"/>
        <w:bottom w:val="none" w:sz="0" w:space="0" w:color="auto"/>
        <w:right w:val="none" w:sz="0" w:space="0" w:color="auto"/>
      </w:divBdr>
      <w:divsChild>
        <w:div w:id="53358955">
          <w:marLeft w:val="0"/>
          <w:marRight w:val="0"/>
          <w:marTop w:val="0"/>
          <w:marBottom w:val="0"/>
          <w:divBdr>
            <w:top w:val="none" w:sz="0" w:space="0" w:color="auto"/>
            <w:left w:val="none" w:sz="0" w:space="0" w:color="auto"/>
            <w:bottom w:val="none" w:sz="0" w:space="0" w:color="auto"/>
            <w:right w:val="none" w:sz="0" w:space="0" w:color="auto"/>
          </w:divBdr>
          <w:divsChild>
            <w:div w:id="689451249">
              <w:marLeft w:val="0"/>
              <w:marRight w:val="0"/>
              <w:marTop w:val="120"/>
              <w:marBottom w:val="0"/>
              <w:divBdr>
                <w:top w:val="none" w:sz="0" w:space="0" w:color="auto"/>
                <w:left w:val="none" w:sz="0" w:space="0" w:color="auto"/>
                <w:bottom w:val="none" w:sz="0" w:space="0" w:color="auto"/>
                <w:right w:val="none" w:sz="0" w:space="0" w:color="auto"/>
              </w:divBdr>
            </w:div>
            <w:div w:id="916940520">
              <w:marLeft w:val="0"/>
              <w:marRight w:val="0"/>
              <w:marTop w:val="0"/>
              <w:marBottom w:val="0"/>
              <w:divBdr>
                <w:top w:val="none" w:sz="0" w:space="0" w:color="auto"/>
                <w:left w:val="none" w:sz="0" w:space="0" w:color="auto"/>
                <w:bottom w:val="none" w:sz="0" w:space="0" w:color="auto"/>
                <w:right w:val="none" w:sz="0" w:space="0" w:color="auto"/>
              </w:divBdr>
            </w:div>
          </w:divsChild>
        </w:div>
        <w:div w:id="1187716551">
          <w:marLeft w:val="0"/>
          <w:marRight w:val="0"/>
          <w:marTop w:val="0"/>
          <w:marBottom w:val="0"/>
          <w:divBdr>
            <w:top w:val="none" w:sz="0" w:space="0" w:color="auto"/>
            <w:left w:val="none" w:sz="0" w:space="0" w:color="auto"/>
            <w:bottom w:val="none" w:sz="0" w:space="0" w:color="auto"/>
            <w:right w:val="none" w:sz="0" w:space="0" w:color="auto"/>
          </w:divBdr>
          <w:divsChild>
            <w:div w:id="10962754">
              <w:marLeft w:val="0"/>
              <w:marRight w:val="0"/>
              <w:marTop w:val="0"/>
              <w:marBottom w:val="0"/>
              <w:divBdr>
                <w:top w:val="none" w:sz="0" w:space="0" w:color="auto"/>
                <w:left w:val="none" w:sz="0" w:space="0" w:color="auto"/>
                <w:bottom w:val="none" w:sz="0" w:space="0" w:color="auto"/>
                <w:right w:val="none" w:sz="0" w:space="0" w:color="auto"/>
              </w:divBdr>
            </w:div>
            <w:div w:id="1763649862">
              <w:marLeft w:val="0"/>
              <w:marRight w:val="0"/>
              <w:marTop w:val="120"/>
              <w:marBottom w:val="0"/>
              <w:divBdr>
                <w:top w:val="none" w:sz="0" w:space="0" w:color="auto"/>
                <w:left w:val="none" w:sz="0" w:space="0" w:color="auto"/>
                <w:bottom w:val="none" w:sz="0" w:space="0" w:color="auto"/>
                <w:right w:val="none" w:sz="0" w:space="0" w:color="auto"/>
              </w:divBdr>
            </w:div>
          </w:divsChild>
        </w:div>
        <w:div w:id="1569879474">
          <w:marLeft w:val="0"/>
          <w:marRight w:val="0"/>
          <w:marTop w:val="0"/>
          <w:marBottom w:val="0"/>
          <w:divBdr>
            <w:top w:val="none" w:sz="0" w:space="0" w:color="auto"/>
            <w:left w:val="none" w:sz="0" w:space="0" w:color="auto"/>
            <w:bottom w:val="none" w:sz="0" w:space="0" w:color="auto"/>
            <w:right w:val="none" w:sz="0" w:space="0" w:color="auto"/>
          </w:divBdr>
          <w:divsChild>
            <w:div w:id="258218959">
              <w:marLeft w:val="0"/>
              <w:marRight w:val="0"/>
              <w:marTop w:val="0"/>
              <w:marBottom w:val="0"/>
              <w:divBdr>
                <w:top w:val="none" w:sz="0" w:space="0" w:color="auto"/>
                <w:left w:val="none" w:sz="0" w:space="0" w:color="auto"/>
                <w:bottom w:val="none" w:sz="0" w:space="0" w:color="auto"/>
                <w:right w:val="none" w:sz="0" w:space="0" w:color="auto"/>
              </w:divBdr>
            </w:div>
            <w:div w:id="570192000">
              <w:marLeft w:val="0"/>
              <w:marRight w:val="0"/>
              <w:marTop w:val="120"/>
              <w:marBottom w:val="0"/>
              <w:divBdr>
                <w:top w:val="none" w:sz="0" w:space="0" w:color="auto"/>
                <w:left w:val="none" w:sz="0" w:space="0" w:color="auto"/>
                <w:bottom w:val="none" w:sz="0" w:space="0" w:color="auto"/>
                <w:right w:val="none" w:sz="0" w:space="0" w:color="auto"/>
              </w:divBdr>
            </w:div>
          </w:divsChild>
        </w:div>
        <w:div w:id="1748532474">
          <w:marLeft w:val="0"/>
          <w:marRight w:val="0"/>
          <w:marTop w:val="0"/>
          <w:marBottom w:val="0"/>
          <w:divBdr>
            <w:top w:val="none" w:sz="0" w:space="0" w:color="auto"/>
            <w:left w:val="none" w:sz="0" w:space="0" w:color="auto"/>
            <w:bottom w:val="none" w:sz="0" w:space="0" w:color="auto"/>
            <w:right w:val="none" w:sz="0" w:space="0" w:color="auto"/>
          </w:divBdr>
          <w:divsChild>
            <w:div w:id="1320228207">
              <w:marLeft w:val="0"/>
              <w:marRight w:val="0"/>
              <w:marTop w:val="120"/>
              <w:marBottom w:val="0"/>
              <w:divBdr>
                <w:top w:val="none" w:sz="0" w:space="0" w:color="auto"/>
                <w:left w:val="none" w:sz="0" w:space="0" w:color="auto"/>
                <w:bottom w:val="none" w:sz="0" w:space="0" w:color="auto"/>
                <w:right w:val="none" w:sz="0" w:space="0" w:color="auto"/>
              </w:divBdr>
            </w:div>
            <w:div w:id="1655523683">
              <w:marLeft w:val="0"/>
              <w:marRight w:val="0"/>
              <w:marTop w:val="0"/>
              <w:marBottom w:val="0"/>
              <w:divBdr>
                <w:top w:val="none" w:sz="0" w:space="0" w:color="auto"/>
                <w:left w:val="none" w:sz="0" w:space="0" w:color="auto"/>
                <w:bottom w:val="none" w:sz="0" w:space="0" w:color="auto"/>
                <w:right w:val="none" w:sz="0" w:space="0" w:color="auto"/>
              </w:divBdr>
            </w:div>
          </w:divsChild>
        </w:div>
        <w:div w:id="2030833903">
          <w:marLeft w:val="0"/>
          <w:marRight w:val="0"/>
          <w:marTop w:val="0"/>
          <w:marBottom w:val="0"/>
          <w:divBdr>
            <w:top w:val="none" w:sz="0" w:space="0" w:color="auto"/>
            <w:left w:val="none" w:sz="0" w:space="0" w:color="auto"/>
            <w:bottom w:val="none" w:sz="0" w:space="0" w:color="auto"/>
            <w:right w:val="none" w:sz="0" w:space="0" w:color="auto"/>
          </w:divBdr>
          <w:divsChild>
            <w:div w:id="1686905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483119">
      <w:bodyDiv w:val="1"/>
      <w:marLeft w:val="0"/>
      <w:marRight w:val="0"/>
      <w:marTop w:val="0"/>
      <w:marBottom w:val="0"/>
      <w:divBdr>
        <w:top w:val="none" w:sz="0" w:space="0" w:color="auto"/>
        <w:left w:val="none" w:sz="0" w:space="0" w:color="auto"/>
        <w:bottom w:val="none" w:sz="0" w:space="0" w:color="auto"/>
        <w:right w:val="none" w:sz="0" w:space="0" w:color="auto"/>
      </w:divBdr>
    </w:div>
    <w:div w:id="2121562569">
      <w:bodyDiv w:val="1"/>
      <w:marLeft w:val="0"/>
      <w:marRight w:val="0"/>
      <w:marTop w:val="0"/>
      <w:marBottom w:val="0"/>
      <w:divBdr>
        <w:top w:val="none" w:sz="0" w:space="0" w:color="auto"/>
        <w:left w:val="none" w:sz="0" w:space="0" w:color="auto"/>
        <w:bottom w:val="none" w:sz="0" w:space="0" w:color="auto"/>
        <w:right w:val="none" w:sz="0" w:space="0" w:color="auto"/>
      </w:divBdr>
    </w:div>
    <w:div w:id="2126189339">
      <w:bodyDiv w:val="1"/>
      <w:marLeft w:val="0"/>
      <w:marRight w:val="0"/>
      <w:marTop w:val="0"/>
      <w:marBottom w:val="0"/>
      <w:divBdr>
        <w:top w:val="none" w:sz="0" w:space="0" w:color="auto"/>
        <w:left w:val="none" w:sz="0" w:space="0" w:color="auto"/>
        <w:bottom w:val="none" w:sz="0" w:space="0" w:color="auto"/>
        <w:right w:val="none" w:sz="0" w:space="0" w:color="auto"/>
      </w:divBdr>
    </w:div>
    <w:div w:id="2126266026">
      <w:bodyDiv w:val="1"/>
      <w:marLeft w:val="0"/>
      <w:marRight w:val="0"/>
      <w:marTop w:val="0"/>
      <w:marBottom w:val="0"/>
      <w:divBdr>
        <w:top w:val="none" w:sz="0" w:space="0" w:color="auto"/>
        <w:left w:val="none" w:sz="0" w:space="0" w:color="auto"/>
        <w:bottom w:val="none" w:sz="0" w:space="0" w:color="auto"/>
        <w:right w:val="none" w:sz="0" w:space="0" w:color="auto"/>
      </w:divBdr>
      <w:divsChild>
        <w:div w:id="446316071">
          <w:marLeft w:val="0"/>
          <w:marRight w:val="0"/>
          <w:marTop w:val="0"/>
          <w:marBottom w:val="0"/>
          <w:divBdr>
            <w:top w:val="none" w:sz="0" w:space="0" w:color="auto"/>
            <w:left w:val="none" w:sz="0" w:space="0" w:color="auto"/>
            <w:bottom w:val="none" w:sz="0" w:space="0" w:color="auto"/>
            <w:right w:val="none" w:sz="0" w:space="0" w:color="auto"/>
          </w:divBdr>
          <w:divsChild>
            <w:div w:id="1124423136">
              <w:marLeft w:val="0"/>
              <w:marRight w:val="0"/>
              <w:marTop w:val="0"/>
              <w:marBottom w:val="0"/>
              <w:divBdr>
                <w:top w:val="none" w:sz="0" w:space="0" w:color="auto"/>
                <w:left w:val="none" w:sz="0" w:space="0" w:color="auto"/>
                <w:bottom w:val="none" w:sz="0" w:space="0" w:color="auto"/>
                <w:right w:val="none" w:sz="0" w:space="0" w:color="auto"/>
              </w:divBdr>
            </w:div>
          </w:divsChild>
        </w:div>
        <w:div w:id="483008921">
          <w:marLeft w:val="0"/>
          <w:marRight w:val="0"/>
          <w:marTop w:val="0"/>
          <w:marBottom w:val="0"/>
          <w:divBdr>
            <w:top w:val="none" w:sz="0" w:space="0" w:color="auto"/>
            <w:left w:val="none" w:sz="0" w:space="0" w:color="auto"/>
            <w:bottom w:val="none" w:sz="0" w:space="0" w:color="auto"/>
            <w:right w:val="none" w:sz="0" w:space="0" w:color="auto"/>
          </w:divBdr>
          <w:divsChild>
            <w:div w:id="126414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935421">
      <w:bodyDiv w:val="1"/>
      <w:marLeft w:val="0"/>
      <w:marRight w:val="0"/>
      <w:marTop w:val="0"/>
      <w:marBottom w:val="0"/>
      <w:divBdr>
        <w:top w:val="none" w:sz="0" w:space="0" w:color="auto"/>
        <w:left w:val="none" w:sz="0" w:space="0" w:color="auto"/>
        <w:bottom w:val="none" w:sz="0" w:space="0" w:color="auto"/>
        <w:right w:val="none" w:sz="0" w:space="0" w:color="auto"/>
      </w:divBdr>
      <w:divsChild>
        <w:div w:id="371728052">
          <w:marLeft w:val="0"/>
          <w:marRight w:val="0"/>
          <w:marTop w:val="0"/>
          <w:marBottom w:val="0"/>
          <w:divBdr>
            <w:top w:val="none" w:sz="0" w:space="0" w:color="auto"/>
            <w:left w:val="none" w:sz="0" w:space="0" w:color="auto"/>
            <w:bottom w:val="none" w:sz="0" w:space="0" w:color="auto"/>
            <w:right w:val="none" w:sz="0" w:space="0" w:color="auto"/>
          </w:divBdr>
          <w:divsChild>
            <w:div w:id="654145238">
              <w:marLeft w:val="0"/>
              <w:marRight w:val="0"/>
              <w:marTop w:val="0"/>
              <w:marBottom w:val="0"/>
              <w:divBdr>
                <w:top w:val="none" w:sz="0" w:space="0" w:color="auto"/>
                <w:left w:val="none" w:sz="0" w:space="0" w:color="auto"/>
                <w:bottom w:val="none" w:sz="0" w:space="0" w:color="auto"/>
                <w:right w:val="none" w:sz="0" w:space="0" w:color="auto"/>
              </w:divBdr>
              <w:divsChild>
                <w:div w:id="63526515">
                  <w:marLeft w:val="0"/>
                  <w:marRight w:val="0"/>
                  <w:marTop w:val="0"/>
                  <w:marBottom w:val="0"/>
                  <w:divBdr>
                    <w:top w:val="none" w:sz="0" w:space="0" w:color="auto"/>
                    <w:left w:val="none" w:sz="0" w:space="0" w:color="auto"/>
                    <w:bottom w:val="none" w:sz="0" w:space="0" w:color="auto"/>
                    <w:right w:val="none" w:sz="0" w:space="0" w:color="auto"/>
                  </w:divBdr>
                  <w:divsChild>
                    <w:div w:id="1954943394">
                      <w:marLeft w:val="0"/>
                      <w:marRight w:val="0"/>
                      <w:marTop w:val="0"/>
                      <w:marBottom w:val="0"/>
                      <w:divBdr>
                        <w:top w:val="none" w:sz="0" w:space="0" w:color="auto"/>
                        <w:left w:val="none" w:sz="0" w:space="0" w:color="auto"/>
                        <w:bottom w:val="none" w:sz="0" w:space="0" w:color="auto"/>
                        <w:right w:val="none" w:sz="0" w:space="0" w:color="auto"/>
                      </w:divBdr>
                    </w:div>
                    <w:div w:id="2049066926">
                      <w:marLeft w:val="0"/>
                      <w:marRight w:val="0"/>
                      <w:marTop w:val="120"/>
                      <w:marBottom w:val="0"/>
                      <w:divBdr>
                        <w:top w:val="none" w:sz="0" w:space="0" w:color="auto"/>
                        <w:left w:val="none" w:sz="0" w:space="0" w:color="auto"/>
                        <w:bottom w:val="none" w:sz="0" w:space="0" w:color="auto"/>
                        <w:right w:val="none" w:sz="0" w:space="0" w:color="auto"/>
                      </w:divBdr>
                    </w:div>
                  </w:divsChild>
                </w:div>
                <w:div w:id="331954047">
                  <w:marLeft w:val="0"/>
                  <w:marRight w:val="0"/>
                  <w:marTop w:val="0"/>
                  <w:marBottom w:val="0"/>
                  <w:divBdr>
                    <w:top w:val="none" w:sz="0" w:space="0" w:color="auto"/>
                    <w:left w:val="none" w:sz="0" w:space="0" w:color="auto"/>
                    <w:bottom w:val="none" w:sz="0" w:space="0" w:color="auto"/>
                    <w:right w:val="none" w:sz="0" w:space="0" w:color="auto"/>
                  </w:divBdr>
                  <w:divsChild>
                    <w:div w:id="1191996522">
                      <w:marLeft w:val="0"/>
                      <w:marRight w:val="0"/>
                      <w:marTop w:val="120"/>
                      <w:marBottom w:val="0"/>
                      <w:divBdr>
                        <w:top w:val="none" w:sz="0" w:space="0" w:color="auto"/>
                        <w:left w:val="none" w:sz="0" w:space="0" w:color="auto"/>
                        <w:bottom w:val="none" w:sz="0" w:space="0" w:color="auto"/>
                        <w:right w:val="none" w:sz="0" w:space="0" w:color="auto"/>
                      </w:divBdr>
                    </w:div>
                    <w:div w:id="1427379709">
                      <w:marLeft w:val="0"/>
                      <w:marRight w:val="0"/>
                      <w:marTop w:val="0"/>
                      <w:marBottom w:val="0"/>
                      <w:divBdr>
                        <w:top w:val="none" w:sz="0" w:space="0" w:color="auto"/>
                        <w:left w:val="none" w:sz="0" w:space="0" w:color="auto"/>
                        <w:bottom w:val="none" w:sz="0" w:space="0" w:color="auto"/>
                        <w:right w:val="none" w:sz="0" w:space="0" w:color="auto"/>
                      </w:divBdr>
                    </w:div>
                  </w:divsChild>
                </w:div>
                <w:div w:id="335889082">
                  <w:marLeft w:val="0"/>
                  <w:marRight w:val="0"/>
                  <w:marTop w:val="0"/>
                  <w:marBottom w:val="0"/>
                  <w:divBdr>
                    <w:top w:val="none" w:sz="0" w:space="0" w:color="auto"/>
                    <w:left w:val="none" w:sz="0" w:space="0" w:color="auto"/>
                    <w:bottom w:val="none" w:sz="0" w:space="0" w:color="auto"/>
                    <w:right w:val="none" w:sz="0" w:space="0" w:color="auto"/>
                  </w:divBdr>
                  <w:divsChild>
                    <w:div w:id="219639336">
                      <w:marLeft w:val="0"/>
                      <w:marRight w:val="0"/>
                      <w:marTop w:val="0"/>
                      <w:marBottom w:val="0"/>
                      <w:divBdr>
                        <w:top w:val="none" w:sz="0" w:space="0" w:color="auto"/>
                        <w:left w:val="none" w:sz="0" w:space="0" w:color="auto"/>
                        <w:bottom w:val="none" w:sz="0" w:space="0" w:color="auto"/>
                        <w:right w:val="none" w:sz="0" w:space="0" w:color="auto"/>
                      </w:divBdr>
                      <w:divsChild>
                        <w:div w:id="84037681">
                          <w:marLeft w:val="0"/>
                          <w:marRight w:val="0"/>
                          <w:marTop w:val="0"/>
                          <w:marBottom w:val="0"/>
                          <w:divBdr>
                            <w:top w:val="none" w:sz="0" w:space="0" w:color="auto"/>
                            <w:left w:val="none" w:sz="0" w:space="0" w:color="auto"/>
                            <w:bottom w:val="none" w:sz="0" w:space="0" w:color="auto"/>
                            <w:right w:val="none" w:sz="0" w:space="0" w:color="auto"/>
                          </w:divBdr>
                          <w:divsChild>
                            <w:div w:id="582839557">
                              <w:marLeft w:val="0"/>
                              <w:marRight w:val="0"/>
                              <w:marTop w:val="0"/>
                              <w:marBottom w:val="0"/>
                              <w:divBdr>
                                <w:top w:val="none" w:sz="0" w:space="0" w:color="auto"/>
                                <w:left w:val="none" w:sz="0" w:space="0" w:color="auto"/>
                                <w:bottom w:val="none" w:sz="0" w:space="0" w:color="auto"/>
                                <w:right w:val="none" w:sz="0" w:space="0" w:color="auto"/>
                              </w:divBdr>
                            </w:div>
                            <w:div w:id="1634946895">
                              <w:marLeft w:val="0"/>
                              <w:marRight w:val="0"/>
                              <w:marTop w:val="120"/>
                              <w:marBottom w:val="0"/>
                              <w:divBdr>
                                <w:top w:val="none" w:sz="0" w:space="0" w:color="auto"/>
                                <w:left w:val="none" w:sz="0" w:space="0" w:color="auto"/>
                                <w:bottom w:val="none" w:sz="0" w:space="0" w:color="auto"/>
                                <w:right w:val="none" w:sz="0" w:space="0" w:color="auto"/>
                              </w:divBdr>
                            </w:div>
                          </w:divsChild>
                        </w:div>
                        <w:div w:id="755901458">
                          <w:marLeft w:val="0"/>
                          <w:marRight w:val="0"/>
                          <w:marTop w:val="0"/>
                          <w:marBottom w:val="0"/>
                          <w:divBdr>
                            <w:top w:val="none" w:sz="0" w:space="0" w:color="auto"/>
                            <w:left w:val="none" w:sz="0" w:space="0" w:color="auto"/>
                            <w:bottom w:val="none" w:sz="0" w:space="0" w:color="auto"/>
                            <w:right w:val="none" w:sz="0" w:space="0" w:color="auto"/>
                          </w:divBdr>
                          <w:divsChild>
                            <w:div w:id="176507336">
                              <w:marLeft w:val="0"/>
                              <w:marRight w:val="0"/>
                              <w:marTop w:val="0"/>
                              <w:marBottom w:val="0"/>
                              <w:divBdr>
                                <w:top w:val="none" w:sz="0" w:space="0" w:color="auto"/>
                                <w:left w:val="none" w:sz="0" w:space="0" w:color="auto"/>
                                <w:bottom w:val="none" w:sz="0" w:space="0" w:color="auto"/>
                                <w:right w:val="none" w:sz="0" w:space="0" w:color="auto"/>
                              </w:divBdr>
                            </w:div>
                            <w:div w:id="394282706">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 w:id="828062431">
                      <w:marLeft w:val="0"/>
                      <w:marRight w:val="0"/>
                      <w:marTop w:val="120"/>
                      <w:marBottom w:val="0"/>
                      <w:divBdr>
                        <w:top w:val="none" w:sz="0" w:space="0" w:color="auto"/>
                        <w:left w:val="none" w:sz="0" w:space="0" w:color="auto"/>
                        <w:bottom w:val="none" w:sz="0" w:space="0" w:color="auto"/>
                        <w:right w:val="none" w:sz="0" w:space="0" w:color="auto"/>
                      </w:divBdr>
                    </w:div>
                  </w:divsChild>
                </w:div>
                <w:div w:id="961569483">
                  <w:marLeft w:val="0"/>
                  <w:marRight w:val="0"/>
                  <w:marTop w:val="0"/>
                  <w:marBottom w:val="0"/>
                  <w:divBdr>
                    <w:top w:val="none" w:sz="0" w:space="0" w:color="auto"/>
                    <w:left w:val="none" w:sz="0" w:space="0" w:color="auto"/>
                    <w:bottom w:val="none" w:sz="0" w:space="0" w:color="auto"/>
                    <w:right w:val="none" w:sz="0" w:space="0" w:color="auto"/>
                  </w:divBdr>
                  <w:divsChild>
                    <w:div w:id="336276578">
                      <w:marLeft w:val="0"/>
                      <w:marRight w:val="0"/>
                      <w:marTop w:val="0"/>
                      <w:marBottom w:val="0"/>
                      <w:divBdr>
                        <w:top w:val="none" w:sz="0" w:space="0" w:color="auto"/>
                        <w:left w:val="none" w:sz="0" w:space="0" w:color="auto"/>
                        <w:bottom w:val="none" w:sz="0" w:space="0" w:color="auto"/>
                        <w:right w:val="none" w:sz="0" w:space="0" w:color="auto"/>
                      </w:divBdr>
                    </w:div>
                    <w:div w:id="1257330111">
                      <w:marLeft w:val="0"/>
                      <w:marRight w:val="0"/>
                      <w:marTop w:val="120"/>
                      <w:marBottom w:val="0"/>
                      <w:divBdr>
                        <w:top w:val="none" w:sz="0" w:space="0" w:color="auto"/>
                        <w:left w:val="none" w:sz="0" w:space="0" w:color="auto"/>
                        <w:bottom w:val="none" w:sz="0" w:space="0" w:color="auto"/>
                        <w:right w:val="none" w:sz="0" w:space="0" w:color="auto"/>
                      </w:divBdr>
                    </w:div>
                  </w:divsChild>
                </w:div>
                <w:div w:id="1225920167">
                  <w:marLeft w:val="0"/>
                  <w:marRight w:val="0"/>
                  <w:marTop w:val="0"/>
                  <w:marBottom w:val="0"/>
                  <w:divBdr>
                    <w:top w:val="none" w:sz="0" w:space="0" w:color="auto"/>
                    <w:left w:val="none" w:sz="0" w:space="0" w:color="auto"/>
                    <w:bottom w:val="none" w:sz="0" w:space="0" w:color="auto"/>
                    <w:right w:val="none" w:sz="0" w:space="0" w:color="auto"/>
                  </w:divBdr>
                  <w:divsChild>
                    <w:div w:id="207301727">
                      <w:marLeft w:val="0"/>
                      <w:marRight w:val="0"/>
                      <w:marTop w:val="120"/>
                      <w:marBottom w:val="0"/>
                      <w:divBdr>
                        <w:top w:val="none" w:sz="0" w:space="0" w:color="auto"/>
                        <w:left w:val="none" w:sz="0" w:space="0" w:color="auto"/>
                        <w:bottom w:val="none" w:sz="0" w:space="0" w:color="auto"/>
                        <w:right w:val="none" w:sz="0" w:space="0" w:color="auto"/>
                      </w:divBdr>
                    </w:div>
                    <w:div w:id="1134757783">
                      <w:marLeft w:val="0"/>
                      <w:marRight w:val="0"/>
                      <w:marTop w:val="0"/>
                      <w:marBottom w:val="0"/>
                      <w:divBdr>
                        <w:top w:val="none" w:sz="0" w:space="0" w:color="auto"/>
                        <w:left w:val="none" w:sz="0" w:space="0" w:color="auto"/>
                        <w:bottom w:val="none" w:sz="0" w:space="0" w:color="auto"/>
                        <w:right w:val="none" w:sz="0" w:space="0" w:color="auto"/>
                      </w:divBdr>
                    </w:div>
                  </w:divsChild>
                </w:div>
                <w:div w:id="1481457043">
                  <w:marLeft w:val="0"/>
                  <w:marRight w:val="0"/>
                  <w:marTop w:val="0"/>
                  <w:marBottom w:val="0"/>
                  <w:divBdr>
                    <w:top w:val="none" w:sz="0" w:space="0" w:color="auto"/>
                    <w:left w:val="none" w:sz="0" w:space="0" w:color="auto"/>
                    <w:bottom w:val="none" w:sz="0" w:space="0" w:color="auto"/>
                    <w:right w:val="none" w:sz="0" w:space="0" w:color="auto"/>
                  </w:divBdr>
                  <w:divsChild>
                    <w:div w:id="705639174">
                      <w:marLeft w:val="0"/>
                      <w:marRight w:val="0"/>
                      <w:marTop w:val="120"/>
                      <w:marBottom w:val="0"/>
                      <w:divBdr>
                        <w:top w:val="none" w:sz="0" w:space="0" w:color="auto"/>
                        <w:left w:val="none" w:sz="0" w:space="0" w:color="auto"/>
                        <w:bottom w:val="none" w:sz="0" w:space="0" w:color="auto"/>
                        <w:right w:val="none" w:sz="0" w:space="0" w:color="auto"/>
                      </w:divBdr>
                    </w:div>
                    <w:div w:id="2005549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6288682">
      <w:bodyDiv w:val="1"/>
      <w:marLeft w:val="0"/>
      <w:marRight w:val="0"/>
      <w:marTop w:val="0"/>
      <w:marBottom w:val="0"/>
      <w:divBdr>
        <w:top w:val="none" w:sz="0" w:space="0" w:color="auto"/>
        <w:left w:val="none" w:sz="0" w:space="0" w:color="auto"/>
        <w:bottom w:val="none" w:sz="0" w:space="0" w:color="auto"/>
        <w:right w:val="none" w:sz="0" w:space="0" w:color="auto"/>
      </w:divBdr>
      <w:divsChild>
        <w:div w:id="18749735">
          <w:marLeft w:val="0"/>
          <w:marRight w:val="0"/>
          <w:marTop w:val="0"/>
          <w:marBottom w:val="0"/>
          <w:divBdr>
            <w:top w:val="none" w:sz="0" w:space="0" w:color="auto"/>
            <w:left w:val="none" w:sz="0" w:space="0" w:color="auto"/>
            <w:bottom w:val="none" w:sz="0" w:space="0" w:color="auto"/>
            <w:right w:val="none" w:sz="0" w:space="0" w:color="auto"/>
          </w:divBdr>
        </w:div>
      </w:divsChild>
    </w:div>
    <w:div w:id="2137790981">
      <w:bodyDiv w:val="1"/>
      <w:marLeft w:val="0"/>
      <w:marRight w:val="0"/>
      <w:marTop w:val="0"/>
      <w:marBottom w:val="0"/>
      <w:divBdr>
        <w:top w:val="none" w:sz="0" w:space="0" w:color="auto"/>
        <w:left w:val="none" w:sz="0" w:space="0" w:color="auto"/>
        <w:bottom w:val="none" w:sz="0" w:space="0" w:color="auto"/>
        <w:right w:val="none" w:sz="0" w:space="0" w:color="auto"/>
      </w:divBdr>
      <w:divsChild>
        <w:div w:id="1329867986">
          <w:marLeft w:val="0"/>
          <w:marRight w:val="0"/>
          <w:marTop w:val="0"/>
          <w:marBottom w:val="0"/>
          <w:divBdr>
            <w:top w:val="none" w:sz="0" w:space="0" w:color="auto"/>
            <w:left w:val="none" w:sz="0" w:space="0" w:color="auto"/>
            <w:bottom w:val="none" w:sz="0" w:space="0" w:color="auto"/>
            <w:right w:val="none" w:sz="0" w:space="0" w:color="auto"/>
          </w:divBdr>
          <w:divsChild>
            <w:div w:id="258759648">
              <w:marLeft w:val="0"/>
              <w:marRight w:val="0"/>
              <w:marTop w:val="0"/>
              <w:marBottom w:val="0"/>
              <w:divBdr>
                <w:top w:val="none" w:sz="0" w:space="0" w:color="auto"/>
                <w:left w:val="none" w:sz="0" w:space="0" w:color="auto"/>
                <w:bottom w:val="none" w:sz="0" w:space="0" w:color="auto"/>
                <w:right w:val="none" w:sz="0" w:space="0" w:color="auto"/>
              </w:divBdr>
              <w:divsChild>
                <w:div w:id="598298062">
                  <w:marLeft w:val="0"/>
                  <w:marRight w:val="0"/>
                  <w:marTop w:val="120"/>
                  <w:marBottom w:val="0"/>
                  <w:divBdr>
                    <w:top w:val="none" w:sz="0" w:space="0" w:color="auto"/>
                    <w:left w:val="none" w:sz="0" w:space="0" w:color="auto"/>
                    <w:bottom w:val="none" w:sz="0" w:space="0" w:color="auto"/>
                    <w:right w:val="none" w:sz="0" w:space="0" w:color="auto"/>
                  </w:divBdr>
                </w:div>
                <w:div w:id="1743139403">
                  <w:marLeft w:val="0"/>
                  <w:marRight w:val="0"/>
                  <w:marTop w:val="0"/>
                  <w:marBottom w:val="0"/>
                  <w:divBdr>
                    <w:top w:val="none" w:sz="0" w:space="0" w:color="auto"/>
                    <w:left w:val="none" w:sz="0" w:space="0" w:color="auto"/>
                    <w:bottom w:val="none" w:sz="0" w:space="0" w:color="auto"/>
                    <w:right w:val="none" w:sz="0" w:space="0" w:color="auto"/>
                  </w:divBdr>
                </w:div>
              </w:divsChild>
            </w:div>
            <w:div w:id="524516433">
              <w:marLeft w:val="0"/>
              <w:marRight w:val="0"/>
              <w:marTop w:val="0"/>
              <w:marBottom w:val="0"/>
              <w:divBdr>
                <w:top w:val="none" w:sz="0" w:space="0" w:color="auto"/>
                <w:left w:val="none" w:sz="0" w:space="0" w:color="auto"/>
                <w:bottom w:val="none" w:sz="0" w:space="0" w:color="auto"/>
                <w:right w:val="none" w:sz="0" w:space="0" w:color="auto"/>
              </w:divBdr>
              <w:divsChild>
                <w:div w:id="92745885">
                  <w:marLeft w:val="0"/>
                  <w:marRight w:val="0"/>
                  <w:marTop w:val="0"/>
                  <w:marBottom w:val="0"/>
                  <w:divBdr>
                    <w:top w:val="none" w:sz="0" w:space="0" w:color="auto"/>
                    <w:left w:val="none" w:sz="0" w:space="0" w:color="auto"/>
                    <w:bottom w:val="none" w:sz="0" w:space="0" w:color="auto"/>
                    <w:right w:val="none" w:sz="0" w:space="0" w:color="auto"/>
                  </w:divBdr>
                </w:div>
                <w:div w:id="619647361">
                  <w:marLeft w:val="0"/>
                  <w:marRight w:val="0"/>
                  <w:marTop w:val="120"/>
                  <w:marBottom w:val="0"/>
                  <w:divBdr>
                    <w:top w:val="none" w:sz="0" w:space="0" w:color="auto"/>
                    <w:left w:val="none" w:sz="0" w:space="0" w:color="auto"/>
                    <w:bottom w:val="none" w:sz="0" w:space="0" w:color="auto"/>
                    <w:right w:val="none" w:sz="0" w:space="0" w:color="auto"/>
                  </w:divBdr>
                </w:div>
              </w:divsChild>
            </w:div>
            <w:div w:id="1432816628">
              <w:marLeft w:val="0"/>
              <w:marRight w:val="0"/>
              <w:marTop w:val="0"/>
              <w:marBottom w:val="0"/>
              <w:divBdr>
                <w:top w:val="none" w:sz="0" w:space="0" w:color="auto"/>
                <w:left w:val="none" w:sz="0" w:space="0" w:color="auto"/>
                <w:bottom w:val="none" w:sz="0" w:space="0" w:color="auto"/>
                <w:right w:val="none" w:sz="0" w:space="0" w:color="auto"/>
              </w:divBdr>
              <w:divsChild>
                <w:div w:id="309596016">
                  <w:marLeft w:val="0"/>
                  <w:marRight w:val="0"/>
                  <w:marTop w:val="0"/>
                  <w:marBottom w:val="0"/>
                  <w:divBdr>
                    <w:top w:val="none" w:sz="0" w:space="0" w:color="auto"/>
                    <w:left w:val="none" w:sz="0" w:space="0" w:color="auto"/>
                    <w:bottom w:val="none" w:sz="0" w:space="0" w:color="auto"/>
                    <w:right w:val="none" w:sz="0" w:space="0" w:color="auto"/>
                  </w:divBdr>
                </w:div>
                <w:div w:id="144842929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2141681039">
      <w:bodyDiv w:val="1"/>
      <w:marLeft w:val="0"/>
      <w:marRight w:val="0"/>
      <w:marTop w:val="0"/>
      <w:marBottom w:val="0"/>
      <w:divBdr>
        <w:top w:val="none" w:sz="0" w:space="0" w:color="auto"/>
        <w:left w:val="none" w:sz="0" w:space="0" w:color="auto"/>
        <w:bottom w:val="none" w:sz="0" w:space="0" w:color="auto"/>
        <w:right w:val="none" w:sz="0" w:space="0" w:color="auto"/>
      </w:divBdr>
      <w:divsChild>
        <w:div w:id="585847700">
          <w:marLeft w:val="0"/>
          <w:marRight w:val="0"/>
          <w:marTop w:val="0"/>
          <w:marBottom w:val="0"/>
          <w:divBdr>
            <w:top w:val="none" w:sz="0" w:space="0" w:color="auto"/>
            <w:left w:val="none" w:sz="0" w:space="0" w:color="auto"/>
            <w:bottom w:val="none" w:sz="0" w:space="0" w:color="auto"/>
            <w:right w:val="none" w:sz="0" w:space="0" w:color="auto"/>
          </w:divBdr>
          <w:divsChild>
            <w:div w:id="268507222">
              <w:marLeft w:val="0"/>
              <w:marRight w:val="0"/>
              <w:marTop w:val="0"/>
              <w:marBottom w:val="0"/>
              <w:divBdr>
                <w:top w:val="none" w:sz="0" w:space="0" w:color="auto"/>
                <w:left w:val="none" w:sz="0" w:space="0" w:color="auto"/>
                <w:bottom w:val="none" w:sz="0" w:space="0" w:color="auto"/>
                <w:right w:val="none" w:sz="0" w:space="0" w:color="auto"/>
              </w:divBdr>
              <w:divsChild>
                <w:div w:id="962542952">
                  <w:marLeft w:val="0"/>
                  <w:marRight w:val="0"/>
                  <w:marTop w:val="120"/>
                  <w:marBottom w:val="0"/>
                  <w:divBdr>
                    <w:top w:val="none" w:sz="0" w:space="0" w:color="auto"/>
                    <w:left w:val="none" w:sz="0" w:space="0" w:color="auto"/>
                    <w:bottom w:val="none" w:sz="0" w:space="0" w:color="auto"/>
                    <w:right w:val="none" w:sz="0" w:space="0" w:color="auto"/>
                  </w:divBdr>
                </w:div>
                <w:div w:id="1625380670">
                  <w:marLeft w:val="0"/>
                  <w:marRight w:val="0"/>
                  <w:marTop w:val="0"/>
                  <w:marBottom w:val="0"/>
                  <w:divBdr>
                    <w:top w:val="none" w:sz="0" w:space="0" w:color="auto"/>
                    <w:left w:val="none" w:sz="0" w:space="0" w:color="auto"/>
                    <w:bottom w:val="none" w:sz="0" w:space="0" w:color="auto"/>
                    <w:right w:val="none" w:sz="0" w:space="0" w:color="auto"/>
                  </w:divBdr>
                </w:div>
              </w:divsChild>
            </w:div>
            <w:div w:id="566695061">
              <w:marLeft w:val="0"/>
              <w:marRight w:val="0"/>
              <w:marTop w:val="0"/>
              <w:marBottom w:val="0"/>
              <w:divBdr>
                <w:top w:val="none" w:sz="0" w:space="0" w:color="auto"/>
                <w:left w:val="none" w:sz="0" w:space="0" w:color="auto"/>
                <w:bottom w:val="none" w:sz="0" w:space="0" w:color="auto"/>
                <w:right w:val="none" w:sz="0" w:space="0" w:color="auto"/>
              </w:divBdr>
              <w:divsChild>
                <w:div w:id="204028337">
                  <w:marLeft w:val="0"/>
                  <w:marRight w:val="0"/>
                  <w:marTop w:val="120"/>
                  <w:marBottom w:val="0"/>
                  <w:divBdr>
                    <w:top w:val="none" w:sz="0" w:space="0" w:color="auto"/>
                    <w:left w:val="none" w:sz="0" w:space="0" w:color="auto"/>
                    <w:bottom w:val="none" w:sz="0" w:space="0" w:color="auto"/>
                    <w:right w:val="none" w:sz="0" w:space="0" w:color="auto"/>
                  </w:divBdr>
                </w:div>
                <w:div w:id="1326401158">
                  <w:marLeft w:val="0"/>
                  <w:marRight w:val="0"/>
                  <w:marTop w:val="0"/>
                  <w:marBottom w:val="0"/>
                  <w:divBdr>
                    <w:top w:val="none" w:sz="0" w:space="0" w:color="auto"/>
                    <w:left w:val="none" w:sz="0" w:space="0" w:color="auto"/>
                    <w:bottom w:val="none" w:sz="0" w:space="0" w:color="auto"/>
                    <w:right w:val="none" w:sz="0" w:space="0" w:color="auto"/>
                  </w:divBdr>
                </w:div>
              </w:divsChild>
            </w:div>
            <w:div w:id="1263490152">
              <w:marLeft w:val="0"/>
              <w:marRight w:val="0"/>
              <w:marTop w:val="0"/>
              <w:marBottom w:val="0"/>
              <w:divBdr>
                <w:top w:val="none" w:sz="0" w:space="0" w:color="auto"/>
                <w:left w:val="none" w:sz="0" w:space="0" w:color="auto"/>
                <w:bottom w:val="none" w:sz="0" w:space="0" w:color="auto"/>
                <w:right w:val="none" w:sz="0" w:space="0" w:color="auto"/>
              </w:divBdr>
              <w:divsChild>
                <w:div w:id="830563150">
                  <w:marLeft w:val="0"/>
                  <w:marRight w:val="0"/>
                  <w:marTop w:val="120"/>
                  <w:marBottom w:val="0"/>
                  <w:divBdr>
                    <w:top w:val="none" w:sz="0" w:space="0" w:color="auto"/>
                    <w:left w:val="none" w:sz="0" w:space="0" w:color="auto"/>
                    <w:bottom w:val="none" w:sz="0" w:space="0" w:color="auto"/>
                    <w:right w:val="none" w:sz="0" w:space="0" w:color="auto"/>
                  </w:divBdr>
                </w:div>
                <w:div w:id="14114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569712">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e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1CC8FD9FC602D47942046F00E7457D2" ma:contentTypeVersion="2" ma:contentTypeDescription="Create a new document." ma:contentTypeScope="" ma:versionID="3edab2dab2c3387671edca4397bcec72">
  <xsd:schema xmlns:xsd="http://www.w3.org/2001/XMLSchema" xmlns:xs="http://www.w3.org/2001/XMLSchema" xmlns:p="http://schemas.microsoft.com/office/2006/metadata/properties" xmlns:ns2="ab897e66-8555-453e-a498-d234c2d9a514" targetNamespace="http://schemas.microsoft.com/office/2006/metadata/properties" ma:root="true" ma:fieldsID="89625898adbe3814e28d4b00f82f36bf" ns2:_="">
    <xsd:import namespace="ab897e66-8555-453e-a498-d234c2d9a514"/>
    <xsd:element name="properties">
      <xsd:complexType>
        <xsd:sequence>
          <xsd:element name="documentManagement">
            <xsd:complexType>
              <xsd:all>
                <xsd:element ref="ns2:SharedWithUsers" minOccurs="0"/>
                <xsd:element ref="ns2: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b897e66-8555-453e-a498-d234c2d9a51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titus xmlns="http://schemas.titus.com/TitusProperties/">
  <TitusGUID xmlns="">3d8dcc8a-cbd8-44cc-8026-b187f53e5755</TitusGUID>
  <TitusMetadata xmlns="">eyJucyI6IioiLCJwcm9wcyI6W3sibiI6IkNsYXNpZmljYXJlIiwidmFscyI6W3sidmFsdWUiOiJOT05FIn1dfV19</TitusMetadata>
</titus>
</file>

<file path=customXml/itemProps1.xml><?xml version="1.0" encoding="utf-8"?>
<ds:datastoreItem xmlns:ds="http://schemas.openxmlformats.org/officeDocument/2006/customXml" ds:itemID="{C9469EFF-F87B-4C3B-AF97-F00B86FE70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b897e66-8555-453e-a498-d234c2d9a5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8DAE5D-15DF-4540-8D86-278CC310366A}">
  <ds:schemaRefs>
    <ds:schemaRef ds:uri="http://schemas.openxmlformats.org/officeDocument/2006/bibliography"/>
  </ds:schemaRefs>
</ds:datastoreItem>
</file>

<file path=customXml/itemProps3.xml><?xml version="1.0" encoding="utf-8"?>
<ds:datastoreItem xmlns:ds="http://schemas.openxmlformats.org/officeDocument/2006/customXml" ds:itemID="{7765AC9C-B751-4242-AE5E-719BCFDC2640}">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5EECD7FE-1191-4F7D-B380-468FE8A193B3}">
  <ds:schemaRefs>
    <ds:schemaRef ds:uri="http://schemas.microsoft.com/sharepoint/v3/contenttype/forms"/>
  </ds:schemaRefs>
</ds:datastoreItem>
</file>

<file path=customXml/itemProps5.xml><?xml version="1.0" encoding="utf-8"?>
<ds:datastoreItem xmlns:ds="http://schemas.openxmlformats.org/officeDocument/2006/customXml" ds:itemID="{09442F34-E457-42C8-99DD-70410CA1EAF2}">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84</Pages>
  <Words>28421</Words>
  <Characters>202927</Characters>
  <Application>Microsoft Office Word</Application>
  <DocSecurity>0</DocSecurity>
  <Lines>7515</Lines>
  <Paragraphs>1552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BNM</dc:creator>
  <cp:lastModifiedBy>Ion V. Nicorici</cp:lastModifiedBy>
  <cp:revision>2</cp:revision>
  <cp:lastPrinted>2026-07-30T11:30:00Z</cp:lastPrinted>
  <dcterms:created xsi:type="dcterms:W3CDTF">2026-07-30T11:31:00Z</dcterms:created>
  <dcterms:modified xsi:type="dcterms:W3CDTF">2026-07-30T11:31:00Z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0x01010041CC8FD9FC602D47942046F00E7457D2</vt:lpwstr>
  </property>
  <property fmtid="{D5CDD505-2E9C-101B-9397-08002B2CF9AE}" pid="3" name="TitusGUID">
    <vt:lpwstr>3d8dcc8a-cbd8-44cc-8026-b187f53e5755</vt:lpwstr>
  </property>
  <property fmtid="{D5CDD505-2E9C-101B-9397-08002B2CF9AE}" pid="4" name="Clasificare">
    <vt:lpwstr>NONE</vt:lpwstr>
  </property>
  <property fmtid="{D5CDD505-2E9C-101B-9397-08002B2CF9AE}" pid="5" name="MSIP_Label_38962dcf-d39f-4edc-a396-338a56ba9170_Enabled">
    <vt:lpwstr>true</vt:lpwstr>
  </property>
  <property fmtid="{D5CDD505-2E9C-101B-9397-08002B2CF9AE}" pid="6" name="MSIP_Label_38962dcf-d39f-4edc-a396-338a56ba9170_SetDate">
    <vt:lpwstr>2025-09-18T10:15:34Z</vt:lpwstr>
  </property>
  <property fmtid="{D5CDD505-2E9C-101B-9397-08002B2CF9AE}" pid="7" name="MSIP_Label_38962dcf-d39f-4edc-a396-338a56ba9170_Method">
    <vt:lpwstr>Privileged</vt:lpwstr>
  </property>
  <property fmtid="{D5CDD505-2E9C-101B-9397-08002B2CF9AE}" pid="8" name="MSIP_Label_38962dcf-d39f-4edc-a396-338a56ba9170_Name">
    <vt:lpwstr>NONE</vt:lpwstr>
  </property>
  <property fmtid="{D5CDD505-2E9C-101B-9397-08002B2CF9AE}" pid="9" name="MSIP_Label_38962dcf-d39f-4edc-a396-338a56ba9170_SiteId">
    <vt:lpwstr>5887d430-0034-4561-b771-12c77faf2fa0</vt:lpwstr>
  </property>
  <property fmtid="{D5CDD505-2E9C-101B-9397-08002B2CF9AE}" pid="10" name="MSIP_Label_38962dcf-d39f-4edc-a396-338a56ba9170_ActionId">
    <vt:lpwstr>4b66f7c9-3730-48cb-8727-28c41a08fcfe</vt:lpwstr>
  </property>
  <property fmtid="{D5CDD505-2E9C-101B-9397-08002B2CF9AE}" pid="11" name="MSIP_Label_38962dcf-d39f-4edc-a396-338a56ba9170_ContentBits">
    <vt:lpwstr>0</vt:lpwstr>
  </property>
  <property fmtid="{D5CDD505-2E9C-101B-9397-08002B2CF9AE}" pid="12" name="MSIP_Label_38962dcf-d39f-4edc-a396-338a56ba9170_Tag">
    <vt:lpwstr>10, 0, 1, 1</vt:lpwstr>
  </property>
</Properties>
</file>